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200"/>
        <w:spacing w:after="0" w:line="207" w:lineRule="exact"/>
        <w:tabs>
          <w:tab w:leader="none" w:pos="2000" w:val="left"/>
          <w:tab w:leader="none" w:pos="344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39"/>
        <w:spacing w:after="0"/>
        <w:rPr>
          <w:sz w:val="20"/>
          <w:szCs w:val="20"/>
          <w:color w:val="auto"/>
        </w:rPr>
      </w:pPr>
      <w:r>
        <w:rPr>
          <w:rFonts w:ascii="Arial" w:cs="Arial" w:eastAsia="Arial" w:hAnsi="Arial"/>
          <w:sz w:val="40"/>
          <w:szCs w:val="40"/>
          <w:b w:val="1"/>
          <w:bCs w:val="1"/>
          <w:color w:val="auto"/>
        </w:rPr>
        <w:t>BIOGEN INC.</w:t>
      </w:r>
    </w:p>
    <w:p>
      <w:pPr>
        <w:spacing w:after="0" w:line="3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1"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12" w:lineRule="exact"/>
        <w:rPr>
          <w:sz w:val="24"/>
          <w:szCs w:val="24"/>
          <w:color w:val="auto"/>
        </w:rPr>
      </w:pPr>
    </w:p>
    <w:p>
      <w:pPr>
        <w:ind w:left="200"/>
        <w:spacing w:after="0"/>
        <w:rPr>
          <w:sz w:val="20"/>
          <w:szCs w:val="20"/>
          <w:color w:val="auto"/>
        </w:rPr>
      </w:pPr>
      <w:r>
        <w:rPr>
          <w:rFonts w:ascii="Arial" w:cs="Arial" w:eastAsia="Arial" w:hAnsi="Arial"/>
          <w:sz w:val="18"/>
          <w:szCs w:val="18"/>
          <w:color w:val="auto"/>
        </w:rPr>
        <w:t>Payment of Filing Fee (Check the appropriate box):</w:t>
      </w:r>
    </w:p>
    <w:p>
      <w:pPr>
        <w:spacing w:after="0" w:line="144" w:lineRule="exact"/>
        <w:rPr>
          <w:sz w:val="24"/>
          <w:szCs w:val="24"/>
          <w:color w:val="auto"/>
        </w:rPr>
      </w:pPr>
    </w:p>
    <w:p>
      <w:pPr>
        <w:ind w:left="660" w:hanging="456"/>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44" w:lineRule="exact"/>
        <w:rPr>
          <w:sz w:val="24"/>
          <w:szCs w:val="24"/>
          <w:color w:val="auto"/>
        </w:rPr>
      </w:pPr>
    </w:p>
    <w:p>
      <w:pPr>
        <w:ind w:left="660" w:hanging="456"/>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100" w:right="280" w:hanging="437"/>
        <w:spacing w:after="0" w:line="277"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60" w:lineRule="exact"/>
        <w:rPr>
          <w:rFonts w:ascii="Arial" w:cs="Arial" w:eastAsia="Arial" w:hAnsi="Arial"/>
          <w:sz w:val="18"/>
          <w:szCs w:val="18"/>
          <w:color w:val="auto"/>
        </w:rPr>
      </w:pPr>
    </w:p>
    <w:p>
      <w:pPr>
        <w:ind w:left="660" w:hanging="456"/>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660" w:hanging="456"/>
        <w:spacing w:after="0" w:line="308" w:lineRule="auto"/>
        <w:tabs>
          <w:tab w:leader="none" w:pos="6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7"/>
          <w:szCs w:val="17"/>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-2934335</wp:posOffset>
            </wp:positionV>
            <wp:extent cx="643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-2642870</wp:posOffset>
            </wp:positionV>
            <wp:extent cx="6431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-2214245</wp:posOffset>
            </wp:positionV>
            <wp:extent cx="6431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-1922780</wp:posOffset>
            </wp:positionV>
            <wp:extent cx="6431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-1631315</wp:posOffset>
            </wp:positionV>
            <wp:extent cx="6431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-721995</wp:posOffset>
            </wp:positionV>
            <wp:extent cx="6431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-430530</wp:posOffset>
            </wp:positionV>
            <wp:extent cx="6431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-139065</wp:posOffset>
            </wp:positionV>
            <wp:extent cx="64319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152400</wp:posOffset>
            </wp:positionV>
            <wp:extent cx="6431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255270</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297815</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1329055</wp:posOffset>
            </wp:positionV>
            <wp:extent cx="2838450" cy="951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3845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800"/>
        <w:spacing w:after="0"/>
        <w:rPr>
          <w:sz w:val="20"/>
          <w:szCs w:val="20"/>
          <w:color w:val="auto"/>
        </w:rPr>
      </w:pPr>
      <w:r>
        <w:rPr>
          <w:rFonts w:ascii="Arial" w:cs="Arial" w:eastAsia="Arial" w:hAnsi="Arial"/>
          <w:sz w:val="32"/>
          <w:szCs w:val="32"/>
          <w:color w:val="427F3D"/>
        </w:rPr>
        <w:t>NOTICE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-72390</wp:posOffset>
            </wp:positionV>
            <wp:extent cx="6946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46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-72390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14" w:lineRule="exact"/>
        <w:rPr>
          <w:sz w:val="20"/>
          <w:szCs w:val="20"/>
          <w:color w:val="auto"/>
        </w:rPr>
      </w:pPr>
    </w:p>
    <w:p>
      <w:pPr>
        <w:jc w:val="center"/>
        <w:ind w:right="-1220"/>
        <w:spacing w:after="0"/>
        <w:rPr>
          <w:sz w:val="20"/>
          <w:szCs w:val="20"/>
          <w:color w:val="auto"/>
        </w:rPr>
      </w:pPr>
      <w:r>
        <w:rPr>
          <w:rFonts w:ascii="Arial" w:cs="Arial" w:eastAsia="Arial" w:hAnsi="Arial"/>
          <w:sz w:val="32"/>
          <w:szCs w:val="32"/>
          <w:color w:val="1A6DBB"/>
        </w:rPr>
        <w:t>2019 Annual Meeting of</w:t>
      </w:r>
    </w:p>
    <w:p>
      <w:pPr>
        <w:spacing w:after="0" w:line="334" w:lineRule="exact"/>
        <w:rPr>
          <w:sz w:val="20"/>
          <w:szCs w:val="20"/>
          <w:color w:val="auto"/>
        </w:rPr>
      </w:pPr>
    </w:p>
    <w:p>
      <w:pPr>
        <w:jc w:val="center"/>
        <w:ind w:right="-1220"/>
        <w:spacing w:after="0"/>
        <w:rPr>
          <w:sz w:val="20"/>
          <w:szCs w:val="20"/>
          <w:color w:val="auto"/>
        </w:rPr>
      </w:pPr>
      <w:r>
        <w:rPr>
          <w:rFonts w:ascii="Arial" w:cs="Arial" w:eastAsia="Arial" w:hAnsi="Arial"/>
          <w:sz w:val="32"/>
          <w:szCs w:val="32"/>
          <w:color w:val="1A6DBB"/>
        </w:rPr>
        <w:t>Stockholders and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840"/>
        <w:spacing w:after="0"/>
        <w:rPr>
          <w:sz w:val="20"/>
          <w:szCs w:val="20"/>
          <w:color w:val="auto"/>
        </w:rPr>
      </w:pPr>
      <w:r>
        <w:rPr>
          <w:rFonts w:ascii="Arial" w:cs="Arial" w:eastAsia="Arial" w:hAnsi="Arial"/>
          <w:sz w:val="29"/>
          <w:szCs w:val="29"/>
          <w:i w:val="1"/>
          <w:iCs w:val="1"/>
          <w:color w:val="1A6DBB"/>
        </w:rPr>
        <w:t>Wednesday, June 19, 2019</w:t>
      </w:r>
    </w:p>
    <w:p>
      <w:pPr>
        <w:spacing w:after="0" w:line="112" w:lineRule="exact"/>
        <w:rPr>
          <w:sz w:val="20"/>
          <w:szCs w:val="20"/>
          <w:color w:val="auto"/>
        </w:rPr>
      </w:pPr>
    </w:p>
    <w:p>
      <w:pPr>
        <w:ind w:left="840"/>
        <w:spacing w:after="0"/>
        <w:rPr>
          <w:sz w:val="20"/>
          <w:szCs w:val="20"/>
          <w:color w:val="auto"/>
        </w:rPr>
      </w:pPr>
      <w:r>
        <w:rPr>
          <w:rFonts w:ascii="Arial" w:cs="Arial" w:eastAsia="Arial" w:hAnsi="Arial"/>
          <w:sz w:val="29"/>
          <w:szCs w:val="29"/>
          <w:i w:val="1"/>
          <w:iCs w:val="1"/>
          <w:color w:val="1A6DBB"/>
        </w:rPr>
        <w:t>9:00 a.m. Eastern Time</w:t>
      </w:r>
    </w:p>
    <w:p>
      <w:pPr>
        <w:spacing w:after="0" w:line="106" w:lineRule="exact"/>
        <w:rPr>
          <w:sz w:val="20"/>
          <w:szCs w:val="20"/>
          <w:color w:val="auto"/>
        </w:rPr>
      </w:pPr>
    </w:p>
    <w:p>
      <w:pPr>
        <w:ind w:left="840" w:right="2059"/>
        <w:spacing w:after="0" w:line="255" w:lineRule="auto"/>
        <w:rPr>
          <w:sz w:val="20"/>
          <w:szCs w:val="20"/>
          <w:color w:val="auto"/>
        </w:rPr>
      </w:pPr>
      <w:r>
        <w:rPr>
          <w:rFonts w:ascii="Arial" w:cs="Arial" w:eastAsia="Arial" w:hAnsi="Arial"/>
          <w:sz w:val="29"/>
          <w:szCs w:val="29"/>
          <w:b w:val="1"/>
          <w:bCs w:val="1"/>
          <w:color w:val="1A6DBB"/>
        </w:rPr>
        <w:t>To be held at our offices located at 225 Binney Street, Cambridge, Massachusetts 02142 and</w:t>
      </w:r>
    </w:p>
    <w:p>
      <w:pPr>
        <w:spacing w:after="0" w:line="3" w:lineRule="exact"/>
        <w:rPr>
          <w:sz w:val="20"/>
          <w:szCs w:val="20"/>
          <w:color w:val="auto"/>
        </w:rPr>
      </w:pPr>
    </w:p>
    <w:p>
      <w:pPr>
        <w:ind w:left="840"/>
        <w:spacing w:after="0"/>
        <w:rPr>
          <w:sz w:val="20"/>
          <w:szCs w:val="20"/>
          <w:color w:val="auto"/>
        </w:rPr>
      </w:pPr>
      <w:r>
        <w:rPr>
          <w:rFonts w:ascii="Arial" w:cs="Arial" w:eastAsia="Arial" w:hAnsi="Arial"/>
          <w:sz w:val="28"/>
          <w:szCs w:val="28"/>
          <w:b w:val="1"/>
          <w:bCs w:val="1"/>
          <w:color w:val="1A6DBB"/>
        </w:rPr>
        <w:t xml:space="preserve">online at </w:t>
      </w:r>
      <w:r>
        <w:rPr>
          <w:rFonts w:ascii="Arial" w:cs="Arial" w:eastAsia="Arial" w:hAnsi="Arial"/>
          <w:sz w:val="28"/>
          <w:szCs w:val="28"/>
          <w:b w:val="1"/>
          <w:bCs w:val="1"/>
          <w:u w:val="single" w:color="auto"/>
          <w:color w:val="1A6DBB"/>
        </w:rPr>
        <w:t>www.virtualshareholdermeeting.com/BIIB2019</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1045845</wp:posOffset>
            </wp:positionV>
            <wp:extent cx="6869430" cy="4718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69430" cy="47180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205740</wp:posOffset>
            </wp:positionV>
            <wp:extent cx="1543685" cy="523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4368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0"/>
        <w:spacing w:after="0"/>
        <w:rPr>
          <w:sz w:val="20"/>
          <w:szCs w:val="20"/>
          <w:color w:val="auto"/>
        </w:rPr>
      </w:pPr>
      <w:r>
        <w:rPr>
          <w:rFonts w:ascii="Arial" w:cs="Arial" w:eastAsia="Arial" w:hAnsi="Arial"/>
          <w:sz w:val="29"/>
          <w:szCs w:val="29"/>
          <w:color w:val="FFFFFF"/>
        </w:rPr>
        <w:t>Letter from our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-208280</wp:posOffset>
            </wp:positionV>
            <wp:extent cx="6938010" cy="4718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3801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April 30, 2019</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1A6DBB"/>
        </w:rPr>
        <w:t>To My Fellow Stockholders:</w:t>
      </w:r>
    </w:p>
    <w:p>
      <w:pPr>
        <w:spacing w:after="0" w:line="241" w:lineRule="exact"/>
        <w:rPr>
          <w:sz w:val="20"/>
          <w:szCs w:val="20"/>
          <w:color w:val="auto"/>
        </w:rPr>
      </w:pPr>
    </w:p>
    <w:p>
      <w:pPr>
        <w:ind w:left="200" w:right="580"/>
        <w:spacing w:after="0" w:line="260" w:lineRule="auto"/>
        <w:rPr>
          <w:sz w:val="20"/>
          <w:szCs w:val="20"/>
          <w:color w:val="auto"/>
        </w:rPr>
      </w:pPr>
      <w:r>
        <w:rPr>
          <w:rFonts w:ascii="Arial" w:cs="Arial" w:eastAsia="Arial" w:hAnsi="Arial"/>
          <w:sz w:val="16"/>
          <w:szCs w:val="16"/>
          <w:color w:val="auto"/>
        </w:rPr>
        <w:t>On behalf of the Board of Directors, I want to thank you for your investment in Biogen and for the confidence you put in this Board to oversee your interests in our company.</w:t>
      </w:r>
    </w:p>
    <w:p>
      <w:pPr>
        <w:spacing w:after="0" w:line="196" w:lineRule="exact"/>
        <w:rPr>
          <w:sz w:val="20"/>
          <w:szCs w:val="20"/>
          <w:color w:val="auto"/>
        </w:rPr>
      </w:pPr>
    </w:p>
    <w:p>
      <w:pPr>
        <w:ind w:left="200"/>
        <w:spacing w:after="0" w:line="249" w:lineRule="auto"/>
        <w:rPr>
          <w:sz w:val="20"/>
          <w:szCs w:val="20"/>
          <w:color w:val="auto"/>
        </w:rPr>
      </w:pPr>
      <w:r>
        <w:rPr>
          <w:rFonts w:ascii="Arial" w:cs="Arial" w:eastAsia="Arial" w:hAnsi="Arial"/>
          <w:sz w:val="16"/>
          <w:szCs w:val="16"/>
          <w:color w:val="auto"/>
        </w:rPr>
        <w:t>Our view is that neurological diseases are deeply connected and because the pathways of these diseases are interrelated, so are the potential approaches for treating them. While we made progress in a number of our core and emerging growth areas in 2018, we also know it is the nature of drug development that many studies fail before one succeeds. In March 2019, together with our collaboration partner Eisai Co. Ltd., we decided to discontinue the global Phase 3 aducanumab studies ENGAGE and EMERGE based on analysis performed by an independent data monitoring committee that concluded that aducanumab was unlikely to meet the pre-determined efficacy targets. While a decision to discontinue a program is always disappointing, most importantly for patients who need effective treatments, we remain focused on the learnings and priorities that we take away from every clinical study.</w:t>
      </w:r>
    </w:p>
    <w:p>
      <w:pPr>
        <w:spacing w:after="0" w:line="200" w:lineRule="exact"/>
        <w:rPr>
          <w:sz w:val="20"/>
          <w:szCs w:val="20"/>
          <w:color w:val="auto"/>
        </w:rPr>
      </w:pPr>
    </w:p>
    <w:p>
      <w:pPr>
        <w:ind w:left="200" w:right="100"/>
        <w:spacing w:after="0" w:line="204" w:lineRule="auto"/>
        <w:rPr>
          <w:sz w:val="20"/>
          <w:szCs w:val="20"/>
          <w:color w:val="auto"/>
        </w:rPr>
      </w:pPr>
      <w:r>
        <w:rPr>
          <w:rFonts w:ascii="Arial" w:cs="Arial" w:eastAsia="Arial" w:hAnsi="Arial"/>
          <w:sz w:val="16"/>
          <w:szCs w:val="16"/>
          <w:color w:val="auto"/>
        </w:rPr>
        <w:t>Our philosophy of Caring Deeply. Working Fearlessly. Changing Lives.</w:t>
      </w:r>
      <w:r>
        <w:rPr>
          <w:rFonts w:ascii="Arial" w:cs="Arial" w:eastAsia="Arial" w:hAnsi="Arial"/>
          <w:sz w:val="27"/>
          <w:szCs w:val="27"/>
          <w:color w:val="auto"/>
          <w:vertAlign w:val="superscript"/>
        </w:rPr>
        <w:t>™</w:t>
      </w:r>
      <w:r>
        <w:rPr>
          <w:rFonts w:ascii="Arial" w:cs="Arial" w:eastAsia="Arial" w:hAnsi="Arial"/>
          <w:sz w:val="16"/>
          <w:szCs w:val="16"/>
          <w:color w:val="auto"/>
        </w:rPr>
        <w:t xml:space="preserve"> informs our policies and business practices. We work to have an impact beyond our medicines as we strive to improve patient health outcomes, solve social and environmental challenges, cultivate a workplace that enables our employees to thrive, support local communities and inspire future generations of scientists.</w:t>
      </w:r>
    </w:p>
    <w:p>
      <w:pPr>
        <w:spacing w:after="0" w:line="207" w:lineRule="exact"/>
        <w:rPr>
          <w:sz w:val="20"/>
          <w:szCs w:val="20"/>
          <w:color w:val="auto"/>
        </w:rPr>
      </w:pPr>
    </w:p>
    <w:p>
      <w:pPr>
        <w:ind w:left="200" w:right="280"/>
        <w:spacing w:after="0" w:line="204" w:lineRule="auto"/>
        <w:rPr>
          <w:sz w:val="20"/>
          <w:szCs w:val="20"/>
          <w:color w:val="auto"/>
        </w:rPr>
      </w:pPr>
      <w:r>
        <w:rPr>
          <w:rFonts w:ascii="Arial" w:cs="Arial" w:eastAsia="Arial" w:hAnsi="Arial"/>
          <w:sz w:val="16"/>
          <w:szCs w:val="16"/>
          <w:color w:val="auto"/>
        </w:rPr>
        <w:t>2018 marked our 40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anniversary, a remarkable milestone honoring our legacy as one of the oldest independent biotechnology companies. Looking back, we have always been pioneers, having the courage to take new approaches to help people who suffer from devastating diseases. Thanks to our fearless mindset and groundbreaking research, thousands of patients today have access to life-changing treatments.</w:t>
      </w:r>
    </w:p>
    <w:p>
      <w:pPr>
        <w:spacing w:after="0" w:line="212" w:lineRule="exact"/>
        <w:rPr>
          <w:sz w:val="20"/>
          <w:szCs w:val="20"/>
          <w:color w:val="auto"/>
        </w:rPr>
      </w:pPr>
    </w:p>
    <w:p>
      <w:pPr>
        <w:ind w:left="200" w:right="80"/>
        <w:spacing w:after="0" w:line="250" w:lineRule="auto"/>
        <w:rPr>
          <w:sz w:val="20"/>
          <w:szCs w:val="20"/>
          <w:color w:val="auto"/>
        </w:rPr>
      </w:pPr>
      <w:r>
        <w:rPr>
          <w:rFonts w:ascii="Arial" w:cs="Arial" w:eastAsia="Arial" w:hAnsi="Arial"/>
          <w:sz w:val="16"/>
          <w:szCs w:val="16"/>
          <w:color w:val="auto"/>
        </w:rPr>
        <w:t>Our Board takes its role in protecting the interest of our fellow stockholders and overseeing our long-term business strategy very seriously. We believe that good corporate governance and high ethical standards are key to our success. We are accountable to you, our fellow stockholders, and remain committed to investing time with you to increase transparency and better understand your perspectives. During 2018 independent members of our Board met with several stockholders to discuss a variety of topics, including business strategy, capital allocation, corporate governance, executive compensation, sustainability and corporate social responsibility initiatives.</w:t>
      </w:r>
    </w:p>
    <w:p>
      <w:pPr>
        <w:spacing w:after="0" w:line="203" w:lineRule="exact"/>
        <w:rPr>
          <w:sz w:val="20"/>
          <w:szCs w:val="20"/>
          <w:color w:val="auto"/>
        </w:rPr>
      </w:pPr>
    </w:p>
    <w:p>
      <w:pPr>
        <w:ind w:left="200" w:right="20"/>
        <w:spacing w:after="0" w:line="260" w:lineRule="auto"/>
        <w:rPr>
          <w:sz w:val="20"/>
          <w:szCs w:val="20"/>
          <w:color w:val="auto"/>
        </w:rPr>
      </w:pPr>
      <w:r>
        <w:rPr>
          <w:rFonts w:ascii="Arial" w:cs="Arial" w:eastAsia="Arial" w:hAnsi="Arial"/>
          <w:sz w:val="16"/>
          <w:szCs w:val="16"/>
          <w:color w:val="auto"/>
        </w:rPr>
        <w:t>Our Board believes ensuring diverse perspectives, including a mix of skills, experience and backgrounds, are key to representing the interests of stockholders effectively. This year we have nominated three new candidates to stand for election as directors at our 2019 annual meeting of stockholders.</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are proud of our accomplishments in 2018, including:</w:t>
      </w:r>
    </w:p>
    <w:p>
      <w:pPr>
        <w:spacing w:after="0" w:line="127" w:lineRule="exact"/>
        <w:rPr>
          <w:sz w:val="20"/>
          <w:szCs w:val="20"/>
          <w:color w:val="auto"/>
        </w:rPr>
      </w:pPr>
    </w:p>
    <w:p>
      <w:pPr>
        <w:ind w:left="420" w:right="340" w:hanging="216"/>
        <w:spacing w:after="0" w:line="251" w:lineRule="auto"/>
        <w:tabs>
          <w:tab w:leader="none" w:pos="420" w:val="left"/>
        </w:tabs>
        <w:numPr>
          <w:ilvl w:val="0"/>
          <w:numId w:val="6"/>
        </w:numPr>
        <w:rPr>
          <w:rFonts w:ascii="Arial" w:cs="Arial" w:eastAsia="Arial" w:hAnsi="Arial"/>
          <w:sz w:val="16"/>
          <w:szCs w:val="16"/>
          <w:color w:val="1A6DBB"/>
        </w:rPr>
      </w:pPr>
      <w:r>
        <w:rPr>
          <w:rFonts w:ascii="Arial" w:cs="Arial" w:eastAsia="Arial" w:hAnsi="Arial"/>
          <w:sz w:val="16"/>
          <w:szCs w:val="16"/>
          <w:color w:val="auto"/>
        </w:rPr>
        <w:t>Generating record revenues of $13.5 billion for the year, demonstrating resilience in our multiple sclerosis business, continuing one of the most impressive launches in the history of the biopharmaceutical industry with SPINRAZA, the first approved treatment for spinal muscular atrophy, and continuing to make significant progress in our biosimilars business, including the October 2018 launch of IMRALDI, an adalimumab biosimilar referencing HUMIRA, in Europe.</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420" w:hanging="216"/>
        <w:spacing w:after="0"/>
        <w:tabs>
          <w:tab w:leader="none" w:pos="420" w:val="left"/>
        </w:tabs>
        <w:numPr>
          <w:ilvl w:val="0"/>
          <w:numId w:val="7"/>
        </w:numPr>
        <w:rPr>
          <w:rFonts w:ascii="Arial" w:cs="Arial" w:eastAsia="Arial" w:hAnsi="Arial"/>
          <w:sz w:val="16"/>
          <w:szCs w:val="16"/>
          <w:color w:val="1A6DBB"/>
        </w:rPr>
      </w:pPr>
      <w:r>
        <w:rPr>
          <w:rFonts w:ascii="Arial" w:cs="Arial" w:eastAsia="Arial" w:hAnsi="Arial"/>
          <w:sz w:val="16"/>
          <w:szCs w:val="16"/>
          <w:color w:val="auto"/>
        </w:rPr>
        <w:t>The addition of six clinical programs to our pipeline.</w:t>
      </w:r>
    </w:p>
    <w:p>
      <w:pPr>
        <w:spacing w:after="0" w:line="126" w:lineRule="exact"/>
        <w:rPr>
          <w:rFonts w:ascii="Arial" w:cs="Arial" w:eastAsia="Arial" w:hAnsi="Arial"/>
          <w:sz w:val="16"/>
          <w:szCs w:val="16"/>
          <w:color w:val="1A6DBB"/>
        </w:rPr>
      </w:pPr>
    </w:p>
    <w:p>
      <w:pPr>
        <w:ind w:left="420" w:right="320" w:hanging="216"/>
        <w:spacing w:after="0" w:line="260" w:lineRule="auto"/>
        <w:tabs>
          <w:tab w:leader="none" w:pos="420" w:val="left"/>
        </w:tabs>
        <w:numPr>
          <w:ilvl w:val="0"/>
          <w:numId w:val="7"/>
        </w:numPr>
        <w:rPr>
          <w:rFonts w:ascii="Arial" w:cs="Arial" w:eastAsia="Arial" w:hAnsi="Arial"/>
          <w:sz w:val="16"/>
          <w:szCs w:val="16"/>
          <w:color w:val="1A6DBB"/>
        </w:rPr>
      </w:pPr>
      <w:r>
        <w:rPr>
          <w:rFonts w:ascii="Arial" w:cs="Arial" w:eastAsia="Arial" w:hAnsi="Arial"/>
          <w:sz w:val="16"/>
          <w:szCs w:val="16"/>
          <w:color w:val="auto"/>
        </w:rPr>
        <w:t>Being awarded the 2018 International Prix Galien as Best Biotechnology Product for SPINRAZA, our seventh Prix Galien for SPINRAZA, following country recognitions in the U.S., Germany, Italy, Belgium-Luxembourg, the Netherlands and the U.K.</w:t>
      </w:r>
    </w:p>
    <w:p>
      <w:pPr>
        <w:spacing w:after="0" w:line="101" w:lineRule="exact"/>
        <w:rPr>
          <w:rFonts w:ascii="Arial" w:cs="Arial" w:eastAsia="Arial" w:hAnsi="Arial"/>
          <w:sz w:val="16"/>
          <w:szCs w:val="16"/>
          <w:color w:val="1A6DBB"/>
        </w:rPr>
      </w:pPr>
    </w:p>
    <w:p>
      <w:pPr>
        <w:ind w:left="420" w:right="560" w:hanging="216"/>
        <w:spacing w:after="0" w:line="260" w:lineRule="auto"/>
        <w:tabs>
          <w:tab w:leader="none" w:pos="420" w:val="left"/>
        </w:tabs>
        <w:numPr>
          <w:ilvl w:val="0"/>
          <w:numId w:val="7"/>
        </w:numPr>
        <w:rPr>
          <w:rFonts w:ascii="Arial" w:cs="Arial" w:eastAsia="Arial" w:hAnsi="Arial"/>
          <w:sz w:val="16"/>
          <w:szCs w:val="16"/>
          <w:color w:val="1A6DBB"/>
        </w:rPr>
      </w:pPr>
      <w:r>
        <w:rPr>
          <w:rFonts w:ascii="Arial" w:cs="Arial" w:eastAsia="Arial" w:hAnsi="Arial"/>
          <w:sz w:val="16"/>
          <w:szCs w:val="16"/>
          <w:color w:val="auto"/>
        </w:rPr>
        <w:t>Our perfect score of 100% on the Human Rights Campaign’s Corporate Equality Index (a national benchmarking tool on corporate policies and practices pertinent to LGBTQ employees) for the fifth consecutive year.</w:t>
      </w:r>
    </w:p>
    <w:p>
      <w:pPr>
        <w:spacing w:after="0" w:line="101" w:lineRule="exact"/>
        <w:rPr>
          <w:rFonts w:ascii="Arial" w:cs="Arial" w:eastAsia="Arial" w:hAnsi="Arial"/>
          <w:sz w:val="16"/>
          <w:szCs w:val="16"/>
          <w:color w:val="1A6DBB"/>
        </w:rPr>
      </w:pPr>
    </w:p>
    <w:p>
      <w:pPr>
        <w:ind w:left="420" w:hanging="216"/>
        <w:spacing w:after="0"/>
        <w:tabs>
          <w:tab w:leader="none" w:pos="420" w:val="left"/>
        </w:tabs>
        <w:numPr>
          <w:ilvl w:val="0"/>
          <w:numId w:val="7"/>
        </w:numPr>
        <w:rPr>
          <w:rFonts w:ascii="Arial" w:cs="Arial" w:eastAsia="Arial" w:hAnsi="Arial"/>
          <w:sz w:val="16"/>
          <w:szCs w:val="16"/>
          <w:color w:val="1A6DBB"/>
        </w:rPr>
      </w:pPr>
      <w:r>
        <w:rPr>
          <w:rFonts w:ascii="Arial" w:cs="Arial" w:eastAsia="Arial" w:hAnsi="Arial"/>
          <w:sz w:val="16"/>
          <w:szCs w:val="16"/>
          <w:color w:val="auto"/>
        </w:rPr>
        <w:t>Our continued commitment to operational carbon neutrality highlighted through the use of 100% renewable electricity globally.</w:t>
      </w:r>
    </w:p>
    <w:p>
      <w:pPr>
        <w:spacing w:after="0" w:line="126" w:lineRule="exact"/>
        <w:rPr>
          <w:rFonts w:ascii="Arial" w:cs="Arial" w:eastAsia="Arial" w:hAnsi="Arial"/>
          <w:sz w:val="16"/>
          <w:szCs w:val="16"/>
          <w:color w:val="1A6DBB"/>
        </w:rPr>
      </w:pPr>
    </w:p>
    <w:p>
      <w:pPr>
        <w:ind w:left="420" w:right="420" w:hanging="216"/>
        <w:spacing w:after="0" w:line="260" w:lineRule="auto"/>
        <w:tabs>
          <w:tab w:leader="none" w:pos="420" w:val="left"/>
        </w:tabs>
        <w:numPr>
          <w:ilvl w:val="0"/>
          <w:numId w:val="7"/>
        </w:numPr>
        <w:rPr>
          <w:rFonts w:ascii="Arial" w:cs="Arial" w:eastAsia="Arial" w:hAnsi="Arial"/>
          <w:sz w:val="16"/>
          <w:szCs w:val="16"/>
          <w:color w:val="1A6DBB"/>
        </w:rPr>
      </w:pPr>
      <w:r>
        <w:rPr>
          <w:rFonts w:ascii="Arial" w:cs="Arial" w:eastAsia="Arial" w:hAnsi="Arial"/>
          <w:sz w:val="16"/>
          <w:szCs w:val="16"/>
          <w:color w:val="auto"/>
        </w:rPr>
        <w:t>Being named the Biotechnology Industry Leader on the Dow Jones Sustainability World Index and being recognized as a corporate sustainability leader with Gold Class and Industry Mover Sustainability Awards from RobecoSAM.</w:t>
      </w:r>
    </w:p>
    <w:p>
      <w:pPr>
        <w:spacing w:after="0" w:line="101" w:lineRule="exact"/>
        <w:rPr>
          <w:rFonts w:ascii="Arial" w:cs="Arial" w:eastAsia="Arial" w:hAnsi="Arial"/>
          <w:sz w:val="16"/>
          <w:szCs w:val="16"/>
          <w:color w:val="1A6DBB"/>
        </w:rPr>
      </w:pPr>
    </w:p>
    <w:p>
      <w:pPr>
        <w:ind w:left="420" w:hanging="216"/>
        <w:spacing w:after="0"/>
        <w:tabs>
          <w:tab w:leader="none" w:pos="420" w:val="left"/>
        </w:tabs>
        <w:numPr>
          <w:ilvl w:val="0"/>
          <w:numId w:val="7"/>
        </w:numPr>
        <w:rPr>
          <w:rFonts w:ascii="Arial" w:cs="Arial" w:eastAsia="Arial" w:hAnsi="Arial"/>
          <w:sz w:val="16"/>
          <w:szCs w:val="16"/>
          <w:color w:val="1A6DBB"/>
        </w:rPr>
      </w:pPr>
      <w:r>
        <w:rPr>
          <w:rFonts w:ascii="Arial" w:cs="Arial" w:eastAsia="Arial" w:hAnsi="Arial"/>
          <w:sz w:val="16"/>
          <w:szCs w:val="16"/>
          <w:color w:val="auto"/>
        </w:rPr>
        <w:t>The dedication and commitment of the over 3,200 employees who volunteered from 28 countries during our annual Care Deeply Day.</w:t>
      </w:r>
    </w:p>
    <w:p>
      <w:pPr>
        <w:spacing w:after="0" w:line="126" w:lineRule="exact"/>
        <w:rPr>
          <w:rFonts w:ascii="Arial" w:cs="Arial" w:eastAsia="Arial" w:hAnsi="Arial"/>
          <w:sz w:val="16"/>
          <w:szCs w:val="16"/>
          <w:color w:val="1A6DBB"/>
        </w:rPr>
      </w:pPr>
    </w:p>
    <w:p>
      <w:pPr>
        <w:ind w:left="420" w:hanging="216"/>
        <w:spacing w:after="0"/>
        <w:tabs>
          <w:tab w:leader="none" w:pos="420" w:val="left"/>
        </w:tabs>
        <w:numPr>
          <w:ilvl w:val="0"/>
          <w:numId w:val="7"/>
        </w:numPr>
        <w:rPr>
          <w:rFonts w:ascii="Arial" w:cs="Arial" w:eastAsia="Arial" w:hAnsi="Arial"/>
          <w:sz w:val="16"/>
          <w:szCs w:val="16"/>
          <w:color w:val="1A6DBB"/>
        </w:rPr>
      </w:pPr>
      <w:r>
        <w:rPr>
          <w:rFonts w:ascii="Arial" w:cs="Arial" w:eastAsia="Arial" w:hAnsi="Arial"/>
          <w:sz w:val="16"/>
          <w:szCs w:val="16"/>
          <w:color w:val="auto"/>
        </w:rPr>
        <w:t>The engagement of 50,000+ students in hands-on learning to inspire their passion for science since the inception of Biogen’s Community Labs.</w:t>
      </w:r>
    </w:p>
    <w:p>
      <w:pPr>
        <w:spacing w:after="0" w:line="221" w:lineRule="exact"/>
        <w:rPr>
          <w:sz w:val="20"/>
          <w:szCs w:val="20"/>
          <w:color w:val="auto"/>
        </w:rPr>
      </w:pPr>
    </w:p>
    <w:p>
      <w:pPr>
        <w:ind w:left="200"/>
        <w:spacing w:after="0" w:line="249" w:lineRule="auto"/>
        <w:rPr>
          <w:sz w:val="20"/>
          <w:szCs w:val="20"/>
          <w:color w:val="auto"/>
        </w:rPr>
      </w:pPr>
      <w:r>
        <w:rPr>
          <w:rFonts w:ascii="Arial" w:cs="Arial" w:eastAsia="Arial" w:hAnsi="Arial"/>
          <w:sz w:val="16"/>
          <w:szCs w:val="16"/>
          <w:color w:val="auto"/>
        </w:rPr>
        <w:t xml:space="preserve">On behalf of the Board, I am pleased to invite you to attend our 2019 annual meeting of stockholders, which will be held at our offices located at 225 Binney Street, Cambridge, Massachusetts 02142 on Wednesday, June 19, 2019, beginning at 9:00 a.m. Eastern Time. For those who cannot attend in person, we are offering a virtual stockholder meeting in which you can view the meeting, submit questions and vote online at </w:t>
      </w:r>
      <w:r>
        <w:rPr>
          <w:rFonts w:ascii="Arial" w:cs="Arial" w:eastAsia="Arial" w:hAnsi="Arial"/>
          <w:sz w:val="16"/>
          <w:szCs w:val="16"/>
          <w:u w:val="single" w:color="auto"/>
          <w:color w:val="auto"/>
        </w:rPr>
        <w:t>www.virtualshareholdermeeting.com/BIIB2019</w:t>
      </w:r>
      <w:r>
        <w:rPr>
          <w:rFonts w:ascii="Arial" w:cs="Arial" w:eastAsia="Arial" w:hAnsi="Arial"/>
          <w:sz w:val="16"/>
          <w:szCs w:val="16"/>
          <w:color w:val="auto"/>
        </w:rPr>
        <w:t xml:space="preserve">. You will need the 16-digit control number included with these proxy materials to attend the annual meeting virtually via the Internet. </w:t>
      </w:r>
      <w:r>
        <w:rPr>
          <w:rFonts w:ascii="Arial" w:cs="Arial" w:eastAsia="Arial" w:hAnsi="Arial"/>
          <w:sz w:val="16"/>
          <w:szCs w:val="16"/>
          <w:b w:val="1"/>
          <w:bCs w:val="1"/>
          <w:color w:val="auto"/>
        </w:rPr>
        <w:t>Stockholders who attend the annual meeting virtually via the Internet will have the opportunity to participate fully in the</w:t>
      </w:r>
      <w:r>
        <w:rPr>
          <w:rFonts w:ascii="Arial" w:cs="Arial" w:eastAsia="Arial" w:hAnsi="Arial"/>
          <w:sz w:val="16"/>
          <w:szCs w:val="16"/>
          <w:color w:val="auto"/>
        </w:rPr>
        <w:t xml:space="preserve"> </w:t>
      </w:r>
      <w:r>
        <w:rPr>
          <w:rFonts w:ascii="Arial" w:cs="Arial" w:eastAsia="Arial" w:hAnsi="Arial"/>
          <w:sz w:val="16"/>
          <w:szCs w:val="16"/>
          <w:b w:val="1"/>
          <w:bCs w:val="1"/>
          <w:color w:val="auto"/>
        </w:rPr>
        <w:t>meeting on an equal basis with those who attend in person.</w:t>
      </w:r>
    </w:p>
    <w:p>
      <w:pPr>
        <w:spacing w:after="0" w:line="205" w:lineRule="exact"/>
        <w:rPr>
          <w:sz w:val="20"/>
          <w:szCs w:val="20"/>
          <w:color w:val="auto"/>
        </w:rPr>
      </w:pPr>
    </w:p>
    <w:p>
      <w:pPr>
        <w:ind w:left="200"/>
        <w:spacing w:after="0" w:line="260" w:lineRule="auto"/>
        <w:rPr>
          <w:sz w:val="20"/>
          <w:szCs w:val="20"/>
          <w:color w:val="auto"/>
        </w:rPr>
      </w:pPr>
      <w:r>
        <w:rPr>
          <w:rFonts w:ascii="Arial" w:cs="Arial" w:eastAsia="Arial" w:hAnsi="Arial"/>
          <w:sz w:val="16"/>
          <w:szCs w:val="16"/>
          <w:color w:val="auto"/>
        </w:rPr>
        <w:t>The following notice of our annual meeting of stockholders contains details of the business to be conducted at the meeting. Only stockholders of record at the close of business on April 22, 2019, will be entitled to notice of, and to vote at, the annual meeting.</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On behalf of the Board of Directors, I thank you for your continued support and investment in Biogen.</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168910</wp:posOffset>
            </wp:positionV>
            <wp:extent cx="1089025" cy="4546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8902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TELIOS</w:t>
      </w:r>
      <w:r>
        <w:rPr>
          <w:rFonts w:ascii="Arial" w:cs="Arial" w:eastAsia="Arial" w:hAnsi="Arial"/>
          <w:sz w:val="16"/>
          <w:szCs w:val="16"/>
          <w:color w:val="auto"/>
        </w:rPr>
        <w:t xml:space="preserve"> P</w:t>
      </w:r>
      <w:r>
        <w:rPr>
          <w:rFonts w:ascii="Arial" w:cs="Arial" w:eastAsia="Arial" w:hAnsi="Arial"/>
          <w:sz w:val="13"/>
          <w:szCs w:val="13"/>
          <w:color w:val="auto"/>
        </w:rPr>
        <w:t>APADOPOULOS</w:t>
      </w:r>
      <w:r>
        <w:rPr>
          <w:rFonts w:ascii="Arial" w:cs="Arial" w:eastAsia="Arial" w:hAnsi="Arial"/>
          <w:sz w:val="16"/>
          <w:szCs w:val="16"/>
          <w:color w:val="auto"/>
        </w:rPr>
        <w:t>, Ph.D.</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Chairman of the Board</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On behalf of the Board of Directors of Biogen Inc.</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994410</wp:posOffset>
            </wp:positionV>
            <wp:extent cx="6869430" cy="4718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69430" cy="47180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205740</wp:posOffset>
            </wp:positionV>
            <wp:extent cx="1543685" cy="523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4368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00"/>
        <w:spacing w:after="0"/>
        <w:rPr>
          <w:sz w:val="20"/>
          <w:szCs w:val="20"/>
          <w:color w:val="auto"/>
        </w:rPr>
      </w:pPr>
      <w:r>
        <w:rPr>
          <w:rFonts w:ascii="Arial" w:cs="Arial" w:eastAsia="Arial" w:hAnsi="Arial"/>
          <w:sz w:val="29"/>
          <w:szCs w:val="29"/>
          <w:color w:val="FFFFFF"/>
        </w:rPr>
        <w:t>Notice of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-208280</wp:posOffset>
            </wp:positionV>
            <wp:extent cx="6938010" cy="4718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3801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1980" w:type="dxa"/>
            <w:vAlign w:val="bottom"/>
          </w:tcPr>
          <w:p>
            <w:pPr>
              <w:spacing w:after="0"/>
              <w:rPr>
                <w:sz w:val="20"/>
                <w:szCs w:val="20"/>
                <w:color w:val="auto"/>
              </w:rPr>
            </w:pPr>
            <w:r>
              <w:rPr>
                <w:rFonts w:ascii="Arial" w:cs="Arial" w:eastAsia="Arial" w:hAnsi="Arial"/>
                <w:sz w:val="16"/>
                <w:szCs w:val="16"/>
                <w:b w:val="1"/>
                <w:bCs w:val="1"/>
                <w:color w:val="1A6DBB"/>
              </w:rPr>
              <w:t>Date:</w:t>
            </w:r>
          </w:p>
        </w:tc>
        <w:tc>
          <w:tcPr>
            <w:tcW w:w="54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Wednesday, June 19, 2019</w:t>
            </w:r>
          </w:p>
        </w:tc>
      </w:tr>
      <w:tr>
        <w:trPr>
          <w:trHeight w:val="324"/>
        </w:trPr>
        <w:tc>
          <w:tcPr>
            <w:tcW w:w="1980" w:type="dxa"/>
            <w:vAlign w:val="bottom"/>
          </w:tcPr>
          <w:p>
            <w:pPr>
              <w:spacing w:after="0"/>
              <w:rPr>
                <w:sz w:val="20"/>
                <w:szCs w:val="20"/>
                <w:color w:val="auto"/>
              </w:rPr>
            </w:pPr>
            <w:r>
              <w:rPr>
                <w:rFonts w:ascii="Arial" w:cs="Arial" w:eastAsia="Arial" w:hAnsi="Arial"/>
                <w:sz w:val="16"/>
                <w:szCs w:val="16"/>
                <w:b w:val="1"/>
                <w:bCs w:val="1"/>
                <w:color w:val="1A6DBB"/>
              </w:rPr>
              <w:t>Time:</w:t>
            </w:r>
          </w:p>
        </w:tc>
        <w:tc>
          <w:tcPr>
            <w:tcW w:w="540" w:type="dxa"/>
            <w:vAlign w:val="bottom"/>
          </w:tcPr>
          <w:p>
            <w:pPr>
              <w:spacing w:after="0"/>
              <w:rPr>
                <w:sz w:val="24"/>
                <w:szCs w:val="24"/>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9:00 a.m. Eastern Time</w:t>
            </w:r>
          </w:p>
        </w:tc>
      </w:tr>
      <w:tr>
        <w:trPr>
          <w:trHeight w:val="324"/>
        </w:trPr>
        <w:tc>
          <w:tcPr>
            <w:tcW w:w="1980" w:type="dxa"/>
            <w:vAlign w:val="bottom"/>
          </w:tcPr>
          <w:p>
            <w:pPr>
              <w:spacing w:after="0"/>
              <w:rPr>
                <w:sz w:val="20"/>
                <w:szCs w:val="20"/>
                <w:color w:val="auto"/>
              </w:rPr>
            </w:pPr>
            <w:r>
              <w:rPr>
                <w:rFonts w:ascii="Arial" w:cs="Arial" w:eastAsia="Arial" w:hAnsi="Arial"/>
                <w:sz w:val="16"/>
                <w:szCs w:val="16"/>
                <w:b w:val="1"/>
                <w:bCs w:val="1"/>
                <w:color w:val="1A6DBB"/>
              </w:rPr>
              <w:t>Place:</w:t>
            </w:r>
          </w:p>
        </w:tc>
        <w:tc>
          <w:tcPr>
            <w:tcW w:w="540" w:type="dxa"/>
            <w:vAlign w:val="bottom"/>
          </w:tcPr>
          <w:p>
            <w:pPr>
              <w:spacing w:after="0"/>
              <w:rPr>
                <w:sz w:val="24"/>
                <w:szCs w:val="24"/>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Biogen Inc.</w:t>
            </w:r>
          </w:p>
        </w:tc>
      </w:tr>
      <w:tr>
        <w:trPr>
          <w:trHeight w:val="197"/>
        </w:trPr>
        <w:tc>
          <w:tcPr>
            <w:tcW w:w="1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500" w:type="dxa"/>
            <w:vAlign w:val="bottom"/>
            <w:gridSpan w:val="2"/>
          </w:tcPr>
          <w:p>
            <w:pPr>
              <w:ind w:left="20"/>
              <w:spacing w:after="0"/>
              <w:rPr>
                <w:sz w:val="20"/>
                <w:szCs w:val="20"/>
                <w:color w:val="auto"/>
              </w:rPr>
            </w:pPr>
            <w:r>
              <w:rPr>
                <w:rFonts w:ascii="Arial" w:cs="Arial" w:eastAsia="Arial" w:hAnsi="Arial"/>
                <w:sz w:val="16"/>
                <w:szCs w:val="16"/>
                <w:color w:val="auto"/>
              </w:rPr>
              <w:t>225 Binney Street</w:t>
            </w:r>
          </w:p>
        </w:tc>
      </w:tr>
      <w:tr>
        <w:trPr>
          <w:trHeight w:val="195"/>
        </w:trPr>
        <w:tc>
          <w:tcPr>
            <w:tcW w:w="1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500" w:type="dxa"/>
            <w:vAlign w:val="bottom"/>
            <w:gridSpan w:val="2"/>
          </w:tcPr>
          <w:p>
            <w:pPr>
              <w:ind w:left="20"/>
              <w:spacing w:after="0"/>
              <w:rPr>
                <w:sz w:val="20"/>
                <w:szCs w:val="20"/>
                <w:color w:val="auto"/>
              </w:rPr>
            </w:pPr>
            <w:r>
              <w:rPr>
                <w:rFonts w:ascii="Arial" w:cs="Arial" w:eastAsia="Arial" w:hAnsi="Arial"/>
                <w:sz w:val="16"/>
                <w:szCs w:val="16"/>
                <w:color w:val="auto"/>
              </w:rPr>
              <w:t>Cambridge, Massachusetts 02142</w:t>
            </w:r>
          </w:p>
        </w:tc>
      </w:tr>
      <w:tr>
        <w:trPr>
          <w:trHeight w:val="305"/>
        </w:trPr>
        <w:tc>
          <w:tcPr>
            <w:tcW w:w="1980" w:type="dxa"/>
            <w:vAlign w:val="bottom"/>
          </w:tcPr>
          <w:p>
            <w:pPr>
              <w:spacing w:after="0"/>
              <w:rPr>
                <w:sz w:val="20"/>
                <w:szCs w:val="20"/>
                <w:color w:val="auto"/>
              </w:rPr>
            </w:pPr>
            <w:r>
              <w:rPr>
                <w:rFonts w:ascii="Arial" w:cs="Arial" w:eastAsia="Arial" w:hAnsi="Arial"/>
                <w:sz w:val="16"/>
                <w:szCs w:val="16"/>
                <w:b w:val="1"/>
                <w:bCs w:val="1"/>
                <w:color w:val="1A6DBB"/>
              </w:rPr>
              <w:t>Record Date:</w:t>
            </w:r>
          </w:p>
        </w:tc>
        <w:tc>
          <w:tcPr>
            <w:tcW w:w="540" w:type="dxa"/>
            <w:vAlign w:val="bottom"/>
          </w:tcPr>
          <w:p>
            <w:pPr>
              <w:spacing w:after="0"/>
              <w:rPr>
                <w:sz w:val="24"/>
                <w:szCs w:val="24"/>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April 22, 2019. Only Biogen stockholders of record at the close of business on the record date are entitled to receive</w:t>
            </w:r>
          </w:p>
        </w:tc>
      </w:tr>
      <w:tr>
        <w:trPr>
          <w:trHeight w:val="195"/>
        </w:trPr>
        <w:tc>
          <w:tcPr>
            <w:tcW w:w="1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notice of, and vote at, the annual meeting.</w:t>
            </w:r>
          </w:p>
        </w:tc>
      </w:tr>
      <w:tr>
        <w:trPr>
          <w:trHeight w:val="305"/>
        </w:trPr>
        <w:tc>
          <w:tcPr>
            <w:tcW w:w="1980" w:type="dxa"/>
            <w:vAlign w:val="bottom"/>
          </w:tcPr>
          <w:p>
            <w:pPr>
              <w:spacing w:after="0"/>
              <w:rPr>
                <w:sz w:val="20"/>
                <w:szCs w:val="20"/>
                <w:color w:val="auto"/>
              </w:rPr>
            </w:pPr>
            <w:r>
              <w:rPr>
                <w:rFonts w:ascii="Arial" w:cs="Arial" w:eastAsia="Arial" w:hAnsi="Arial"/>
                <w:sz w:val="16"/>
                <w:szCs w:val="16"/>
                <w:b w:val="1"/>
                <w:bCs w:val="1"/>
                <w:color w:val="1A6DBB"/>
              </w:rPr>
              <w:t>Items of Business:</w:t>
            </w:r>
          </w:p>
        </w:tc>
        <w:tc>
          <w:tcPr>
            <w:tcW w:w="9040" w:type="dxa"/>
            <w:vAlign w:val="bottom"/>
            <w:gridSpan w:val="3"/>
          </w:tcPr>
          <w:p>
            <w:pPr>
              <w:ind w:left="520"/>
              <w:spacing w:after="0"/>
              <w:rPr>
                <w:sz w:val="20"/>
                <w:szCs w:val="20"/>
                <w:color w:val="auto"/>
              </w:rPr>
            </w:pPr>
            <w:r>
              <w:rPr>
                <w:rFonts w:ascii="Arial" w:cs="Arial" w:eastAsia="Arial" w:hAnsi="Arial"/>
                <w:sz w:val="16"/>
                <w:szCs w:val="16"/>
                <w:color w:val="auto"/>
              </w:rPr>
              <w:t>1. To elect the 14 nominees identified in the accompanying Proxy Statement to our Board of Directors to serve for a</w:t>
            </w:r>
          </w:p>
        </w:tc>
      </w:tr>
      <w:tr>
        <w:trPr>
          <w:trHeight w:val="189"/>
        </w:trPr>
        <w:tc>
          <w:tcPr>
            <w:tcW w:w="1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500" w:type="dxa"/>
            <w:vAlign w:val="bottom"/>
            <w:gridSpan w:val="2"/>
          </w:tcPr>
          <w:p>
            <w:pPr>
              <w:ind w:left="220"/>
              <w:spacing w:after="0"/>
              <w:rPr>
                <w:sz w:val="20"/>
                <w:szCs w:val="20"/>
                <w:color w:val="auto"/>
              </w:rPr>
            </w:pPr>
            <w:r>
              <w:rPr>
                <w:rFonts w:ascii="Arial" w:cs="Arial" w:eastAsia="Arial" w:hAnsi="Arial"/>
                <w:sz w:val="16"/>
                <w:szCs w:val="16"/>
                <w:color w:val="auto"/>
              </w:rPr>
              <w:t>one-year term extending until the 2020 annual meeting of stockholders and their successors are duly elected and</w:t>
            </w:r>
          </w:p>
        </w:tc>
      </w:tr>
      <w:tr>
        <w:trPr>
          <w:trHeight w:val="195"/>
        </w:trPr>
        <w:tc>
          <w:tcPr>
            <w:tcW w:w="1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500" w:type="dxa"/>
            <w:vAlign w:val="bottom"/>
            <w:gridSpan w:val="2"/>
          </w:tcPr>
          <w:p>
            <w:pPr>
              <w:ind w:left="220"/>
              <w:spacing w:after="0"/>
              <w:rPr>
                <w:sz w:val="20"/>
                <w:szCs w:val="20"/>
                <w:color w:val="auto"/>
              </w:rPr>
            </w:pPr>
            <w:r>
              <w:rPr>
                <w:rFonts w:ascii="Arial" w:cs="Arial" w:eastAsia="Arial" w:hAnsi="Arial"/>
                <w:sz w:val="16"/>
                <w:szCs w:val="16"/>
                <w:color w:val="auto"/>
              </w:rPr>
              <w:t>qualified.</w:t>
            </w:r>
          </w:p>
        </w:tc>
      </w:tr>
      <w:tr>
        <w:trPr>
          <w:trHeight w:val="305"/>
        </w:trPr>
        <w:tc>
          <w:tcPr>
            <w:tcW w:w="1980" w:type="dxa"/>
            <w:vAlign w:val="bottom"/>
          </w:tcPr>
          <w:p>
            <w:pPr>
              <w:spacing w:after="0"/>
              <w:rPr>
                <w:sz w:val="24"/>
                <w:szCs w:val="24"/>
                <w:color w:val="auto"/>
              </w:rPr>
            </w:pPr>
          </w:p>
        </w:tc>
        <w:tc>
          <w:tcPr>
            <w:tcW w:w="9040" w:type="dxa"/>
            <w:vAlign w:val="bottom"/>
            <w:gridSpan w:val="3"/>
          </w:tcPr>
          <w:p>
            <w:pPr>
              <w:ind w:left="520"/>
              <w:spacing w:after="0"/>
              <w:rPr>
                <w:sz w:val="20"/>
                <w:szCs w:val="20"/>
                <w:color w:val="auto"/>
              </w:rPr>
            </w:pPr>
            <w:r>
              <w:rPr>
                <w:rFonts w:ascii="Arial" w:cs="Arial" w:eastAsia="Arial" w:hAnsi="Arial"/>
                <w:sz w:val="16"/>
                <w:szCs w:val="16"/>
                <w:color w:val="auto"/>
              </w:rPr>
              <w:t>2. To ratify the selection of PricewaterhouseCoopers LLP as our independent registered public accounting firm for the</w:t>
            </w:r>
          </w:p>
        </w:tc>
      </w:tr>
      <w:tr>
        <w:trPr>
          <w:trHeight w:val="195"/>
        </w:trPr>
        <w:tc>
          <w:tcPr>
            <w:tcW w:w="1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500" w:type="dxa"/>
            <w:vAlign w:val="bottom"/>
            <w:gridSpan w:val="2"/>
          </w:tcPr>
          <w:p>
            <w:pPr>
              <w:ind w:left="220"/>
              <w:spacing w:after="0"/>
              <w:rPr>
                <w:sz w:val="20"/>
                <w:szCs w:val="20"/>
                <w:color w:val="auto"/>
              </w:rPr>
            </w:pPr>
            <w:r>
              <w:rPr>
                <w:rFonts w:ascii="Arial" w:cs="Arial" w:eastAsia="Arial" w:hAnsi="Arial"/>
                <w:sz w:val="16"/>
                <w:szCs w:val="16"/>
                <w:color w:val="auto"/>
              </w:rPr>
              <w:t>fiscal year ending December 31, 2019.</w:t>
            </w:r>
          </w:p>
        </w:tc>
      </w:tr>
      <w:tr>
        <w:trPr>
          <w:trHeight w:val="311"/>
        </w:trPr>
        <w:tc>
          <w:tcPr>
            <w:tcW w:w="1980" w:type="dxa"/>
            <w:vAlign w:val="bottom"/>
          </w:tcPr>
          <w:p>
            <w:pPr>
              <w:spacing w:after="0"/>
              <w:rPr>
                <w:sz w:val="24"/>
                <w:szCs w:val="24"/>
                <w:color w:val="auto"/>
              </w:rPr>
            </w:pPr>
          </w:p>
        </w:tc>
        <w:tc>
          <w:tcPr>
            <w:tcW w:w="9040" w:type="dxa"/>
            <w:vAlign w:val="bottom"/>
            <w:gridSpan w:val="3"/>
          </w:tcPr>
          <w:p>
            <w:pPr>
              <w:ind w:left="520"/>
              <w:spacing w:after="0"/>
              <w:rPr>
                <w:sz w:val="20"/>
                <w:szCs w:val="20"/>
                <w:color w:val="auto"/>
              </w:rPr>
            </w:pPr>
            <w:r>
              <w:rPr>
                <w:rFonts w:ascii="Arial" w:cs="Arial" w:eastAsia="Arial" w:hAnsi="Arial"/>
                <w:sz w:val="16"/>
                <w:szCs w:val="16"/>
                <w:color w:val="auto"/>
              </w:rPr>
              <w:t>3. To hold an advisory vote on executive compensation.</w:t>
            </w:r>
          </w:p>
        </w:tc>
      </w:tr>
      <w:tr>
        <w:trPr>
          <w:trHeight w:val="305"/>
        </w:trPr>
        <w:tc>
          <w:tcPr>
            <w:tcW w:w="1980" w:type="dxa"/>
            <w:vAlign w:val="bottom"/>
          </w:tcPr>
          <w:p>
            <w:pPr>
              <w:spacing w:after="0"/>
              <w:rPr>
                <w:sz w:val="24"/>
                <w:szCs w:val="24"/>
                <w:color w:val="auto"/>
              </w:rPr>
            </w:pPr>
          </w:p>
        </w:tc>
        <w:tc>
          <w:tcPr>
            <w:tcW w:w="9040" w:type="dxa"/>
            <w:vAlign w:val="bottom"/>
            <w:gridSpan w:val="3"/>
          </w:tcPr>
          <w:p>
            <w:pPr>
              <w:ind w:left="520"/>
              <w:spacing w:after="0"/>
              <w:rPr>
                <w:sz w:val="20"/>
                <w:szCs w:val="20"/>
                <w:color w:val="auto"/>
              </w:rPr>
            </w:pPr>
            <w:r>
              <w:rPr>
                <w:rFonts w:ascii="Arial" w:cs="Arial" w:eastAsia="Arial" w:hAnsi="Arial"/>
                <w:sz w:val="16"/>
                <w:szCs w:val="16"/>
                <w:color w:val="auto"/>
              </w:rPr>
              <w:t>4. To transact such other business as may be properly brought before the annual meeting and any adjournments or</w:t>
            </w:r>
          </w:p>
        </w:tc>
      </w:tr>
      <w:tr>
        <w:trPr>
          <w:trHeight w:val="195"/>
        </w:trPr>
        <w:tc>
          <w:tcPr>
            <w:tcW w:w="1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500" w:type="dxa"/>
            <w:vAlign w:val="bottom"/>
            <w:gridSpan w:val="2"/>
          </w:tcPr>
          <w:p>
            <w:pPr>
              <w:ind w:left="220"/>
              <w:spacing w:after="0"/>
              <w:rPr>
                <w:sz w:val="20"/>
                <w:szCs w:val="20"/>
                <w:color w:val="auto"/>
              </w:rPr>
            </w:pPr>
            <w:r>
              <w:rPr>
                <w:rFonts w:ascii="Arial" w:cs="Arial" w:eastAsia="Arial" w:hAnsi="Arial"/>
                <w:sz w:val="16"/>
                <w:szCs w:val="16"/>
                <w:color w:val="auto"/>
              </w:rPr>
              <w:t>postponements.</w:t>
            </w:r>
          </w:p>
        </w:tc>
      </w:tr>
      <w:tr>
        <w:trPr>
          <w:trHeight w:val="305"/>
        </w:trPr>
        <w:tc>
          <w:tcPr>
            <w:tcW w:w="1980" w:type="dxa"/>
            <w:vAlign w:val="bottom"/>
          </w:tcPr>
          <w:p>
            <w:pPr>
              <w:spacing w:after="0"/>
              <w:rPr>
                <w:sz w:val="20"/>
                <w:szCs w:val="20"/>
                <w:color w:val="auto"/>
              </w:rPr>
            </w:pPr>
            <w:r>
              <w:rPr>
                <w:rFonts w:ascii="Arial" w:cs="Arial" w:eastAsia="Arial" w:hAnsi="Arial"/>
                <w:sz w:val="16"/>
                <w:szCs w:val="16"/>
                <w:b w:val="1"/>
                <w:bCs w:val="1"/>
                <w:color w:val="1A6DBB"/>
              </w:rPr>
              <w:t>Virtual Meeting:</w:t>
            </w:r>
          </w:p>
        </w:tc>
        <w:tc>
          <w:tcPr>
            <w:tcW w:w="540" w:type="dxa"/>
            <w:vAlign w:val="bottom"/>
          </w:tcPr>
          <w:p>
            <w:pPr>
              <w:spacing w:after="0"/>
              <w:rPr>
                <w:sz w:val="24"/>
                <w:szCs w:val="24"/>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To participate in the annual meeting virtually via the Internet, please visit</w:t>
            </w:r>
          </w:p>
        </w:tc>
      </w:tr>
      <w:tr>
        <w:trPr>
          <w:trHeight w:val="160"/>
        </w:trPr>
        <w:tc>
          <w:tcPr>
            <w:tcW w:w="1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500" w:type="dxa"/>
            <w:vAlign w:val="bottom"/>
            <w:gridSpan w:val="2"/>
          </w:tcPr>
          <w:p>
            <w:pPr>
              <w:spacing w:after="0" w:line="160" w:lineRule="exact"/>
              <w:rPr>
                <w:sz w:val="20"/>
                <w:szCs w:val="20"/>
                <w:color w:val="auto"/>
              </w:rPr>
            </w:pPr>
            <w:r>
              <w:rPr>
                <w:rFonts w:ascii="Arial" w:cs="Arial" w:eastAsia="Arial" w:hAnsi="Arial"/>
                <w:sz w:val="16"/>
                <w:szCs w:val="16"/>
                <w:color w:val="auto"/>
              </w:rPr>
              <w:t>www.virtualshareholdermeeting.com/BIIB2019. You will need the 16-digit control number included on your Notice of</w:t>
            </w:r>
          </w:p>
        </w:tc>
      </w:tr>
      <w:tr>
        <w:trPr>
          <w:trHeight w:val="20"/>
        </w:trPr>
        <w:tc>
          <w:tcPr>
            <w:tcW w:w="1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178"/>
        </w:trPr>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500" w:type="dxa"/>
            <w:vAlign w:val="bottom"/>
            <w:gridSpan w:val="2"/>
          </w:tcPr>
          <w:p>
            <w:pPr>
              <w:spacing w:after="0" w:line="178" w:lineRule="exact"/>
              <w:rPr>
                <w:sz w:val="20"/>
                <w:szCs w:val="20"/>
                <w:color w:val="auto"/>
              </w:rPr>
            </w:pPr>
            <w:r>
              <w:rPr>
                <w:rFonts w:ascii="Arial" w:cs="Arial" w:eastAsia="Arial" w:hAnsi="Arial"/>
                <w:sz w:val="16"/>
                <w:szCs w:val="16"/>
                <w:color w:val="auto"/>
              </w:rPr>
              <w:t>Internet Availability of Proxy Materials, your proxy card or the instructions that accompanied your proxy materials.</w:t>
            </w:r>
          </w:p>
        </w:tc>
      </w:tr>
      <w:tr>
        <w:trPr>
          <w:trHeight w:val="189"/>
        </w:trPr>
        <w:tc>
          <w:tcPr>
            <w:tcW w:w="1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500" w:type="dxa"/>
            <w:vAlign w:val="bottom"/>
            <w:gridSpan w:val="2"/>
          </w:tcPr>
          <w:p>
            <w:pPr>
              <w:spacing w:after="0"/>
              <w:rPr>
                <w:sz w:val="20"/>
                <w:szCs w:val="20"/>
                <w:color w:val="auto"/>
              </w:rPr>
            </w:pPr>
            <w:r>
              <w:rPr>
                <w:rFonts w:ascii="Arial" w:cs="Arial" w:eastAsia="Arial" w:hAnsi="Arial"/>
                <w:sz w:val="16"/>
                <w:szCs w:val="16"/>
                <w:b w:val="1"/>
                <w:bCs w:val="1"/>
                <w:color w:val="auto"/>
              </w:rPr>
              <w:t>Stockholders who attend the annual meeting virtually via the Internet will have the opportunity to participate</w:t>
            </w:r>
          </w:p>
        </w:tc>
      </w:tr>
      <w:tr>
        <w:trPr>
          <w:trHeight w:val="215"/>
        </w:trPr>
        <w:tc>
          <w:tcPr>
            <w:tcW w:w="1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6"/>
                <w:szCs w:val="16"/>
                <w:b w:val="1"/>
                <w:bCs w:val="1"/>
                <w:color w:val="auto"/>
              </w:rPr>
              <w:t>fully in the meeting on an equal basis with those who attend in person.</w:t>
            </w:r>
          </w:p>
        </w:tc>
      </w:tr>
      <w:tr>
        <w:trPr>
          <w:trHeight w:val="285"/>
        </w:trPr>
        <w:tc>
          <w:tcPr>
            <w:tcW w:w="1980" w:type="dxa"/>
            <w:vAlign w:val="bottom"/>
          </w:tcPr>
          <w:p>
            <w:pPr>
              <w:spacing w:after="0"/>
              <w:rPr>
                <w:sz w:val="20"/>
                <w:szCs w:val="20"/>
                <w:color w:val="auto"/>
              </w:rPr>
            </w:pPr>
            <w:r>
              <w:rPr>
                <w:rFonts w:ascii="Arial" w:cs="Arial" w:eastAsia="Arial" w:hAnsi="Arial"/>
                <w:sz w:val="16"/>
                <w:szCs w:val="16"/>
                <w:b w:val="1"/>
                <w:bCs w:val="1"/>
                <w:color w:val="1A6DBB"/>
              </w:rPr>
              <w:t>Voting:</w:t>
            </w:r>
          </w:p>
        </w:tc>
        <w:tc>
          <w:tcPr>
            <w:tcW w:w="540" w:type="dxa"/>
            <w:vAlign w:val="bottom"/>
          </w:tcPr>
          <w:p>
            <w:pPr>
              <w:spacing w:after="0"/>
              <w:rPr>
                <w:sz w:val="24"/>
                <w:szCs w:val="24"/>
                <w:color w:val="auto"/>
              </w:rPr>
            </w:pPr>
          </w:p>
        </w:tc>
        <w:tc>
          <w:tcPr>
            <w:tcW w:w="8500" w:type="dxa"/>
            <w:vAlign w:val="bottom"/>
            <w:gridSpan w:val="2"/>
          </w:tcPr>
          <w:p>
            <w:pPr>
              <w:spacing w:after="0"/>
              <w:rPr>
                <w:sz w:val="20"/>
                <w:szCs w:val="20"/>
                <w:color w:val="auto"/>
              </w:rPr>
            </w:pPr>
            <w:r>
              <w:rPr>
                <w:rFonts w:ascii="Arial" w:cs="Arial" w:eastAsia="Arial" w:hAnsi="Arial"/>
                <w:sz w:val="16"/>
                <w:szCs w:val="16"/>
                <w:b w:val="1"/>
                <w:bCs w:val="1"/>
                <w:color w:val="auto"/>
              </w:rPr>
              <w:t>Your vote is extremely important regardless of the number of shares you own. Whether or not you expect to</w:t>
            </w:r>
          </w:p>
        </w:tc>
      </w:tr>
      <w:tr>
        <w:trPr>
          <w:trHeight w:val="189"/>
        </w:trPr>
        <w:tc>
          <w:tcPr>
            <w:tcW w:w="1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500" w:type="dxa"/>
            <w:vAlign w:val="bottom"/>
            <w:gridSpan w:val="2"/>
          </w:tcPr>
          <w:p>
            <w:pPr>
              <w:spacing w:after="0"/>
              <w:rPr>
                <w:sz w:val="20"/>
                <w:szCs w:val="20"/>
                <w:color w:val="auto"/>
              </w:rPr>
            </w:pPr>
            <w:r>
              <w:rPr>
                <w:rFonts w:ascii="Arial" w:cs="Arial" w:eastAsia="Arial" w:hAnsi="Arial"/>
                <w:sz w:val="16"/>
                <w:szCs w:val="16"/>
                <w:b w:val="1"/>
                <w:bCs w:val="1"/>
                <w:color w:val="auto"/>
              </w:rPr>
              <w:t>attend the annual meeting, we urge you to vote as promptly as possible by telephone or Internet or by</w:t>
            </w:r>
          </w:p>
        </w:tc>
      </w:tr>
      <w:tr>
        <w:trPr>
          <w:trHeight w:val="189"/>
        </w:trPr>
        <w:tc>
          <w:tcPr>
            <w:tcW w:w="1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500" w:type="dxa"/>
            <w:vAlign w:val="bottom"/>
            <w:gridSpan w:val="2"/>
          </w:tcPr>
          <w:p>
            <w:pPr>
              <w:spacing w:after="0"/>
              <w:rPr>
                <w:sz w:val="20"/>
                <w:szCs w:val="20"/>
                <w:color w:val="auto"/>
              </w:rPr>
            </w:pPr>
            <w:r>
              <w:rPr>
                <w:rFonts w:ascii="Arial" w:cs="Arial" w:eastAsia="Arial" w:hAnsi="Arial"/>
                <w:sz w:val="16"/>
                <w:szCs w:val="16"/>
                <w:b w:val="1"/>
                <w:bCs w:val="1"/>
                <w:color w:val="auto"/>
              </w:rPr>
              <w:t>signing, dating and returning a printed proxy card or voting instruction form, as applicable. If you attend the</w:t>
            </w:r>
          </w:p>
        </w:tc>
      </w:tr>
      <w:tr>
        <w:trPr>
          <w:trHeight w:val="189"/>
        </w:trPr>
        <w:tc>
          <w:tcPr>
            <w:tcW w:w="1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500" w:type="dxa"/>
            <w:vAlign w:val="bottom"/>
            <w:gridSpan w:val="2"/>
          </w:tcPr>
          <w:p>
            <w:pPr>
              <w:spacing w:after="0"/>
              <w:rPr>
                <w:sz w:val="20"/>
                <w:szCs w:val="20"/>
                <w:color w:val="auto"/>
              </w:rPr>
            </w:pPr>
            <w:r>
              <w:rPr>
                <w:rFonts w:ascii="Arial" w:cs="Arial" w:eastAsia="Arial" w:hAnsi="Arial"/>
                <w:sz w:val="16"/>
                <w:szCs w:val="16"/>
                <w:b w:val="1"/>
                <w:bCs w:val="1"/>
                <w:color w:val="auto"/>
              </w:rPr>
              <w:t>annual meeting, you may vote your shares during the annual meeting even if you previously voted your proxy.</w:t>
            </w:r>
          </w:p>
        </w:tc>
      </w:tr>
      <w:tr>
        <w:trPr>
          <w:trHeight w:val="189"/>
        </w:trPr>
        <w:tc>
          <w:tcPr>
            <w:tcW w:w="1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500" w:type="dxa"/>
            <w:vAlign w:val="bottom"/>
            <w:gridSpan w:val="2"/>
          </w:tcPr>
          <w:p>
            <w:pPr>
              <w:spacing w:after="0"/>
              <w:rPr>
                <w:sz w:val="20"/>
                <w:szCs w:val="20"/>
                <w:color w:val="auto"/>
              </w:rPr>
            </w:pPr>
            <w:r>
              <w:rPr>
                <w:rFonts w:ascii="Arial" w:cs="Arial" w:eastAsia="Arial" w:hAnsi="Arial"/>
                <w:sz w:val="16"/>
                <w:szCs w:val="16"/>
                <w:b w:val="1"/>
                <w:bCs w:val="1"/>
                <w:color w:val="auto"/>
              </w:rPr>
              <w:t>Please vote as soon as possible to ensure that your shares will be represented and counted at the annual</w:t>
            </w:r>
          </w:p>
        </w:tc>
      </w:tr>
      <w:tr>
        <w:trPr>
          <w:trHeight w:val="215"/>
        </w:trPr>
        <w:tc>
          <w:tcPr>
            <w:tcW w:w="1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6"/>
                <w:szCs w:val="16"/>
                <w:b w:val="1"/>
                <w:bCs w:val="1"/>
                <w:color w:val="auto"/>
              </w:rPr>
              <w:t>meeting.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120015</wp:posOffset>
            </wp:positionV>
            <wp:extent cx="7023100" cy="6083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23100" cy="608330"/>
                    </a:xfrm>
                    <a:prstGeom prst="rect">
                      <a:avLst/>
                    </a:prstGeom>
                    <a:noFill/>
                  </pic:spPr>
                </pic:pic>
              </a:graphicData>
            </a:graphic>
          </wp:anchor>
        </w:drawing>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Important Notice Regarding the Availability of Proxy Materials for Annual Meeting of Stockholders</w:t>
      </w:r>
    </w:p>
    <w:p>
      <w:pPr>
        <w:spacing w:after="0" w:line="25"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To Be Held on June 19, 2019:</w:t>
      </w:r>
    </w:p>
    <w:p>
      <w:pPr>
        <w:spacing w:after="0" w:line="7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The Notice of 2019 Annual Meeting of Stockholders, Proxy Statement and 2018 Annual Report on Form 10-K</w:t>
      </w:r>
    </w:p>
    <w:p>
      <w:pPr>
        <w:spacing w:after="0" w:line="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 xml:space="preserve">are available at the following website: </w:t>
      </w:r>
      <w:r>
        <w:rPr>
          <w:rFonts w:ascii="Arial" w:cs="Arial" w:eastAsia="Arial" w:hAnsi="Arial"/>
          <w:sz w:val="16"/>
          <w:szCs w:val="16"/>
          <w:u w:val="single" w:color="auto"/>
          <w:color w:val="auto"/>
        </w:rPr>
        <w:t>www.proxyvote.com</w:t>
      </w:r>
      <w:r>
        <w:rPr>
          <w:rFonts w:ascii="Arial" w:cs="Arial" w:eastAsia="Arial" w:hAnsi="Arial"/>
          <w:sz w:val="16"/>
          <w:szCs w:val="16"/>
          <w:color w:val="auto"/>
        </w:rPr>
        <w:t>.</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109220</wp:posOffset>
            </wp:positionV>
            <wp:extent cx="1903730" cy="3257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0373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USAN</w:t>
      </w:r>
      <w:r>
        <w:rPr>
          <w:rFonts w:ascii="Arial" w:cs="Arial" w:eastAsia="Arial" w:hAnsi="Arial"/>
          <w:sz w:val="16"/>
          <w:szCs w:val="16"/>
          <w:color w:val="auto"/>
        </w:rPr>
        <w:t xml:space="preserve"> H. A</w:t>
      </w:r>
      <w:r>
        <w:rPr>
          <w:rFonts w:ascii="Arial" w:cs="Arial" w:eastAsia="Arial" w:hAnsi="Arial"/>
          <w:sz w:val="13"/>
          <w:szCs w:val="13"/>
          <w:color w:val="auto"/>
        </w:rPr>
        <w:t>LEXANDER</w:t>
      </w:r>
      <w:r>
        <w:rPr>
          <w:rFonts w:ascii="Arial" w:cs="Arial" w:eastAsia="Arial" w:hAnsi="Arial"/>
          <w:sz w:val="16"/>
          <w:szCs w:val="16"/>
          <w:color w:val="auto"/>
        </w:rPr>
        <w:t>,</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Secretary</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225 Binney Street</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Cambridge, Massachusetts 02142</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April 30, 2019</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1A6DBB"/>
        </w:rPr>
        <w:t>This Notice and Proxy Statement are first being sent to stockholders on or about April 30, 2019.</w:t>
      </w:r>
    </w:p>
    <w:p>
      <w:pPr>
        <w:spacing w:after="0" w:line="25"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1A6DBB"/>
        </w:rPr>
        <w:t>Our 2018 Annual Report on Form 10-K is being sent with this Notice and Proxy Statement.</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0"/>
        <w:spacing w:after="0"/>
        <w:rPr>
          <w:sz w:val="20"/>
          <w:szCs w:val="20"/>
          <w:color w:val="auto"/>
        </w:rPr>
      </w:pPr>
      <w:r>
        <w:rPr>
          <w:rFonts w:ascii="Arial" w:cs="Arial" w:eastAsia="Arial" w:hAnsi="Arial"/>
          <w:sz w:val="41"/>
          <w:szCs w:val="41"/>
          <w:color w:val="1A6DBB"/>
        </w:rPr>
        <w:t>Proxy Statement 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25400</wp:posOffset>
            </wp:positionV>
            <wp:extent cx="6997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334645</wp:posOffset>
            </wp:positionV>
            <wp:extent cx="6997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20" w:type="dxa"/>
            <w:vAlign w:val="bottom"/>
          </w:tcPr>
          <w:p>
            <w:pPr>
              <w:spacing w:after="0"/>
              <w:rPr>
                <w:sz w:val="17"/>
                <w:szCs w:val="17"/>
                <w:color w:val="auto"/>
              </w:rPr>
            </w:pPr>
          </w:p>
        </w:tc>
        <w:tc>
          <w:tcPr>
            <w:tcW w:w="1940" w:type="dxa"/>
            <w:vAlign w:val="bottom"/>
            <w:tcBorders>
              <w:bottom w:val="single" w:sz="8" w:color="0000EE"/>
            </w:tcBorders>
            <w:gridSpan w:val="3"/>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Proxy Statement Summary</w:t>
              </w:r>
            </w:hyperlink>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Arial" w:cs="Arial" w:eastAsia="Arial" w:hAnsi="Arial"/>
                <w:sz w:val="16"/>
                <w:szCs w:val="16"/>
                <w:b w:val="1"/>
                <w:bCs w:val="1"/>
                <w:color w:val="1A6DBB"/>
              </w:rPr>
              <w:t>iii</w:t>
            </w:r>
          </w:p>
        </w:tc>
        <w:tc>
          <w:tcPr>
            <w:tcW w:w="0" w:type="dxa"/>
            <w:vAlign w:val="bottom"/>
          </w:tcPr>
          <w:p>
            <w:pPr>
              <w:spacing w:after="0"/>
              <w:rPr>
                <w:sz w:val="1"/>
                <w:szCs w:val="1"/>
                <w:color w:val="auto"/>
              </w:rPr>
            </w:pPr>
          </w:p>
        </w:tc>
      </w:tr>
      <w:tr>
        <w:trPr>
          <w:trHeight w:val="34"/>
        </w:trPr>
        <w:tc>
          <w:tcPr>
            <w:tcW w:w="120" w:type="dxa"/>
            <w:vAlign w:val="bottom"/>
            <w:tcBorders>
              <w:bottom w:val="single" w:sz="8" w:color="1A6DBB"/>
            </w:tcBorders>
          </w:tcPr>
          <w:p>
            <w:pPr>
              <w:spacing w:after="0"/>
              <w:rPr>
                <w:sz w:val="2"/>
                <w:szCs w:val="2"/>
                <w:color w:val="auto"/>
              </w:rPr>
            </w:pPr>
          </w:p>
        </w:tc>
        <w:tc>
          <w:tcPr>
            <w:tcW w:w="1060" w:type="dxa"/>
            <w:vAlign w:val="bottom"/>
            <w:tcBorders>
              <w:bottom w:val="single" w:sz="8" w:color="1A6DBB"/>
            </w:tcBorders>
          </w:tcPr>
          <w:p>
            <w:pPr>
              <w:spacing w:after="0"/>
              <w:rPr>
                <w:sz w:val="2"/>
                <w:szCs w:val="2"/>
                <w:color w:val="auto"/>
              </w:rPr>
            </w:pPr>
          </w:p>
        </w:tc>
        <w:tc>
          <w:tcPr>
            <w:tcW w:w="40" w:type="dxa"/>
            <w:vAlign w:val="bottom"/>
            <w:tcBorders>
              <w:bottom w:val="single" w:sz="8" w:color="1A6DBB"/>
            </w:tcBorders>
          </w:tcPr>
          <w:p>
            <w:pPr>
              <w:spacing w:after="0"/>
              <w:rPr>
                <w:sz w:val="2"/>
                <w:szCs w:val="2"/>
                <w:color w:val="auto"/>
              </w:rPr>
            </w:pPr>
          </w:p>
        </w:tc>
        <w:tc>
          <w:tcPr>
            <w:tcW w:w="840" w:type="dxa"/>
            <w:vAlign w:val="bottom"/>
            <w:tcBorders>
              <w:bottom w:val="single" w:sz="8" w:color="1A6DBB"/>
            </w:tcBorders>
          </w:tcPr>
          <w:p>
            <w:pPr>
              <w:spacing w:after="0"/>
              <w:rPr>
                <w:sz w:val="2"/>
                <w:szCs w:val="2"/>
                <w:color w:val="auto"/>
              </w:rPr>
            </w:pPr>
          </w:p>
        </w:tc>
        <w:tc>
          <w:tcPr>
            <w:tcW w:w="60" w:type="dxa"/>
            <w:vAlign w:val="bottom"/>
            <w:tcBorders>
              <w:bottom w:val="single" w:sz="8" w:color="1A6DBB"/>
            </w:tcBorders>
          </w:tcPr>
          <w:p>
            <w:pPr>
              <w:spacing w:after="0"/>
              <w:rPr>
                <w:sz w:val="2"/>
                <w:szCs w:val="2"/>
                <w:color w:val="auto"/>
              </w:rPr>
            </w:pPr>
          </w:p>
        </w:tc>
        <w:tc>
          <w:tcPr>
            <w:tcW w:w="60" w:type="dxa"/>
            <w:vAlign w:val="bottom"/>
            <w:tcBorders>
              <w:bottom w:val="single" w:sz="8" w:color="1A6DBB"/>
            </w:tcBorders>
          </w:tcPr>
          <w:p>
            <w:pPr>
              <w:spacing w:after="0"/>
              <w:rPr>
                <w:sz w:val="2"/>
                <w:szCs w:val="2"/>
                <w:color w:val="auto"/>
              </w:rPr>
            </w:pPr>
          </w:p>
        </w:tc>
        <w:tc>
          <w:tcPr>
            <w:tcW w:w="320" w:type="dxa"/>
            <w:vAlign w:val="bottom"/>
            <w:tcBorders>
              <w:bottom w:val="single" w:sz="8" w:color="1A6DBB"/>
            </w:tcBorders>
          </w:tcPr>
          <w:p>
            <w:pPr>
              <w:spacing w:after="0"/>
              <w:rPr>
                <w:sz w:val="2"/>
                <w:szCs w:val="2"/>
                <w:color w:val="auto"/>
              </w:rPr>
            </w:pPr>
          </w:p>
        </w:tc>
        <w:tc>
          <w:tcPr>
            <w:tcW w:w="620" w:type="dxa"/>
            <w:vAlign w:val="bottom"/>
            <w:tcBorders>
              <w:bottom w:val="single" w:sz="8" w:color="1A6DBB"/>
            </w:tcBorders>
          </w:tcPr>
          <w:p>
            <w:pPr>
              <w:spacing w:after="0"/>
              <w:rPr>
                <w:sz w:val="2"/>
                <w:szCs w:val="2"/>
                <w:color w:val="auto"/>
              </w:rPr>
            </w:pPr>
          </w:p>
        </w:tc>
        <w:tc>
          <w:tcPr>
            <w:tcW w:w="240" w:type="dxa"/>
            <w:vAlign w:val="bottom"/>
            <w:tcBorders>
              <w:bottom w:val="single" w:sz="8" w:color="1A6DBB"/>
            </w:tcBorders>
          </w:tcPr>
          <w:p>
            <w:pPr>
              <w:spacing w:after="0"/>
              <w:rPr>
                <w:sz w:val="2"/>
                <w:szCs w:val="2"/>
                <w:color w:val="auto"/>
              </w:rPr>
            </w:pPr>
          </w:p>
        </w:tc>
        <w:tc>
          <w:tcPr>
            <w:tcW w:w="180" w:type="dxa"/>
            <w:vAlign w:val="bottom"/>
            <w:tcBorders>
              <w:bottom w:val="single" w:sz="8" w:color="1A6DBB"/>
            </w:tcBorders>
          </w:tcPr>
          <w:p>
            <w:pPr>
              <w:spacing w:after="0"/>
              <w:rPr>
                <w:sz w:val="2"/>
                <w:szCs w:val="2"/>
                <w:color w:val="auto"/>
              </w:rPr>
            </w:pPr>
          </w:p>
        </w:tc>
        <w:tc>
          <w:tcPr>
            <w:tcW w:w="20" w:type="dxa"/>
            <w:vAlign w:val="bottom"/>
            <w:tcBorders>
              <w:bottom w:val="single" w:sz="8" w:color="1A6DBB"/>
            </w:tcBorders>
          </w:tcPr>
          <w:p>
            <w:pPr>
              <w:spacing w:after="0"/>
              <w:rPr>
                <w:sz w:val="2"/>
                <w:szCs w:val="2"/>
                <w:color w:val="auto"/>
              </w:rPr>
            </w:pPr>
          </w:p>
        </w:tc>
        <w:tc>
          <w:tcPr>
            <w:tcW w:w="220" w:type="dxa"/>
            <w:vAlign w:val="bottom"/>
            <w:tcBorders>
              <w:bottom w:val="single" w:sz="8" w:color="1A6DBB"/>
            </w:tcBorders>
          </w:tcPr>
          <w:p>
            <w:pPr>
              <w:spacing w:after="0"/>
              <w:rPr>
                <w:sz w:val="2"/>
                <w:szCs w:val="2"/>
                <w:color w:val="auto"/>
              </w:rPr>
            </w:pPr>
          </w:p>
        </w:tc>
        <w:tc>
          <w:tcPr>
            <w:tcW w:w="540" w:type="dxa"/>
            <w:vAlign w:val="bottom"/>
            <w:tcBorders>
              <w:bottom w:val="single" w:sz="8" w:color="1A6DBB"/>
            </w:tcBorders>
          </w:tcPr>
          <w:p>
            <w:pPr>
              <w:spacing w:after="0"/>
              <w:rPr>
                <w:sz w:val="2"/>
                <w:szCs w:val="2"/>
                <w:color w:val="auto"/>
              </w:rPr>
            </w:pPr>
          </w:p>
        </w:tc>
        <w:tc>
          <w:tcPr>
            <w:tcW w:w="320" w:type="dxa"/>
            <w:vAlign w:val="bottom"/>
            <w:tcBorders>
              <w:bottom w:val="single" w:sz="8" w:color="1A6DBB"/>
            </w:tcBorders>
          </w:tcPr>
          <w:p>
            <w:pPr>
              <w:spacing w:after="0"/>
              <w:rPr>
                <w:sz w:val="2"/>
                <w:szCs w:val="2"/>
                <w:color w:val="auto"/>
              </w:rPr>
            </w:pPr>
          </w:p>
        </w:tc>
        <w:tc>
          <w:tcPr>
            <w:tcW w:w="120" w:type="dxa"/>
            <w:vAlign w:val="bottom"/>
            <w:tcBorders>
              <w:bottom w:val="single" w:sz="8" w:color="1A6DBB"/>
            </w:tcBorders>
          </w:tcPr>
          <w:p>
            <w:pPr>
              <w:spacing w:after="0"/>
              <w:rPr>
                <w:sz w:val="2"/>
                <w:szCs w:val="2"/>
                <w:color w:val="auto"/>
              </w:rPr>
            </w:pPr>
          </w:p>
        </w:tc>
        <w:tc>
          <w:tcPr>
            <w:tcW w:w="980" w:type="dxa"/>
            <w:vAlign w:val="bottom"/>
            <w:tcBorders>
              <w:bottom w:val="single" w:sz="8" w:color="1A6DBB"/>
            </w:tcBorders>
          </w:tcPr>
          <w:p>
            <w:pPr>
              <w:spacing w:after="0"/>
              <w:rPr>
                <w:sz w:val="2"/>
                <w:szCs w:val="2"/>
                <w:color w:val="auto"/>
              </w:rPr>
            </w:pPr>
          </w:p>
        </w:tc>
        <w:tc>
          <w:tcPr>
            <w:tcW w:w="380" w:type="dxa"/>
            <w:vAlign w:val="bottom"/>
            <w:tcBorders>
              <w:bottom w:val="single" w:sz="8" w:color="1A6DBB"/>
            </w:tcBorders>
          </w:tcPr>
          <w:p>
            <w:pPr>
              <w:spacing w:after="0"/>
              <w:rPr>
                <w:sz w:val="2"/>
                <w:szCs w:val="2"/>
                <w:color w:val="auto"/>
              </w:rPr>
            </w:pPr>
          </w:p>
        </w:tc>
        <w:tc>
          <w:tcPr>
            <w:tcW w:w="20" w:type="dxa"/>
            <w:vAlign w:val="bottom"/>
            <w:tcBorders>
              <w:bottom w:val="single" w:sz="8" w:color="1A6DBB"/>
            </w:tcBorders>
          </w:tcPr>
          <w:p>
            <w:pPr>
              <w:spacing w:after="0"/>
              <w:rPr>
                <w:sz w:val="2"/>
                <w:szCs w:val="2"/>
                <w:color w:val="auto"/>
              </w:rPr>
            </w:pPr>
          </w:p>
        </w:tc>
        <w:tc>
          <w:tcPr>
            <w:tcW w:w="80" w:type="dxa"/>
            <w:vAlign w:val="bottom"/>
            <w:tcBorders>
              <w:bottom w:val="single" w:sz="8" w:color="1A6DBB"/>
            </w:tcBorders>
          </w:tcPr>
          <w:p>
            <w:pPr>
              <w:spacing w:after="0"/>
              <w:rPr>
                <w:sz w:val="2"/>
                <w:szCs w:val="2"/>
                <w:color w:val="auto"/>
              </w:rPr>
            </w:pPr>
          </w:p>
        </w:tc>
        <w:tc>
          <w:tcPr>
            <w:tcW w:w="20" w:type="dxa"/>
            <w:vAlign w:val="bottom"/>
            <w:tcBorders>
              <w:bottom w:val="single" w:sz="8" w:color="1A6DBB"/>
            </w:tcBorders>
          </w:tcPr>
          <w:p>
            <w:pPr>
              <w:spacing w:after="0"/>
              <w:rPr>
                <w:sz w:val="2"/>
                <w:szCs w:val="2"/>
                <w:color w:val="auto"/>
              </w:rPr>
            </w:pPr>
          </w:p>
        </w:tc>
        <w:tc>
          <w:tcPr>
            <w:tcW w:w="20" w:type="dxa"/>
            <w:vAlign w:val="bottom"/>
            <w:tcBorders>
              <w:bottom w:val="single" w:sz="8" w:color="1A6DBB"/>
            </w:tcBorders>
          </w:tcPr>
          <w:p>
            <w:pPr>
              <w:spacing w:after="0"/>
              <w:rPr>
                <w:sz w:val="2"/>
                <w:szCs w:val="2"/>
                <w:color w:val="auto"/>
              </w:rPr>
            </w:pPr>
          </w:p>
        </w:tc>
        <w:tc>
          <w:tcPr>
            <w:tcW w:w="40" w:type="dxa"/>
            <w:vAlign w:val="bottom"/>
            <w:tcBorders>
              <w:bottom w:val="single" w:sz="8" w:color="1A6DBB"/>
            </w:tcBorders>
          </w:tcPr>
          <w:p>
            <w:pPr>
              <w:spacing w:after="0"/>
              <w:rPr>
                <w:sz w:val="2"/>
                <w:szCs w:val="2"/>
                <w:color w:val="auto"/>
              </w:rPr>
            </w:pPr>
          </w:p>
        </w:tc>
        <w:tc>
          <w:tcPr>
            <w:tcW w:w="20" w:type="dxa"/>
            <w:vAlign w:val="bottom"/>
            <w:tcBorders>
              <w:bottom w:val="single" w:sz="8" w:color="1A6DBB"/>
            </w:tcBorders>
          </w:tcPr>
          <w:p>
            <w:pPr>
              <w:spacing w:after="0"/>
              <w:rPr>
                <w:sz w:val="2"/>
                <w:szCs w:val="2"/>
                <w:color w:val="auto"/>
              </w:rPr>
            </w:pPr>
          </w:p>
        </w:tc>
        <w:tc>
          <w:tcPr>
            <w:tcW w:w="160" w:type="dxa"/>
            <w:vAlign w:val="bottom"/>
            <w:tcBorders>
              <w:bottom w:val="single" w:sz="8" w:color="1A6DBB"/>
            </w:tcBorders>
          </w:tcPr>
          <w:p>
            <w:pPr>
              <w:spacing w:after="0"/>
              <w:rPr>
                <w:sz w:val="2"/>
                <w:szCs w:val="2"/>
                <w:color w:val="auto"/>
              </w:rPr>
            </w:pPr>
          </w:p>
        </w:tc>
        <w:tc>
          <w:tcPr>
            <w:tcW w:w="340" w:type="dxa"/>
            <w:vAlign w:val="bottom"/>
            <w:tcBorders>
              <w:bottom w:val="single" w:sz="8" w:color="1A6DBB"/>
            </w:tcBorders>
          </w:tcPr>
          <w:p>
            <w:pPr>
              <w:spacing w:after="0"/>
              <w:rPr>
                <w:sz w:val="2"/>
                <w:szCs w:val="2"/>
                <w:color w:val="auto"/>
              </w:rPr>
            </w:pPr>
          </w:p>
        </w:tc>
        <w:tc>
          <w:tcPr>
            <w:tcW w:w="140" w:type="dxa"/>
            <w:vAlign w:val="bottom"/>
            <w:tcBorders>
              <w:bottom w:val="single" w:sz="8" w:color="1A6DBB"/>
            </w:tcBorders>
          </w:tcPr>
          <w:p>
            <w:pPr>
              <w:spacing w:after="0"/>
              <w:rPr>
                <w:sz w:val="2"/>
                <w:szCs w:val="2"/>
                <w:color w:val="auto"/>
              </w:rPr>
            </w:pPr>
          </w:p>
        </w:tc>
        <w:tc>
          <w:tcPr>
            <w:tcW w:w="20" w:type="dxa"/>
            <w:vAlign w:val="bottom"/>
            <w:tcBorders>
              <w:bottom w:val="single" w:sz="8" w:color="1A6DBB"/>
            </w:tcBorders>
          </w:tcPr>
          <w:p>
            <w:pPr>
              <w:spacing w:after="0"/>
              <w:rPr>
                <w:sz w:val="2"/>
                <w:szCs w:val="2"/>
                <w:color w:val="auto"/>
              </w:rPr>
            </w:pPr>
          </w:p>
        </w:tc>
        <w:tc>
          <w:tcPr>
            <w:tcW w:w="60" w:type="dxa"/>
            <w:vAlign w:val="bottom"/>
            <w:tcBorders>
              <w:bottom w:val="single" w:sz="8" w:color="1A6DBB"/>
            </w:tcBorders>
          </w:tcPr>
          <w:p>
            <w:pPr>
              <w:spacing w:after="0"/>
              <w:rPr>
                <w:sz w:val="2"/>
                <w:szCs w:val="2"/>
                <w:color w:val="auto"/>
              </w:rPr>
            </w:pPr>
          </w:p>
        </w:tc>
        <w:tc>
          <w:tcPr>
            <w:tcW w:w="180" w:type="dxa"/>
            <w:vAlign w:val="bottom"/>
            <w:tcBorders>
              <w:bottom w:val="single" w:sz="8" w:color="1A6DBB"/>
            </w:tcBorders>
          </w:tcPr>
          <w:p>
            <w:pPr>
              <w:spacing w:after="0"/>
              <w:rPr>
                <w:sz w:val="2"/>
                <w:szCs w:val="2"/>
                <w:color w:val="auto"/>
              </w:rPr>
            </w:pPr>
          </w:p>
        </w:tc>
        <w:tc>
          <w:tcPr>
            <w:tcW w:w="380" w:type="dxa"/>
            <w:vAlign w:val="bottom"/>
            <w:tcBorders>
              <w:bottom w:val="single" w:sz="8" w:color="1A6DBB"/>
            </w:tcBorders>
          </w:tcPr>
          <w:p>
            <w:pPr>
              <w:spacing w:after="0"/>
              <w:rPr>
                <w:sz w:val="2"/>
                <w:szCs w:val="2"/>
                <w:color w:val="auto"/>
              </w:rPr>
            </w:pPr>
          </w:p>
        </w:tc>
        <w:tc>
          <w:tcPr>
            <w:tcW w:w="440" w:type="dxa"/>
            <w:vAlign w:val="bottom"/>
            <w:tcBorders>
              <w:bottom w:val="single" w:sz="8" w:color="1A6DBB"/>
            </w:tcBorders>
          </w:tcPr>
          <w:p>
            <w:pPr>
              <w:spacing w:after="0"/>
              <w:rPr>
                <w:sz w:val="2"/>
                <w:szCs w:val="2"/>
                <w:color w:val="auto"/>
              </w:rPr>
            </w:pPr>
          </w:p>
        </w:tc>
        <w:tc>
          <w:tcPr>
            <w:tcW w:w="460" w:type="dxa"/>
            <w:vAlign w:val="bottom"/>
            <w:tcBorders>
              <w:bottom w:val="single" w:sz="8" w:color="1A6DBB"/>
            </w:tcBorders>
          </w:tcPr>
          <w:p>
            <w:pPr>
              <w:spacing w:after="0"/>
              <w:rPr>
                <w:sz w:val="2"/>
                <w:szCs w:val="2"/>
                <w:color w:val="auto"/>
              </w:rPr>
            </w:pPr>
          </w:p>
        </w:tc>
        <w:tc>
          <w:tcPr>
            <w:tcW w:w="20" w:type="dxa"/>
            <w:vAlign w:val="bottom"/>
            <w:tcBorders>
              <w:bottom w:val="single" w:sz="8" w:color="1A6DBB"/>
            </w:tcBorders>
          </w:tcPr>
          <w:p>
            <w:pPr>
              <w:spacing w:after="0"/>
              <w:rPr>
                <w:sz w:val="2"/>
                <w:szCs w:val="2"/>
                <w:color w:val="auto"/>
              </w:rPr>
            </w:pPr>
          </w:p>
        </w:tc>
        <w:tc>
          <w:tcPr>
            <w:tcW w:w="60" w:type="dxa"/>
            <w:vAlign w:val="bottom"/>
            <w:tcBorders>
              <w:bottom w:val="single" w:sz="8" w:color="1A6DBB"/>
            </w:tcBorders>
          </w:tcPr>
          <w:p>
            <w:pPr>
              <w:spacing w:after="0"/>
              <w:rPr>
                <w:sz w:val="2"/>
                <w:szCs w:val="2"/>
                <w:color w:val="auto"/>
              </w:rPr>
            </w:pPr>
          </w:p>
        </w:tc>
        <w:tc>
          <w:tcPr>
            <w:tcW w:w="1720" w:type="dxa"/>
            <w:vAlign w:val="bottom"/>
            <w:tcBorders>
              <w:bottom w:val="single" w:sz="8" w:color="1A6DBB"/>
            </w:tcBorders>
          </w:tcPr>
          <w:p>
            <w:pPr>
              <w:spacing w:after="0"/>
              <w:rPr>
                <w:sz w:val="2"/>
                <w:szCs w:val="2"/>
                <w:color w:val="auto"/>
              </w:rPr>
            </w:pPr>
          </w:p>
        </w:tc>
        <w:tc>
          <w:tcPr>
            <w:tcW w:w="720" w:type="dxa"/>
            <w:vAlign w:val="bottom"/>
            <w:tcBorders>
              <w:bottom w:val="single" w:sz="8" w:color="1A6DBB"/>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180" w:type="dxa"/>
            <w:vAlign w:val="bottom"/>
            <w:gridSpan w:val="2"/>
            <w:vMerge w:val="restart"/>
            <w:shd w:val="clear" w:color="auto" w:fill="E8F0F8"/>
          </w:tcPr>
          <w:p>
            <w:pPr>
              <w:jc w:val="right"/>
              <w:ind w:right="119"/>
              <w:spacing w:after="0"/>
              <w:rPr>
                <w:sz w:val="20"/>
                <w:szCs w:val="20"/>
                <w:color w:val="auto"/>
              </w:rPr>
            </w:pPr>
            <w:r>
              <w:rPr>
                <w:rFonts w:ascii="Arial" w:cs="Arial" w:eastAsia="Arial" w:hAnsi="Arial"/>
                <w:sz w:val="144"/>
                <w:szCs w:val="144"/>
                <w:color w:val="1A6DBB"/>
              </w:rPr>
              <w:t>1</w:t>
            </w:r>
          </w:p>
        </w:tc>
        <w:tc>
          <w:tcPr>
            <w:tcW w:w="40" w:type="dxa"/>
            <w:vAlign w:val="bottom"/>
            <w:shd w:val="clear" w:color="auto" w:fill="E8F0F8"/>
          </w:tcPr>
          <w:p>
            <w:pPr>
              <w:spacing w:after="0"/>
              <w:rPr>
                <w:sz w:val="14"/>
                <w:szCs w:val="14"/>
                <w:color w:val="auto"/>
              </w:rPr>
            </w:pPr>
          </w:p>
        </w:tc>
        <w:tc>
          <w:tcPr>
            <w:tcW w:w="3100" w:type="dxa"/>
            <w:vAlign w:val="bottom"/>
            <w:gridSpan w:val="10"/>
            <w:shd w:val="clear" w:color="auto" w:fill="E8F0F8"/>
          </w:tcPr>
          <w:p>
            <w:pPr>
              <w:spacing w:after="0" w:line="169" w:lineRule="exact"/>
              <w:rPr>
                <w:rFonts w:ascii="Arial" w:cs="Arial" w:eastAsia="Arial" w:hAnsi="Arial"/>
                <w:sz w:val="19"/>
                <w:szCs w:val="19"/>
                <w:color w:val="0000EE"/>
              </w:rPr>
            </w:pPr>
            <w:hyperlink w:anchor="page15">
              <w:r>
                <w:rPr>
                  <w:rFonts w:ascii="Arial" w:cs="Arial" w:eastAsia="Arial" w:hAnsi="Arial"/>
                  <w:sz w:val="19"/>
                  <w:szCs w:val="19"/>
                  <w:color w:val="0000EE"/>
                </w:rPr>
                <w:t>General Information</w:t>
              </w:r>
            </w:hyperlink>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1A6DBB"/>
              </w:rPr>
              <w:t>1</w:t>
            </w:r>
          </w:p>
        </w:tc>
        <w:tc>
          <w:tcPr>
            <w:tcW w:w="0" w:type="dxa"/>
            <w:vAlign w:val="bottom"/>
          </w:tcPr>
          <w:p>
            <w:pPr>
              <w:spacing w:after="0"/>
              <w:rPr>
                <w:sz w:val="1"/>
                <w:szCs w:val="1"/>
                <w:color w:val="auto"/>
              </w:rPr>
            </w:pPr>
          </w:p>
        </w:tc>
      </w:tr>
      <w:tr>
        <w:trPr>
          <w:trHeight w:val="48"/>
        </w:trPr>
        <w:tc>
          <w:tcPr>
            <w:tcW w:w="1180" w:type="dxa"/>
            <w:vAlign w:val="bottom"/>
            <w:gridSpan w:val="2"/>
            <w:vMerge w:val="continue"/>
            <w:shd w:val="clear" w:color="auto" w:fill="E8F0F8"/>
          </w:tcPr>
          <w:p>
            <w:pPr>
              <w:spacing w:after="0"/>
              <w:rPr>
                <w:sz w:val="4"/>
                <w:szCs w:val="4"/>
                <w:color w:val="auto"/>
              </w:rPr>
            </w:pPr>
          </w:p>
        </w:tc>
        <w:tc>
          <w:tcPr>
            <w:tcW w:w="40" w:type="dxa"/>
            <w:vAlign w:val="bottom"/>
            <w:shd w:val="clear" w:color="auto" w:fill="E8F0F8"/>
          </w:tcPr>
          <w:p>
            <w:pPr>
              <w:spacing w:after="0"/>
              <w:rPr>
                <w:sz w:val="4"/>
                <w:szCs w:val="4"/>
                <w:color w:val="auto"/>
              </w:rPr>
            </w:pPr>
          </w:p>
        </w:tc>
        <w:tc>
          <w:tcPr>
            <w:tcW w:w="840" w:type="dxa"/>
            <w:vAlign w:val="bottom"/>
            <w:shd w:val="clear" w:color="auto" w:fill="E8F0F8"/>
          </w:tcPr>
          <w:p>
            <w:pPr>
              <w:spacing w:after="0"/>
              <w:rPr>
                <w:sz w:val="4"/>
                <w:szCs w:val="4"/>
                <w:color w:val="auto"/>
              </w:rPr>
            </w:pPr>
          </w:p>
        </w:tc>
        <w:tc>
          <w:tcPr>
            <w:tcW w:w="60" w:type="dxa"/>
            <w:vAlign w:val="bottom"/>
            <w:shd w:val="clear" w:color="auto" w:fill="E8F0F8"/>
          </w:tcPr>
          <w:p>
            <w:pPr>
              <w:spacing w:after="0"/>
              <w:rPr>
                <w:sz w:val="4"/>
                <w:szCs w:val="4"/>
                <w:color w:val="auto"/>
              </w:rPr>
            </w:pPr>
          </w:p>
        </w:tc>
        <w:tc>
          <w:tcPr>
            <w:tcW w:w="60" w:type="dxa"/>
            <w:vAlign w:val="bottom"/>
            <w:shd w:val="clear" w:color="auto" w:fill="E8F0F8"/>
          </w:tcPr>
          <w:p>
            <w:pPr>
              <w:spacing w:after="0"/>
              <w:rPr>
                <w:sz w:val="4"/>
                <w:szCs w:val="4"/>
                <w:color w:val="auto"/>
              </w:rPr>
            </w:pPr>
          </w:p>
        </w:tc>
        <w:tc>
          <w:tcPr>
            <w:tcW w:w="320" w:type="dxa"/>
            <w:vAlign w:val="bottom"/>
            <w:shd w:val="clear" w:color="auto" w:fill="E8F0F8"/>
          </w:tcPr>
          <w:p>
            <w:pPr>
              <w:spacing w:after="0"/>
              <w:rPr>
                <w:sz w:val="4"/>
                <w:szCs w:val="4"/>
                <w:color w:val="auto"/>
              </w:rPr>
            </w:pPr>
          </w:p>
        </w:tc>
        <w:tc>
          <w:tcPr>
            <w:tcW w:w="620" w:type="dxa"/>
            <w:vAlign w:val="bottom"/>
            <w:shd w:val="clear" w:color="auto" w:fill="E8F0F8"/>
          </w:tcPr>
          <w:p>
            <w:pPr>
              <w:spacing w:after="0"/>
              <w:rPr>
                <w:sz w:val="4"/>
                <w:szCs w:val="4"/>
                <w:color w:val="auto"/>
              </w:rPr>
            </w:pPr>
          </w:p>
        </w:tc>
        <w:tc>
          <w:tcPr>
            <w:tcW w:w="240" w:type="dxa"/>
            <w:vAlign w:val="bottom"/>
            <w:shd w:val="clear" w:color="auto" w:fill="E8F0F8"/>
          </w:tcPr>
          <w:p>
            <w:pPr>
              <w:spacing w:after="0"/>
              <w:rPr>
                <w:sz w:val="4"/>
                <w:szCs w:val="4"/>
                <w:color w:val="auto"/>
              </w:rPr>
            </w:pPr>
          </w:p>
        </w:tc>
        <w:tc>
          <w:tcPr>
            <w:tcW w:w="180" w:type="dxa"/>
            <w:vAlign w:val="bottom"/>
            <w:shd w:val="clear" w:color="auto" w:fill="E8F0F8"/>
          </w:tcPr>
          <w:p>
            <w:pPr>
              <w:spacing w:after="0"/>
              <w:rPr>
                <w:sz w:val="4"/>
                <w:szCs w:val="4"/>
                <w:color w:val="auto"/>
              </w:rPr>
            </w:pPr>
          </w:p>
        </w:tc>
        <w:tc>
          <w:tcPr>
            <w:tcW w:w="20" w:type="dxa"/>
            <w:vAlign w:val="bottom"/>
            <w:shd w:val="clear" w:color="auto" w:fill="E8F0F8"/>
          </w:tcPr>
          <w:p>
            <w:pPr>
              <w:spacing w:after="0"/>
              <w:rPr>
                <w:sz w:val="4"/>
                <w:szCs w:val="4"/>
                <w:color w:val="auto"/>
              </w:rPr>
            </w:pPr>
          </w:p>
        </w:tc>
        <w:tc>
          <w:tcPr>
            <w:tcW w:w="220" w:type="dxa"/>
            <w:vAlign w:val="bottom"/>
            <w:shd w:val="clear" w:color="auto" w:fill="E8F0F8"/>
          </w:tcPr>
          <w:p>
            <w:pPr>
              <w:spacing w:after="0"/>
              <w:rPr>
                <w:sz w:val="4"/>
                <w:szCs w:val="4"/>
                <w:color w:val="auto"/>
              </w:rPr>
            </w:pPr>
          </w:p>
        </w:tc>
        <w:tc>
          <w:tcPr>
            <w:tcW w:w="540" w:type="dxa"/>
            <w:vAlign w:val="bottom"/>
            <w:shd w:val="clear" w:color="auto" w:fill="E8F0F8"/>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7"/>
        </w:trPr>
        <w:tc>
          <w:tcPr>
            <w:tcW w:w="1180" w:type="dxa"/>
            <w:vAlign w:val="bottom"/>
            <w:tcBorders>
              <w:bottom w:val="single" w:sz="8" w:color="E8F0F8"/>
            </w:tcBorders>
            <w:gridSpan w:val="2"/>
            <w:vMerge w:val="continue"/>
            <w:shd w:val="clear" w:color="auto" w:fill="E8F0F8"/>
          </w:tcPr>
          <w:p>
            <w:pPr>
              <w:spacing w:after="0"/>
              <w:rPr>
                <w:sz w:val="5"/>
                <w:szCs w:val="5"/>
                <w:color w:val="auto"/>
              </w:rPr>
            </w:pPr>
          </w:p>
        </w:tc>
        <w:tc>
          <w:tcPr>
            <w:tcW w:w="40" w:type="dxa"/>
            <w:vAlign w:val="bottom"/>
            <w:tcBorders>
              <w:bottom w:val="single" w:sz="8" w:color="E8F0F8"/>
            </w:tcBorders>
            <w:shd w:val="clear" w:color="auto" w:fill="E8F0F8"/>
          </w:tcPr>
          <w:p>
            <w:pPr>
              <w:spacing w:after="0"/>
              <w:rPr>
                <w:sz w:val="5"/>
                <w:szCs w:val="5"/>
                <w:color w:val="auto"/>
              </w:rPr>
            </w:pPr>
          </w:p>
        </w:tc>
        <w:tc>
          <w:tcPr>
            <w:tcW w:w="900" w:type="dxa"/>
            <w:vAlign w:val="bottom"/>
            <w:tcBorders>
              <w:bottom w:val="single" w:sz="8" w:color="0000EE"/>
            </w:tcBorders>
            <w:gridSpan w:val="2"/>
            <w:shd w:val="clear" w:color="auto" w:fill="E8F0F8"/>
          </w:tcPr>
          <w:p>
            <w:pPr>
              <w:spacing w:after="0"/>
              <w:rPr>
                <w:sz w:val="5"/>
                <w:szCs w:val="5"/>
                <w:color w:val="auto"/>
              </w:rPr>
            </w:pPr>
          </w:p>
        </w:tc>
        <w:tc>
          <w:tcPr>
            <w:tcW w:w="60" w:type="dxa"/>
            <w:vAlign w:val="bottom"/>
            <w:tcBorders>
              <w:bottom w:val="single" w:sz="8" w:color="0000EE"/>
            </w:tcBorders>
            <w:shd w:val="clear" w:color="auto" w:fill="E8F0F8"/>
          </w:tcPr>
          <w:p>
            <w:pPr>
              <w:spacing w:after="0"/>
              <w:rPr>
                <w:sz w:val="5"/>
                <w:szCs w:val="5"/>
                <w:color w:val="auto"/>
              </w:rPr>
            </w:pPr>
          </w:p>
        </w:tc>
        <w:tc>
          <w:tcPr>
            <w:tcW w:w="320" w:type="dxa"/>
            <w:vAlign w:val="bottom"/>
            <w:tcBorders>
              <w:bottom w:val="single" w:sz="8" w:color="0000EE"/>
            </w:tcBorders>
            <w:shd w:val="clear" w:color="auto" w:fill="E8F0F8"/>
          </w:tcPr>
          <w:p>
            <w:pPr>
              <w:spacing w:after="0"/>
              <w:rPr>
                <w:sz w:val="5"/>
                <w:szCs w:val="5"/>
                <w:color w:val="auto"/>
              </w:rPr>
            </w:pPr>
          </w:p>
        </w:tc>
        <w:tc>
          <w:tcPr>
            <w:tcW w:w="620" w:type="dxa"/>
            <w:vAlign w:val="bottom"/>
            <w:tcBorders>
              <w:bottom w:val="single" w:sz="8" w:color="0000EE"/>
            </w:tcBorders>
            <w:shd w:val="clear" w:color="auto" w:fill="E8F0F8"/>
          </w:tcPr>
          <w:p>
            <w:pPr>
              <w:spacing w:after="0"/>
              <w:rPr>
                <w:sz w:val="5"/>
                <w:szCs w:val="5"/>
                <w:color w:val="auto"/>
              </w:rPr>
            </w:pPr>
          </w:p>
        </w:tc>
        <w:tc>
          <w:tcPr>
            <w:tcW w:w="240" w:type="dxa"/>
            <w:vAlign w:val="bottom"/>
            <w:tcBorders>
              <w:bottom w:val="single" w:sz="8" w:color="0000EE"/>
            </w:tcBorders>
            <w:shd w:val="clear" w:color="auto" w:fill="E8F0F8"/>
          </w:tcPr>
          <w:p>
            <w:pPr>
              <w:spacing w:after="0"/>
              <w:rPr>
                <w:sz w:val="5"/>
                <w:szCs w:val="5"/>
                <w:color w:val="auto"/>
              </w:rPr>
            </w:pPr>
          </w:p>
        </w:tc>
        <w:tc>
          <w:tcPr>
            <w:tcW w:w="180" w:type="dxa"/>
            <w:vAlign w:val="bottom"/>
            <w:tcBorders>
              <w:bottom w:val="single" w:sz="8" w:color="0000EE"/>
            </w:tcBorders>
            <w:shd w:val="clear" w:color="auto" w:fill="E8F0F8"/>
          </w:tcPr>
          <w:p>
            <w:pPr>
              <w:spacing w:after="0"/>
              <w:rPr>
                <w:sz w:val="5"/>
                <w:szCs w:val="5"/>
                <w:color w:val="auto"/>
              </w:rPr>
            </w:pPr>
          </w:p>
        </w:tc>
        <w:tc>
          <w:tcPr>
            <w:tcW w:w="20" w:type="dxa"/>
            <w:vAlign w:val="bottom"/>
            <w:tcBorders>
              <w:bottom w:val="single" w:sz="8" w:color="0000EE"/>
            </w:tcBorders>
            <w:shd w:val="clear" w:color="auto" w:fill="E8F0F8"/>
          </w:tcPr>
          <w:p>
            <w:pPr>
              <w:spacing w:after="0"/>
              <w:rPr>
                <w:sz w:val="5"/>
                <w:szCs w:val="5"/>
                <w:color w:val="auto"/>
              </w:rPr>
            </w:pPr>
          </w:p>
        </w:tc>
        <w:tc>
          <w:tcPr>
            <w:tcW w:w="220" w:type="dxa"/>
            <w:vAlign w:val="bottom"/>
            <w:tcBorders>
              <w:bottom w:val="single" w:sz="8" w:color="0000EE"/>
            </w:tcBorders>
            <w:shd w:val="clear" w:color="auto" w:fill="E8F0F8"/>
          </w:tcPr>
          <w:p>
            <w:pPr>
              <w:spacing w:after="0"/>
              <w:rPr>
                <w:sz w:val="5"/>
                <w:szCs w:val="5"/>
                <w:color w:val="auto"/>
              </w:rPr>
            </w:pPr>
          </w:p>
        </w:tc>
        <w:tc>
          <w:tcPr>
            <w:tcW w:w="540" w:type="dxa"/>
            <w:vAlign w:val="bottom"/>
            <w:tcBorders>
              <w:bottom w:val="single" w:sz="8" w:color="E8F0F8"/>
            </w:tcBorders>
            <w:shd w:val="clear" w:color="auto" w:fill="E8F0F8"/>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180" w:type="dxa"/>
            <w:vAlign w:val="bottom"/>
            <w:tcBorders>
              <w:bottom w:val="single" w:sz="8" w:color="E8F0F8"/>
            </w:tcBorders>
            <w:gridSpan w:val="2"/>
            <w:vMerge w:val="continue"/>
            <w:shd w:val="clear" w:color="auto" w:fill="E8F0F8"/>
          </w:tcPr>
          <w:p>
            <w:pPr>
              <w:spacing w:after="0"/>
              <w:rPr>
                <w:sz w:val="24"/>
                <w:szCs w:val="24"/>
                <w:color w:val="auto"/>
              </w:rPr>
            </w:pPr>
          </w:p>
        </w:tc>
        <w:tc>
          <w:tcPr>
            <w:tcW w:w="40" w:type="dxa"/>
            <w:vAlign w:val="bottom"/>
            <w:tcBorders>
              <w:bottom w:val="single" w:sz="8" w:color="E8F0F8"/>
            </w:tcBorders>
            <w:shd w:val="clear" w:color="auto" w:fill="E8F0F8"/>
          </w:tcPr>
          <w:p>
            <w:pPr>
              <w:spacing w:after="0"/>
              <w:rPr>
                <w:sz w:val="24"/>
                <w:szCs w:val="24"/>
                <w:color w:val="auto"/>
              </w:rPr>
            </w:pPr>
          </w:p>
        </w:tc>
        <w:tc>
          <w:tcPr>
            <w:tcW w:w="2340" w:type="dxa"/>
            <w:vAlign w:val="bottom"/>
            <w:tcBorders>
              <w:bottom w:val="single" w:sz="8" w:color="0000EE"/>
            </w:tcBorders>
            <w:gridSpan w:val="8"/>
            <w:shd w:val="clear" w:color="auto" w:fill="E8F0F8"/>
          </w:tcPr>
          <w:p>
            <w:pPr>
              <w:spacing w:after="0" w:line="291" w:lineRule="exact"/>
              <w:rPr>
                <w:rFonts w:ascii="Arial" w:cs="Arial" w:eastAsia="Arial" w:hAnsi="Arial"/>
                <w:sz w:val="29"/>
                <w:szCs w:val="29"/>
                <w:color w:val="0000EE"/>
                <w:w w:val="98"/>
              </w:rPr>
            </w:pPr>
            <w:hyperlink w:anchor="page15">
              <w:r>
                <w:rPr>
                  <w:rFonts w:ascii="Arial" w:cs="Arial" w:eastAsia="Arial" w:hAnsi="Arial"/>
                  <w:sz w:val="29"/>
                  <w:szCs w:val="29"/>
                  <w:color w:val="0000EE"/>
                  <w:w w:val="98"/>
                </w:rPr>
                <w:t>About the Meeting</w:t>
              </w:r>
            </w:hyperlink>
          </w:p>
        </w:tc>
        <w:tc>
          <w:tcPr>
            <w:tcW w:w="760" w:type="dxa"/>
            <w:vAlign w:val="bottom"/>
            <w:tcBorders>
              <w:bottom w:val="single" w:sz="8" w:color="E8F0F8"/>
            </w:tcBorders>
            <w:gridSpan w:val="2"/>
            <w:vMerge w:val="restart"/>
            <w:shd w:val="clear" w:color="auto" w:fill="E8F0F8"/>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9"/>
        </w:trPr>
        <w:tc>
          <w:tcPr>
            <w:tcW w:w="1180" w:type="dxa"/>
            <w:vAlign w:val="bottom"/>
            <w:gridSpan w:val="2"/>
            <w:vMerge w:val="continue"/>
            <w:shd w:val="clear" w:color="auto" w:fill="E8F0F8"/>
          </w:tcPr>
          <w:p>
            <w:pPr>
              <w:spacing w:after="0"/>
              <w:rPr>
                <w:sz w:val="24"/>
                <w:szCs w:val="24"/>
                <w:color w:val="auto"/>
              </w:rPr>
            </w:pPr>
          </w:p>
        </w:tc>
        <w:tc>
          <w:tcPr>
            <w:tcW w:w="40" w:type="dxa"/>
            <w:vAlign w:val="bottom"/>
            <w:shd w:val="clear" w:color="auto" w:fill="E8F0F8"/>
          </w:tcPr>
          <w:p>
            <w:pPr>
              <w:spacing w:after="0"/>
              <w:rPr>
                <w:sz w:val="24"/>
                <w:szCs w:val="24"/>
                <w:color w:val="auto"/>
              </w:rPr>
            </w:pPr>
          </w:p>
        </w:tc>
        <w:tc>
          <w:tcPr>
            <w:tcW w:w="900" w:type="dxa"/>
            <w:vAlign w:val="bottom"/>
            <w:gridSpan w:val="2"/>
            <w:shd w:val="clear" w:color="auto" w:fill="E8F0F8"/>
          </w:tcPr>
          <w:p>
            <w:pPr>
              <w:spacing w:after="0"/>
              <w:rPr>
                <w:sz w:val="24"/>
                <w:szCs w:val="24"/>
                <w:color w:val="auto"/>
              </w:rPr>
            </w:pPr>
          </w:p>
        </w:tc>
        <w:tc>
          <w:tcPr>
            <w:tcW w:w="60" w:type="dxa"/>
            <w:vAlign w:val="bottom"/>
            <w:shd w:val="clear" w:color="auto" w:fill="E8F0F8"/>
          </w:tcPr>
          <w:p>
            <w:pPr>
              <w:spacing w:after="0"/>
              <w:rPr>
                <w:sz w:val="24"/>
                <w:szCs w:val="24"/>
                <w:color w:val="auto"/>
              </w:rPr>
            </w:pPr>
          </w:p>
        </w:tc>
        <w:tc>
          <w:tcPr>
            <w:tcW w:w="320" w:type="dxa"/>
            <w:vAlign w:val="bottom"/>
            <w:shd w:val="clear" w:color="auto" w:fill="E8F0F8"/>
          </w:tcPr>
          <w:p>
            <w:pPr>
              <w:spacing w:after="0"/>
              <w:rPr>
                <w:sz w:val="24"/>
                <w:szCs w:val="24"/>
                <w:color w:val="auto"/>
              </w:rPr>
            </w:pPr>
          </w:p>
        </w:tc>
        <w:tc>
          <w:tcPr>
            <w:tcW w:w="620" w:type="dxa"/>
            <w:vAlign w:val="bottom"/>
            <w:shd w:val="clear" w:color="auto" w:fill="E8F0F8"/>
          </w:tcPr>
          <w:p>
            <w:pPr>
              <w:spacing w:after="0"/>
              <w:rPr>
                <w:sz w:val="24"/>
                <w:szCs w:val="24"/>
                <w:color w:val="auto"/>
              </w:rPr>
            </w:pPr>
          </w:p>
        </w:tc>
        <w:tc>
          <w:tcPr>
            <w:tcW w:w="240" w:type="dxa"/>
            <w:vAlign w:val="bottom"/>
            <w:shd w:val="clear" w:color="auto" w:fill="E8F0F8"/>
          </w:tcPr>
          <w:p>
            <w:pPr>
              <w:spacing w:after="0"/>
              <w:rPr>
                <w:sz w:val="24"/>
                <w:szCs w:val="24"/>
                <w:color w:val="auto"/>
              </w:rPr>
            </w:pPr>
          </w:p>
        </w:tc>
        <w:tc>
          <w:tcPr>
            <w:tcW w:w="180" w:type="dxa"/>
            <w:vAlign w:val="bottom"/>
            <w:shd w:val="clear" w:color="auto" w:fill="E8F0F8"/>
          </w:tcPr>
          <w:p>
            <w:pPr>
              <w:spacing w:after="0"/>
              <w:rPr>
                <w:sz w:val="24"/>
                <w:szCs w:val="24"/>
                <w:color w:val="auto"/>
              </w:rPr>
            </w:pPr>
          </w:p>
        </w:tc>
        <w:tc>
          <w:tcPr>
            <w:tcW w:w="20" w:type="dxa"/>
            <w:vAlign w:val="bottom"/>
            <w:shd w:val="clear" w:color="auto" w:fill="E8F0F8"/>
          </w:tcPr>
          <w:p>
            <w:pPr>
              <w:spacing w:after="0"/>
              <w:rPr>
                <w:sz w:val="24"/>
                <w:szCs w:val="24"/>
                <w:color w:val="auto"/>
              </w:rPr>
            </w:pPr>
          </w:p>
        </w:tc>
        <w:tc>
          <w:tcPr>
            <w:tcW w:w="760" w:type="dxa"/>
            <w:vAlign w:val="bottom"/>
            <w:gridSpan w:val="2"/>
            <w:vMerge w:val="continue"/>
            <w:shd w:val="clear" w:color="auto" w:fill="E8F0F8"/>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0" w:type="dxa"/>
            <w:vAlign w:val="bottom"/>
            <w:shd w:val="clear" w:color="auto" w:fill="E8F0F8"/>
          </w:tcPr>
          <w:p>
            <w:pPr>
              <w:spacing w:after="0"/>
              <w:rPr>
                <w:sz w:val="19"/>
                <w:szCs w:val="19"/>
                <w:color w:val="auto"/>
              </w:rPr>
            </w:pPr>
          </w:p>
        </w:tc>
        <w:tc>
          <w:tcPr>
            <w:tcW w:w="1060" w:type="dxa"/>
            <w:vAlign w:val="bottom"/>
            <w:shd w:val="clear" w:color="auto" w:fill="E8F0F8"/>
          </w:tcPr>
          <w:p>
            <w:pPr>
              <w:spacing w:after="0"/>
              <w:rPr>
                <w:sz w:val="19"/>
                <w:szCs w:val="19"/>
                <w:color w:val="auto"/>
              </w:rPr>
            </w:pPr>
          </w:p>
        </w:tc>
        <w:tc>
          <w:tcPr>
            <w:tcW w:w="40" w:type="dxa"/>
            <w:vAlign w:val="bottom"/>
            <w:shd w:val="clear" w:color="auto" w:fill="E8F0F8"/>
          </w:tcPr>
          <w:p>
            <w:pPr>
              <w:spacing w:after="0"/>
              <w:rPr>
                <w:sz w:val="19"/>
                <w:szCs w:val="19"/>
                <w:color w:val="auto"/>
              </w:rPr>
            </w:pPr>
          </w:p>
        </w:tc>
        <w:tc>
          <w:tcPr>
            <w:tcW w:w="840" w:type="dxa"/>
            <w:vAlign w:val="bottom"/>
            <w:shd w:val="clear" w:color="auto" w:fill="E8F0F8"/>
          </w:tcPr>
          <w:p>
            <w:pPr>
              <w:spacing w:after="0"/>
              <w:rPr>
                <w:sz w:val="19"/>
                <w:szCs w:val="19"/>
                <w:color w:val="auto"/>
              </w:rPr>
            </w:pPr>
          </w:p>
        </w:tc>
        <w:tc>
          <w:tcPr>
            <w:tcW w:w="60" w:type="dxa"/>
            <w:vAlign w:val="bottom"/>
            <w:shd w:val="clear" w:color="auto" w:fill="E8F0F8"/>
          </w:tcPr>
          <w:p>
            <w:pPr>
              <w:spacing w:after="0"/>
              <w:rPr>
                <w:sz w:val="19"/>
                <w:szCs w:val="19"/>
                <w:color w:val="auto"/>
              </w:rPr>
            </w:pPr>
          </w:p>
        </w:tc>
        <w:tc>
          <w:tcPr>
            <w:tcW w:w="60" w:type="dxa"/>
            <w:vAlign w:val="bottom"/>
            <w:shd w:val="clear" w:color="auto" w:fill="E8F0F8"/>
          </w:tcPr>
          <w:p>
            <w:pPr>
              <w:spacing w:after="0"/>
              <w:rPr>
                <w:sz w:val="19"/>
                <w:szCs w:val="19"/>
                <w:color w:val="auto"/>
              </w:rPr>
            </w:pPr>
          </w:p>
        </w:tc>
        <w:tc>
          <w:tcPr>
            <w:tcW w:w="320" w:type="dxa"/>
            <w:vAlign w:val="bottom"/>
            <w:shd w:val="clear" w:color="auto" w:fill="E8F0F8"/>
          </w:tcPr>
          <w:p>
            <w:pPr>
              <w:spacing w:after="0"/>
              <w:rPr>
                <w:sz w:val="19"/>
                <w:szCs w:val="19"/>
                <w:color w:val="auto"/>
              </w:rPr>
            </w:pPr>
          </w:p>
        </w:tc>
        <w:tc>
          <w:tcPr>
            <w:tcW w:w="620" w:type="dxa"/>
            <w:vAlign w:val="bottom"/>
            <w:shd w:val="clear" w:color="auto" w:fill="E8F0F8"/>
          </w:tcPr>
          <w:p>
            <w:pPr>
              <w:spacing w:after="0"/>
              <w:rPr>
                <w:sz w:val="19"/>
                <w:szCs w:val="19"/>
                <w:color w:val="auto"/>
              </w:rPr>
            </w:pPr>
          </w:p>
        </w:tc>
        <w:tc>
          <w:tcPr>
            <w:tcW w:w="240" w:type="dxa"/>
            <w:vAlign w:val="bottom"/>
            <w:shd w:val="clear" w:color="auto" w:fill="E8F0F8"/>
          </w:tcPr>
          <w:p>
            <w:pPr>
              <w:spacing w:after="0"/>
              <w:rPr>
                <w:sz w:val="19"/>
                <w:szCs w:val="19"/>
                <w:color w:val="auto"/>
              </w:rPr>
            </w:pPr>
          </w:p>
        </w:tc>
        <w:tc>
          <w:tcPr>
            <w:tcW w:w="180" w:type="dxa"/>
            <w:vAlign w:val="bottom"/>
            <w:shd w:val="clear" w:color="auto" w:fill="E8F0F8"/>
          </w:tcPr>
          <w:p>
            <w:pPr>
              <w:spacing w:after="0"/>
              <w:rPr>
                <w:sz w:val="19"/>
                <w:szCs w:val="19"/>
                <w:color w:val="auto"/>
              </w:rPr>
            </w:pPr>
          </w:p>
        </w:tc>
        <w:tc>
          <w:tcPr>
            <w:tcW w:w="20" w:type="dxa"/>
            <w:vAlign w:val="bottom"/>
            <w:shd w:val="clear" w:color="auto" w:fill="E8F0F8"/>
          </w:tcPr>
          <w:p>
            <w:pPr>
              <w:spacing w:after="0"/>
              <w:rPr>
                <w:sz w:val="19"/>
                <w:szCs w:val="19"/>
                <w:color w:val="auto"/>
              </w:rPr>
            </w:pPr>
          </w:p>
        </w:tc>
        <w:tc>
          <w:tcPr>
            <w:tcW w:w="220" w:type="dxa"/>
            <w:vAlign w:val="bottom"/>
            <w:shd w:val="clear" w:color="auto" w:fill="E8F0F8"/>
          </w:tcPr>
          <w:p>
            <w:pPr>
              <w:spacing w:after="0"/>
              <w:rPr>
                <w:sz w:val="19"/>
                <w:szCs w:val="19"/>
                <w:color w:val="auto"/>
              </w:rPr>
            </w:pPr>
          </w:p>
        </w:tc>
        <w:tc>
          <w:tcPr>
            <w:tcW w:w="540" w:type="dxa"/>
            <w:vAlign w:val="bottom"/>
            <w:shd w:val="clear" w:color="auto" w:fill="E8F0F8"/>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
        </w:trPr>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100" w:type="dxa"/>
            <w:vAlign w:val="bottom"/>
            <w:gridSpan w:val="10"/>
            <w:shd w:val="clear" w:color="auto" w:fill="000000"/>
          </w:tcPr>
          <w:p>
            <w:pPr>
              <w:ind w:left="20"/>
              <w:spacing w:after="0"/>
              <w:rPr>
                <w:rFonts w:ascii="Arial" w:cs="Arial" w:eastAsia="Arial" w:hAnsi="Arial"/>
                <w:sz w:val="1"/>
                <w:szCs w:val="1"/>
                <w:color w:val="0000EE"/>
              </w:rPr>
            </w:pPr>
            <w:hyperlink w:anchor="page21">
              <w:r>
                <w:rPr>
                  <w:rFonts w:ascii="Arial" w:cs="Arial" w:eastAsia="Arial" w:hAnsi="Arial"/>
                  <w:sz w:val="1"/>
                  <w:szCs w:val="1"/>
                  <w:color w:val="0000EE"/>
                </w:rPr>
                <w:t>Corporate</w:t>
              </w:r>
            </w:hyperlink>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660" w:type="dxa"/>
            <w:vAlign w:val="bottom"/>
            <w:gridSpan w:val="21"/>
            <w:shd w:val="clear" w:color="auto" w:fill="000000"/>
          </w:tcPr>
          <w:p>
            <w:pPr>
              <w:spacing w:after="0"/>
              <w:rPr>
                <w:rFonts w:ascii="Arial" w:cs="Arial" w:eastAsia="Arial" w:hAnsi="Arial"/>
                <w:sz w:val="1"/>
                <w:szCs w:val="1"/>
                <w:color w:val="0000EE"/>
              </w:rPr>
            </w:pPr>
            <w:hyperlink w:anchor="page21">
              <w:r>
                <w:rPr>
                  <w:rFonts w:ascii="Arial" w:cs="Arial" w:eastAsia="Arial" w:hAnsi="Arial"/>
                  <w:sz w:val="1"/>
                  <w:szCs w:val="1"/>
                  <w:color w:val="0000EE"/>
                </w:rPr>
                <w:t>Director Independence</w:t>
              </w:r>
            </w:hyperlink>
          </w:p>
        </w:tc>
        <w:tc>
          <w:tcPr>
            <w:tcW w:w="720" w:type="dxa"/>
            <w:vAlign w:val="bottom"/>
            <w:shd w:val="clear" w:color="auto" w:fill="000000"/>
          </w:tcPr>
          <w:p>
            <w:pPr>
              <w:jc w:val="right"/>
              <w:spacing w:after="0"/>
              <w:rPr>
                <w:sz w:val="20"/>
                <w:szCs w:val="20"/>
                <w:color w:val="auto"/>
              </w:rPr>
            </w:pPr>
            <w:r>
              <w:rPr>
                <w:rFonts w:ascii="Arial" w:cs="Arial" w:eastAsia="Arial" w:hAnsi="Arial"/>
                <w:sz w:val="1"/>
                <w:szCs w:val="1"/>
                <w:color w:val="auto"/>
              </w:rPr>
              <w:t>7</w:t>
            </w:r>
          </w:p>
        </w:tc>
        <w:tc>
          <w:tcPr>
            <w:tcW w:w="0" w:type="dxa"/>
            <w:vAlign w:val="bottom"/>
          </w:tcPr>
          <w:p>
            <w:pPr>
              <w:spacing w:after="0" w:line="20" w:lineRule="exact"/>
              <w:rPr>
                <w:sz w:val="1"/>
                <w:szCs w:val="1"/>
                <w:color w:val="auto"/>
              </w:rPr>
            </w:pPr>
          </w:p>
        </w:tc>
      </w:tr>
      <w:tr>
        <w:trPr>
          <w:trHeight w:val="160"/>
        </w:trPr>
        <w:tc>
          <w:tcPr>
            <w:tcW w:w="1180" w:type="dxa"/>
            <w:vAlign w:val="bottom"/>
            <w:gridSpan w:val="2"/>
            <w:vMerge w:val="restart"/>
            <w:shd w:val="clear" w:color="auto" w:fill="E8F0F8"/>
          </w:tcPr>
          <w:p>
            <w:pPr>
              <w:jc w:val="right"/>
              <w:ind w:right="119"/>
              <w:spacing w:after="0" w:line="902" w:lineRule="exact"/>
              <w:rPr>
                <w:sz w:val="20"/>
                <w:szCs w:val="20"/>
                <w:color w:val="auto"/>
              </w:rPr>
            </w:pPr>
            <w:r>
              <w:rPr>
                <w:rFonts w:ascii="Arial" w:cs="Arial" w:eastAsia="Arial" w:hAnsi="Arial"/>
                <w:sz w:val="104"/>
                <w:szCs w:val="104"/>
                <w:color w:val="1A6DBB"/>
              </w:rPr>
              <w:t>2</w:t>
            </w:r>
          </w:p>
        </w:tc>
        <w:tc>
          <w:tcPr>
            <w:tcW w:w="40" w:type="dxa"/>
            <w:vAlign w:val="bottom"/>
            <w:shd w:val="clear" w:color="auto" w:fill="E8F0F8"/>
          </w:tcPr>
          <w:p>
            <w:pPr>
              <w:spacing w:after="0"/>
              <w:rPr>
                <w:sz w:val="13"/>
                <w:szCs w:val="13"/>
                <w:color w:val="auto"/>
              </w:rPr>
            </w:pPr>
          </w:p>
        </w:tc>
        <w:tc>
          <w:tcPr>
            <w:tcW w:w="840" w:type="dxa"/>
            <w:vAlign w:val="bottom"/>
            <w:shd w:val="clear" w:color="auto" w:fill="E8F0F8"/>
          </w:tcPr>
          <w:p>
            <w:pPr>
              <w:spacing w:after="0"/>
              <w:rPr>
                <w:sz w:val="13"/>
                <w:szCs w:val="13"/>
                <w:color w:val="auto"/>
              </w:rPr>
            </w:pPr>
          </w:p>
        </w:tc>
        <w:tc>
          <w:tcPr>
            <w:tcW w:w="60" w:type="dxa"/>
            <w:vAlign w:val="bottom"/>
            <w:shd w:val="clear" w:color="auto" w:fill="E8F0F8"/>
          </w:tcPr>
          <w:p>
            <w:pPr>
              <w:spacing w:after="0"/>
              <w:rPr>
                <w:sz w:val="13"/>
                <w:szCs w:val="13"/>
                <w:color w:val="auto"/>
              </w:rPr>
            </w:pPr>
          </w:p>
        </w:tc>
        <w:tc>
          <w:tcPr>
            <w:tcW w:w="60" w:type="dxa"/>
            <w:vAlign w:val="bottom"/>
            <w:shd w:val="clear" w:color="auto" w:fill="E8F0F8"/>
          </w:tcPr>
          <w:p>
            <w:pPr>
              <w:spacing w:after="0"/>
              <w:rPr>
                <w:sz w:val="13"/>
                <w:szCs w:val="13"/>
                <w:color w:val="auto"/>
              </w:rPr>
            </w:pPr>
          </w:p>
        </w:tc>
        <w:tc>
          <w:tcPr>
            <w:tcW w:w="320" w:type="dxa"/>
            <w:vAlign w:val="bottom"/>
            <w:shd w:val="clear" w:color="auto" w:fill="E8F0F8"/>
          </w:tcPr>
          <w:p>
            <w:pPr>
              <w:spacing w:after="0"/>
              <w:rPr>
                <w:sz w:val="13"/>
                <w:szCs w:val="13"/>
                <w:color w:val="auto"/>
              </w:rPr>
            </w:pPr>
          </w:p>
        </w:tc>
        <w:tc>
          <w:tcPr>
            <w:tcW w:w="620" w:type="dxa"/>
            <w:vAlign w:val="bottom"/>
            <w:shd w:val="clear" w:color="auto" w:fill="E8F0F8"/>
          </w:tcPr>
          <w:p>
            <w:pPr>
              <w:spacing w:after="0"/>
              <w:rPr>
                <w:sz w:val="13"/>
                <w:szCs w:val="13"/>
                <w:color w:val="auto"/>
              </w:rPr>
            </w:pPr>
          </w:p>
        </w:tc>
        <w:tc>
          <w:tcPr>
            <w:tcW w:w="240" w:type="dxa"/>
            <w:vAlign w:val="bottom"/>
            <w:shd w:val="clear" w:color="auto" w:fill="E8F0F8"/>
          </w:tcPr>
          <w:p>
            <w:pPr>
              <w:spacing w:after="0"/>
              <w:rPr>
                <w:sz w:val="13"/>
                <w:szCs w:val="13"/>
                <w:color w:val="auto"/>
              </w:rPr>
            </w:pPr>
          </w:p>
        </w:tc>
        <w:tc>
          <w:tcPr>
            <w:tcW w:w="180" w:type="dxa"/>
            <w:vAlign w:val="bottom"/>
            <w:shd w:val="clear" w:color="auto" w:fill="E8F0F8"/>
          </w:tcPr>
          <w:p>
            <w:pPr>
              <w:spacing w:after="0"/>
              <w:rPr>
                <w:sz w:val="13"/>
                <w:szCs w:val="13"/>
                <w:color w:val="auto"/>
              </w:rPr>
            </w:pPr>
          </w:p>
        </w:tc>
        <w:tc>
          <w:tcPr>
            <w:tcW w:w="20" w:type="dxa"/>
            <w:vAlign w:val="bottom"/>
            <w:shd w:val="clear" w:color="auto" w:fill="E8F0F8"/>
          </w:tcPr>
          <w:p>
            <w:pPr>
              <w:spacing w:after="0"/>
              <w:rPr>
                <w:sz w:val="13"/>
                <w:szCs w:val="13"/>
                <w:color w:val="auto"/>
              </w:rPr>
            </w:pPr>
          </w:p>
        </w:tc>
        <w:tc>
          <w:tcPr>
            <w:tcW w:w="220" w:type="dxa"/>
            <w:vAlign w:val="bottom"/>
            <w:shd w:val="clear" w:color="auto" w:fill="E8F0F8"/>
          </w:tcPr>
          <w:p>
            <w:pPr>
              <w:spacing w:after="0"/>
              <w:rPr>
                <w:sz w:val="13"/>
                <w:szCs w:val="13"/>
                <w:color w:val="auto"/>
              </w:rPr>
            </w:pPr>
          </w:p>
        </w:tc>
        <w:tc>
          <w:tcPr>
            <w:tcW w:w="540" w:type="dxa"/>
            <w:vAlign w:val="bottom"/>
            <w:shd w:val="clear" w:color="auto" w:fill="E8F0F8"/>
          </w:tcPr>
          <w:p>
            <w:pPr>
              <w:spacing w:after="0"/>
              <w:rPr>
                <w:sz w:val="13"/>
                <w:szCs w:val="13"/>
                <w:color w:val="auto"/>
              </w:rPr>
            </w:pPr>
          </w:p>
        </w:tc>
        <w:tc>
          <w:tcPr>
            <w:tcW w:w="320" w:type="dxa"/>
            <w:vAlign w:val="bottom"/>
          </w:tcPr>
          <w:p>
            <w:pPr>
              <w:spacing w:after="0"/>
              <w:rPr>
                <w:sz w:val="13"/>
                <w:szCs w:val="13"/>
                <w:color w:val="auto"/>
              </w:rPr>
            </w:pPr>
          </w:p>
        </w:tc>
        <w:tc>
          <w:tcPr>
            <w:tcW w:w="5660" w:type="dxa"/>
            <w:vAlign w:val="bottom"/>
            <w:gridSpan w:val="21"/>
          </w:tcPr>
          <w:p>
            <w:pPr>
              <w:spacing w:after="0" w:line="160" w:lineRule="exact"/>
              <w:rPr>
                <w:rFonts w:ascii="Arial" w:cs="Arial" w:eastAsia="Arial" w:hAnsi="Arial"/>
                <w:sz w:val="16"/>
                <w:szCs w:val="16"/>
                <w:color w:val="0000EE"/>
              </w:rPr>
            </w:pPr>
            <w:hyperlink w:anchor="page21">
              <w:r>
                <w:rPr>
                  <w:rFonts w:ascii="Arial" w:cs="Arial" w:eastAsia="Arial" w:hAnsi="Arial"/>
                  <w:sz w:val="16"/>
                  <w:szCs w:val="16"/>
                  <w:color w:val="0000EE"/>
                </w:rPr>
                <w:t>Corporate Governance Practices</w:t>
              </w:r>
            </w:hyperlink>
          </w:p>
        </w:tc>
        <w:tc>
          <w:tcPr>
            <w:tcW w:w="720" w:type="dxa"/>
            <w:vAlign w:val="bottom"/>
          </w:tcPr>
          <w:p>
            <w:pPr>
              <w:jc w:val="right"/>
              <w:spacing w:after="0" w:line="160"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09"/>
        </w:trPr>
        <w:tc>
          <w:tcPr>
            <w:tcW w:w="1180" w:type="dxa"/>
            <w:vAlign w:val="bottom"/>
            <w:tcBorders>
              <w:top w:val="single" w:sz="8" w:color="E8F0F8"/>
              <w:bottom w:val="single" w:sz="8" w:color="E8F0F8"/>
            </w:tcBorders>
            <w:gridSpan w:val="2"/>
            <w:vMerge w:val="continue"/>
            <w:shd w:val="clear" w:color="auto" w:fill="E8F0F8"/>
          </w:tcPr>
          <w:p>
            <w:pPr>
              <w:spacing w:after="0"/>
              <w:rPr>
                <w:sz w:val="9"/>
                <w:szCs w:val="9"/>
                <w:color w:val="auto"/>
              </w:rPr>
            </w:pPr>
          </w:p>
        </w:tc>
        <w:tc>
          <w:tcPr>
            <w:tcW w:w="40" w:type="dxa"/>
            <w:vAlign w:val="bottom"/>
            <w:tcBorders>
              <w:top w:val="single" w:sz="8" w:color="E8F0F8"/>
              <w:bottom w:val="single" w:sz="8" w:color="E8F0F8"/>
            </w:tcBorders>
            <w:shd w:val="clear" w:color="auto" w:fill="E8F0F8"/>
          </w:tcPr>
          <w:p>
            <w:pPr>
              <w:spacing w:after="0"/>
              <w:rPr>
                <w:sz w:val="9"/>
                <w:szCs w:val="9"/>
                <w:color w:val="auto"/>
              </w:rPr>
            </w:pPr>
          </w:p>
        </w:tc>
        <w:tc>
          <w:tcPr>
            <w:tcW w:w="840" w:type="dxa"/>
            <w:vAlign w:val="bottom"/>
            <w:tcBorders>
              <w:top w:val="single" w:sz="8" w:color="E8F0F8"/>
              <w:bottom w:val="single" w:sz="8" w:color="0000EE"/>
            </w:tcBorders>
            <w:shd w:val="clear" w:color="auto" w:fill="E8F0F8"/>
          </w:tcPr>
          <w:p>
            <w:pPr>
              <w:spacing w:after="0"/>
              <w:rPr>
                <w:sz w:val="9"/>
                <w:szCs w:val="9"/>
                <w:color w:val="auto"/>
              </w:rPr>
            </w:pPr>
          </w:p>
        </w:tc>
        <w:tc>
          <w:tcPr>
            <w:tcW w:w="60" w:type="dxa"/>
            <w:vAlign w:val="bottom"/>
            <w:tcBorders>
              <w:top w:val="single" w:sz="8" w:color="E8F0F8"/>
              <w:bottom w:val="single" w:sz="8" w:color="0000EE"/>
            </w:tcBorders>
            <w:shd w:val="clear" w:color="auto" w:fill="E8F0F8"/>
          </w:tcPr>
          <w:p>
            <w:pPr>
              <w:spacing w:after="0"/>
              <w:rPr>
                <w:sz w:val="9"/>
                <w:szCs w:val="9"/>
                <w:color w:val="auto"/>
              </w:rPr>
            </w:pPr>
          </w:p>
        </w:tc>
        <w:tc>
          <w:tcPr>
            <w:tcW w:w="60" w:type="dxa"/>
            <w:vAlign w:val="bottom"/>
            <w:tcBorders>
              <w:top w:val="single" w:sz="8" w:color="E8F0F8"/>
              <w:bottom w:val="single" w:sz="8" w:color="0000EE"/>
            </w:tcBorders>
            <w:shd w:val="clear" w:color="auto" w:fill="E8F0F8"/>
          </w:tcPr>
          <w:p>
            <w:pPr>
              <w:spacing w:after="0"/>
              <w:rPr>
                <w:sz w:val="9"/>
                <w:szCs w:val="9"/>
                <w:color w:val="auto"/>
              </w:rPr>
            </w:pPr>
          </w:p>
        </w:tc>
        <w:tc>
          <w:tcPr>
            <w:tcW w:w="320" w:type="dxa"/>
            <w:vAlign w:val="bottom"/>
            <w:tcBorders>
              <w:top w:val="single" w:sz="8" w:color="E8F0F8"/>
              <w:bottom w:val="single" w:sz="8" w:color="0000EE"/>
            </w:tcBorders>
            <w:shd w:val="clear" w:color="auto" w:fill="E8F0F8"/>
          </w:tcPr>
          <w:p>
            <w:pPr>
              <w:spacing w:after="0"/>
              <w:rPr>
                <w:sz w:val="9"/>
                <w:szCs w:val="9"/>
                <w:color w:val="auto"/>
              </w:rPr>
            </w:pPr>
          </w:p>
        </w:tc>
        <w:tc>
          <w:tcPr>
            <w:tcW w:w="620" w:type="dxa"/>
            <w:vAlign w:val="bottom"/>
            <w:tcBorders>
              <w:top w:val="single" w:sz="8" w:color="E8F0F8"/>
              <w:bottom w:val="single" w:sz="8" w:color="E8F0F8"/>
            </w:tcBorders>
            <w:shd w:val="clear" w:color="auto" w:fill="E8F0F8"/>
          </w:tcPr>
          <w:p>
            <w:pPr>
              <w:spacing w:after="0"/>
              <w:rPr>
                <w:sz w:val="9"/>
                <w:szCs w:val="9"/>
                <w:color w:val="auto"/>
              </w:rPr>
            </w:pPr>
          </w:p>
        </w:tc>
        <w:tc>
          <w:tcPr>
            <w:tcW w:w="240" w:type="dxa"/>
            <w:vAlign w:val="bottom"/>
            <w:tcBorders>
              <w:top w:val="single" w:sz="8" w:color="E8F0F8"/>
              <w:bottom w:val="single" w:sz="8" w:color="E8F0F8"/>
            </w:tcBorders>
            <w:shd w:val="clear" w:color="auto" w:fill="E8F0F8"/>
          </w:tcPr>
          <w:p>
            <w:pPr>
              <w:spacing w:after="0"/>
              <w:rPr>
                <w:sz w:val="9"/>
                <w:szCs w:val="9"/>
                <w:color w:val="auto"/>
              </w:rPr>
            </w:pPr>
          </w:p>
        </w:tc>
        <w:tc>
          <w:tcPr>
            <w:tcW w:w="180" w:type="dxa"/>
            <w:vAlign w:val="bottom"/>
            <w:tcBorders>
              <w:top w:val="single" w:sz="8" w:color="E8F0F8"/>
              <w:bottom w:val="single" w:sz="8" w:color="E8F0F8"/>
            </w:tcBorders>
            <w:shd w:val="clear" w:color="auto" w:fill="E8F0F8"/>
          </w:tcPr>
          <w:p>
            <w:pPr>
              <w:spacing w:after="0"/>
              <w:rPr>
                <w:sz w:val="9"/>
                <w:szCs w:val="9"/>
                <w:color w:val="auto"/>
              </w:rPr>
            </w:pPr>
          </w:p>
        </w:tc>
        <w:tc>
          <w:tcPr>
            <w:tcW w:w="20" w:type="dxa"/>
            <w:vAlign w:val="bottom"/>
            <w:tcBorders>
              <w:top w:val="single" w:sz="8" w:color="E8F0F8"/>
              <w:bottom w:val="single" w:sz="8" w:color="E8F0F8"/>
            </w:tcBorders>
            <w:shd w:val="clear" w:color="auto" w:fill="E8F0F8"/>
          </w:tcPr>
          <w:p>
            <w:pPr>
              <w:spacing w:after="0"/>
              <w:rPr>
                <w:sz w:val="9"/>
                <w:szCs w:val="9"/>
                <w:color w:val="auto"/>
              </w:rPr>
            </w:pPr>
          </w:p>
        </w:tc>
        <w:tc>
          <w:tcPr>
            <w:tcW w:w="220" w:type="dxa"/>
            <w:vAlign w:val="bottom"/>
            <w:tcBorders>
              <w:top w:val="single" w:sz="8" w:color="E8F0F8"/>
              <w:bottom w:val="single" w:sz="8" w:color="E8F0F8"/>
            </w:tcBorders>
            <w:shd w:val="clear" w:color="auto" w:fill="E8F0F8"/>
          </w:tcPr>
          <w:p>
            <w:pPr>
              <w:spacing w:after="0"/>
              <w:rPr>
                <w:sz w:val="9"/>
                <w:szCs w:val="9"/>
                <w:color w:val="auto"/>
              </w:rPr>
            </w:pPr>
          </w:p>
        </w:tc>
        <w:tc>
          <w:tcPr>
            <w:tcW w:w="540" w:type="dxa"/>
            <w:vAlign w:val="bottom"/>
            <w:tcBorders>
              <w:top w:val="single" w:sz="8" w:color="E8F0F8"/>
              <w:bottom w:val="single" w:sz="8" w:color="E8F0F8"/>
            </w:tcBorders>
            <w:shd w:val="clear" w:color="auto" w:fill="E8F0F8"/>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980" w:type="dxa"/>
            <w:vAlign w:val="bottom"/>
            <w:tcBorders>
              <w:top w:val="single" w:sz="8" w:color="0000EE"/>
            </w:tcBorders>
          </w:tcPr>
          <w:p>
            <w:pPr>
              <w:spacing w:after="0"/>
              <w:rPr>
                <w:sz w:val="9"/>
                <w:szCs w:val="9"/>
                <w:color w:val="auto"/>
              </w:rPr>
            </w:pPr>
          </w:p>
        </w:tc>
        <w:tc>
          <w:tcPr>
            <w:tcW w:w="38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8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4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160" w:type="dxa"/>
            <w:vAlign w:val="bottom"/>
            <w:tcBorders>
              <w:top w:val="single" w:sz="8" w:color="0000EE"/>
            </w:tcBorders>
          </w:tcPr>
          <w:p>
            <w:pPr>
              <w:spacing w:after="0"/>
              <w:rPr>
                <w:sz w:val="9"/>
                <w:szCs w:val="9"/>
                <w:color w:val="auto"/>
              </w:rPr>
            </w:pPr>
          </w:p>
        </w:tc>
        <w:tc>
          <w:tcPr>
            <w:tcW w:w="340" w:type="dxa"/>
            <w:vAlign w:val="bottom"/>
            <w:tcBorders>
              <w:top w:val="single" w:sz="8" w:color="0000EE"/>
            </w:tcBorders>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180" w:type="dxa"/>
            <w:vAlign w:val="bottom"/>
            <w:tcBorders>
              <w:bottom w:val="single" w:sz="8" w:color="E8F0F8"/>
            </w:tcBorders>
            <w:gridSpan w:val="2"/>
            <w:vMerge w:val="continue"/>
            <w:shd w:val="clear" w:color="auto" w:fill="E8F0F8"/>
          </w:tcPr>
          <w:p>
            <w:pPr>
              <w:spacing w:after="0"/>
              <w:rPr>
                <w:sz w:val="3"/>
                <w:szCs w:val="3"/>
                <w:color w:val="auto"/>
              </w:rPr>
            </w:pPr>
          </w:p>
        </w:tc>
        <w:tc>
          <w:tcPr>
            <w:tcW w:w="40" w:type="dxa"/>
            <w:vAlign w:val="bottom"/>
            <w:tcBorders>
              <w:bottom w:val="single" w:sz="8" w:color="E8F0F8"/>
            </w:tcBorders>
            <w:shd w:val="clear" w:color="auto" w:fill="E8F0F8"/>
          </w:tcPr>
          <w:p>
            <w:pPr>
              <w:spacing w:after="0"/>
              <w:rPr>
                <w:sz w:val="3"/>
                <w:szCs w:val="3"/>
                <w:color w:val="auto"/>
              </w:rPr>
            </w:pPr>
          </w:p>
        </w:tc>
        <w:tc>
          <w:tcPr>
            <w:tcW w:w="3100" w:type="dxa"/>
            <w:vAlign w:val="bottom"/>
            <w:tcBorders>
              <w:bottom w:val="single" w:sz="8" w:color="E8F0F8"/>
            </w:tcBorders>
            <w:gridSpan w:val="10"/>
            <w:vMerge w:val="restart"/>
            <w:shd w:val="clear" w:color="auto" w:fill="E8F0F8"/>
          </w:tcPr>
          <w:p>
            <w:pPr>
              <w:ind w:left="20"/>
              <w:spacing w:after="0" w:line="216" w:lineRule="exact"/>
              <w:rPr>
                <w:rFonts w:ascii="Arial" w:cs="Arial" w:eastAsia="Arial" w:hAnsi="Arial"/>
                <w:sz w:val="25"/>
                <w:szCs w:val="25"/>
                <w:color w:val="0000EE"/>
              </w:rPr>
            </w:pPr>
            <w:hyperlink w:anchor="page21">
              <w:r>
                <w:rPr>
                  <w:rFonts w:ascii="Arial" w:cs="Arial" w:eastAsia="Arial" w:hAnsi="Arial"/>
                  <w:sz w:val="25"/>
                  <w:szCs w:val="25"/>
                  <w:color w:val="0000EE"/>
                </w:rPr>
                <w:t>Governance at</w:t>
              </w:r>
            </w:hyperlink>
          </w:p>
        </w:tc>
        <w:tc>
          <w:tcPr>
            <w:tcW w:w="32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380" w:type="dxa"/>
            <w:vAlign w:val="bottom"/>
            <w:tcBorders>
              <w:bottom w:val="single" w:sz="8" w:color="0000EE"/>
            </w:tcBorders>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80" w:type="dxa"/>
            <w:vAlign w:val="bottom"/>
            <w:tcBorders>
              <w:bottom w:val="single" w:sz="8" w:color="0000EE"/>
            </w:tcBorders>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180" w:type="dxa"/>
            <w:vAlign w:val="bottom"/>
            <w:tcBorders>
              <w:bottom w:val="single" w:sz="8" w:color="E8F0F8"/>
            </w:tcBorders>
            <w:gridSpan w:val="2"/>
            <w:vMerge w:val="continue"/>
            <w:shd w:val="clear" w:color="auto" w:fill="E8F0F8"/>
          </w:tcPr>
          <w:p>
            <w:pPr>
              <w:spacing w:after="0"/>
              <w:rPr>
                <w:sz w:val="14"/>
                <w:szCs w:val="14"/>
                <w:color w:val="auto"/>
              </w:rPr>
            </w:pPr>
          </w:p>
        </w:tc>
        <w:tc>
          <w:tcPr>
            <w:tcW w:w="40" w:type="dxa"/>
            <w:vAlign w:val="bottom"/>
            <w:tcBorders>
              <w:bottom w:val="single" w:sz="8" w:color="E8F0F8"/>
            </w:tcBorders>
            <w:shd w:val="clear" w:color="auto" w:fill="E8F0F8"/>
          </w:tcPr>
          <w:p>
            <w:pPr>
              <w:spacing w:after="0"/>
              <w:rPr>
                <w:sz w:val="14"/>
                <w:szCs w:val="14"/>
                <w:color w:val="auto"/>
              </w:rPr>
            </w:pPr>
          </w:p>
        </w:tc>
        <w:tc>
          <w:tcPr>
            <w:tcW w:w="3100" w:type="dxa"/>
            <w:vAlign w:val="bottom"/>
            <w:tcBorders>
              <w:bottom w:val="single" w:sz="8" w:color="E8F0F8"/>
            </w:tcBorders>
            <w:gridSpan w:val="10"/>
            <w:vMerge w:val="continue"/>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tcBorders>
              <w:bottom w:val="single" w:sz="8" w:color="0000EE"/>
            </w:tcBorders>
            <w:gridSpan w:val="5"/>
          </w:tcPr>
          <w:p>
            <w:pPr>
              <w:spacing w:after="0" w:line="169" w:lineRule="exact"/>
              <w:rPr>
                <w:rFonts w:ascii="Arial" w:cs="Arial" w:eastAsia="Arial" w:hAnsi="Arial"/>
                <w:sz w:val="16"/>
                <w:szCs w:val="16"/>
                <w:color w:val="0000EE"/>
                <w:w w:val="97"/>
              </w:rPr>
            </w:pPr>
            <w:hyperlink w:anchor="page22">
              <w:r>
                <w:rPr>
                  <w:rFonts w:ascii="Arial" w:cs="Arial" w:eastAsia="Arial" w:hAnsi="Arial"/>
                  <w:sz w:val="16"/>
                  <w:szCs w:val="16"/>
                  <w:color w:val="0000EE"/>
                  <w:w w:val="97"/>
                </w:rPr>
                <w:t>Nominating Processes</w:t>
              </w:r>
            </w:hyperlink>
          </w:p>
        </w:tc>
        <w:tc>
          <w:tcPr>
            <w:tcW w:w="4080" w:type="dxa"/>
            <w:vAlign w:val="bottom"/>
            <w:gridSpan w:val="16"/>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68"/>
        </w:trPr>
        <w:tc>
          <w:tcPr>
            <w:tcW w:w="1180" w:type="dxa"/>
            <w:vAlign w:val="bottom"/>
            <w:tcBorders>
              <w:bottom w:val="single" w:sz="8" w:color="E8F0F8"/>
            </w:tcBorders>
            <w:gridSpan w:val="2"/>
            <w:vMerge w:val="continue"/>
            <w:shd w:val="clear" w:color="auto" w:fill="E8F0F8"/>
          </w:tcPr>
          <w:p>
            <w:pPr>
              <w:spacing w:after="0"/>
              <w:rPr>
                <w:sz w:val="5"/>
                <w:szCs w:val="5"/>
                <w:color w:val="auto"/>
              </w:rPr>
            </w:pPr>
          </w:p>
        </w:tc>
        <w:tc>
          <w:tcPr>
            <w:tcW w:w="40" w:type="dxa"/>
            <w:vAlign w:val="bottom"/>
            <w:tcBorders>
              <w:bottom w:val="single" w:sz="8" w:color="E8F0F8"/>
            </w:tcBorders>
            <w:shd w:val="clear" w:color="auto" w:fill="E8F0F8"/>
          </w:tcPr>
          <w:p>
            <w:pPr>
              <w:spacing w:after="0"/>
              <w:rPr>
                <w:sz w:val="5"/>
                <w:szCs w:val="5"/>
                <w:color w:val="auto"/>
              </w:rPr>
            </w:pPr>
          </w:p>
        </w:tc>
        <w:tc>
          <w:tcPr>
            <w:tcW w:w="840" w:type="dxa"/>
            <w:vAlign w:val="bottom"/>
            <w:tcBorders>
              <w:bottom w:val="single" w:sz="8" w:color="0000EE"/>
            </w:tcBorders>
            <w:shd w:val="clear" w:color="auto" w:fill="E8F0F8"/>
          </w:tcPr>
          <w:p>
            <w:pPr>
              <w:spacing w:after="0"/>
              <w:rPr>
                <w:sz w:val="5"/>
                <w:szCs w:val="5"/>
                <w:color w:val="auto"/>
              </w:rPr>
            </w:pPr>
          </w:p>
        </w:tc>
        <w:tc>
          <w:tcPr>
            <w:tcW w:w="60" w:type="dxa"/>
            <w:vAlign w:val="bottom"/>
            <w:tcBorders>
              <w:bottom w:val="single" w:sz="8" w:color="0000EE"/>
            </w:tcBorders>
            <w:shd w:val="clear" w:color="auto" w:fill="E8F0F8"/>
          </w:tcPr>
          <w:p>
            <w:pPr>
              <w:spacing w:after="0"/>
              <w:rPr>
                <w:sz w:val="5"/>
                <w:szCs w:val="5"/>
                <w:color w:val="auto"/>
              </w:rPr>
            </w:pPr>
          </w:p>
        </w:tc>
        <w:tc>
          <w:tcPr>
            <w:tcW w:w="60" w:type="dxa"/>
            <w:vAlign w:val="bottom"/>
            <w:tcBorders>
              <w:bottom w:val="single" w:sz="8" w:color="0000EE"/>
            </w:tcBorders>
            <w:shd w:val="clear" w:color="auto" w:fill="E8F0F8"/>
          </w:tcPr>
          <w:p>
            <w:pPr>
              <w:spacing w:after="0"/>
              <w:rPr>
                <w:sz w:val="5"/>
                <w:szCs w:val="5"/>
                <w:color w:val="auto"/>
              </w:rPr>
            </w:pPr>
          </w:p>
        </w:tc>
        <w:tc>
          <w:tcPr>
            <w:tcW w:w="320" w:type="dxa"/>
            <w:vAlign w:val="bottom"/>
            <w:tcBorders>
              <w:bottom w:val="single" w:sz="8" w:color="0000EE"/>
            </w:tcBorders>
            <w:shd w:val="clear" w:color="auto" w:fill="E8F0F8"/>
          </w:tcPr>
          <w:p>
            <w:pPr>
              <w:spacing w:after="0"/>
              <w:rPr>
                <w:sz w:val="5"/>
                <w:szCs w:val="5"/>
                <w:color w:val="auto"/>
              </w:rPr>
            </w:pPr>
          </w:p>
        </w:tc>
        <w:tc>
          <w:tcPr>
            <w:tcW w:w="620" w:type="dxa"/>
            <w:vAlign w:val="bottom"/>
            <w:tcBorders>
              <w:bottom w:val="single" w:sz="8" w:color="0000EE"/>
            </w:tcBorders>
            <w:shd w:val="clear" w:color="auto" w:fill="E8F0F8"/>
          </w:tcPr>
          <w:p>
            <w:pPr>
              <w:spacing w:after="0"/>
              <w:rPr>
                <w:sz w:val="5"/>
                <w:szCs w:val="5"/>
                <w:color w:val="auto"/>
              </w:rPr>
            </w:pPr>
          </w:p>
        </w:tc>
        <w:tc>
          <w:tcPr>
            <w:tcW w:w="240" w:type="dxa"/>
            <w:vAlign w:val="bottom"/>
            <w:tcBorders>
              <w:bottom w:val="single" w:sz="8" w:color="E8F0F8"/>
            </w:tcBorders>
            <w:shd w:val="clear" w:color="auto" w:fill="E8F0F8"/>
          </w:tcPr>
          <w:p>
            <w:pPr>
              <w:spacing w:after="0"/>
              <w:rPr>
                <w:sz w:val="5"/>
                <w:szCs w:val="5"/>
                <w:color w:val="auto"/>
              </w:rPr>
            </w:pPr>
          </w:p>
        </w:tc>
        <w:tc>
          <w:tcPr>
            <w:tcW w:w="180" w:type="dxa"/>
            <w:vAlign w:val="bottom"/>
            <w:tcBorders>
              <w:bottom w:val="single" w:sz="8" w:color="E8F0F8"/>
            </w:tcBorders>
            <w:shd w:val="clear" w:color="auto" w:fill="E8F0F8"/>
          </w:tcPr>
          <w:p>
            <w:pPr>
              <w:spacing w:after="0"/>
              <w:rPr>
                <w:sz w:val="5"/>
                <w:szCs w:val="5"/>
                <w:color w:val="auto"/>
              </w:rPr>
            </w:pPr>
          </w:p>
        </w:tc>
        <w:tc>
          <w:tcPr>
            <w:tcW w:w="20" w:type="dxa"/>
            <w:vAlign w:val="bottom"/>
            <w:tcBorders>
              <w:bottom w:val="single" w:sz="8" w:color="E8F0F8"/>
            </w:tcBorders>
            <w:shd w:val="clear" w:color="auto" w:fill="E8F0F8"/>
          </w:tcPr>
          <w:p>
            <w:pPr>
              <w:spacing w:after="0"/>
              <w:rPr>
                <w:sz w:val="5"/>
                <w:szCs w:val="5"/>
                <w:color w:val="auto"/>
              </w:rPr>
            </w:pPr>
          </w:p>
        </w:tc>
        <w:tc>
          <w:tcPr>
            <w:tcW w:w="220" w:type="dxa"/>
            <w:vAlign w:val="bottom"/>
            <w:tcBorders>
              <w:bottom w:val="single" w:sz="8" w:color="E8F0F8"/>
            </w:tcBorders>
            <w:shd w:val="clear" w:color="auto" w:fill="E8F0F8"/>
          </w:tcPr>
          <w:p>
            <w:pPr>
              <w:spacing w:after="0"/>
              <w:rPr>
                <w:sz w:val="5"/>
                <w:szCs w:val="5"/>
                <w:color w:val="auto"/>
              </w:rPr>
            </w:pPr>
          </w:p>
        </w:tc>
        <w:tc>
          <w:tcPr>
            <w:tcW w:w="540" w:type="dxa"/>
            <w:vAlign w:val="bottom"/>
            <w:tcBorders>
              <w:bottom w:val="single" w:sz="8" w:color="E8F0F8"/>
            </w:tcBorders>
            <w:shd w:val="clear" w:color="auto" w:fill="E8F0F8"/>
          </w:tcPr>
          <w:p>
            <w:pPr>
              <w:spacing w:after="0"/>
              <w:rPr>
                <w:sz w:val="5"/>
                <w:szCs w:val="5"/>
                <w:color w:val="auto"/>
              </w:rPr>
            </w:pPr>
          </w:p>
        </w:tc>
        <w:tc>
          <w:tcPr>
            <w:tcW w:w="320" w:type="dxa"/>
            <w:vAlign w:val="bottom"/>
            <w:vMerge w:val="restart"/>
          </w:tcPr>
          <w:p>
            <w:pPr>
              <w:spacing w:after="0"/>
              <w:rPr>
                <w:sz w:val="5"/>
                <w:szCs w:val="5"/>
                <w:color w:val="auto"/>
              </w:rPr>
            </w:pPr>
          </w:p>
        </w:tc>
        <w:tc>
          <w:tcPr>
            <w:tcW w:w="5660" w:type="dxa"/>
            <w:vAlign w:val="bottom"/>
            <w:gridSpan w:val="21"/>
            <w:vMerge w:val="restart"/>
          </w:tcPr>
          <w:p>
            <w:pPr>
              <w:spacing w:after="0" w:line="169" w:lineRule="exact"/>
              <w:rPr>
                <w:rFonts w:ascii="Arial" w:cs="Arial" w:eastAsia="Arial" w:hAnsi="Arial"/>
                <w:sz w:val="16"/>
                <w:szCs w:val="16"/>
                <w:color w:val="0000EE"/>
              </w:rPr>
            </w:pPr>
            <w:hyperlink w:anchor="page23">
              <w:r>
                <w:rPr>
                  <w:rFonts w:ascii="Arial" w:cs="Arial" w:eastAsia="Arial" w:hAnsi="Arial"/>
                  <w:sz w:val="16"/>
                  <w:szCs w:val="16"/>
                  <w:color w:val="0000EE"/>
                </w:rPr>
                <w:t>Annual Elections and Majority Voting</w:t>
              </w:r>
            </w:hyperlink>
          </w:p>
        </w:tc>
        <w:tc>
          <w:tcPr>
            <w:tcW w:w="720" w:type="dxa"/>
            <w:vAlign w:val="bottom"/>
            <w:vMerge w:val="restart"/>
          </w:tcPr>
          <w:p>
            <w:pPr>
              <w:jc w:val="right"/>
              <w:spacing w:after="0" w:line="169"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81"/>
        </w:trPr>
        <w:tc>
          <w:tcPr>
            <w:tcW w:w="1180" w:type="dxa"/>
            <w:vAlign w:val="bottom"/>
            <w:gridSpan w:val="2"/>
            <w:vMerge w:val="continue"/>
            <w:shd w:val="clear" w:color="auto" w:fill="E8F0F8"/>
          </w:tcPr>
          <w:p>
            <w:pPr>
              <w:spacing w:after="0"/>
              <w:rPr>
                <w:sz w:val="7"/>
                <w:szCs w:val="7"/>
                <w:color w:val="auto"/>
              </w:rPr>
            </w:pPr>
          </w:p>
        </w:tc>
        <w:tc>
          <w:tcPr>
            <w:tcW w:w="40" w:type="dxa"/>
            <w:vAlign w:val="bottom"/>
            <w:shd w:val="clear" w:color="auto" w:fill="E8F0F8"/>
          </w:tcPr>
          <w:p>
            <w:pPr>
              <w:spacing w:after="0"/>
              <w:rPr>
                <w:sz w:val="7"/>
                <w:szCs w:val="7"/>
                <w:color w:val="auto"/>
              </w:rPr>
            </w:pPr>
          </w:p>
        </w:tc>
        <w:tc>
          <w:tcPr>
            <w:tcW w:w="3100" w:type="dxa"/>
            <w:vAlign w:val="bottom"/>
            <w:gridSpan w:val="10"/>
            <w:vMerge w:val="restart"/>
            <w:shd w:val="clear" w:color="auto" w:fill="E8F0F8"/>
          </w:tcPr>
          <w:p>
            <w:pPr>
              <w:ind w:left="20"/>
              <w:spacing w:after="0" w:line="256" w:lineRule="exact"/>
              <w:rPr>
                <w:rFonts w:ascii="Arial" w:cs="Arial" w:eastAsia="Arial" w:hAnsi="Arial"/>
                <w:sz w:val="29"/>
                <w:szCs w:val="29"/>
                <w:color w:val="0000EE"/>
              </w:rPr>
            </w:pPr>
            <w:hyperlink w:anchor="page21">
              <w:r>
                <w:rPr>
                  <w:rFonts w:ascii="Arial" w:cs="Arial" w:eastAsia="Arial" w:hAnsi="Arial"/>
                  <w:sz w:val="29"/>
                  <w:szCs w:val="29"/>
                  <w:color w:val="0000EE"/>
                </w:rPr>
                <w:t>Biogen</w:t>
              </w:r>
            </w:hyperlink>
          </w:p>
        </w:tc>
        <w:tc>
          <w:tcPr>
            <w:tcW w:w="320" w:type="dxa"/>
            <w:vAlign w:val="bottom"/>
            <w:vMerge w:val="continue"/>
          </w:tcPr>
          <w:p>
            <w:pPr>
              <w:spacing w:after="0"/>
              <w:rPr>
                <w:sz w:val="7"/>
                <w:szCs w:val="7"/>
                <w:color w:val="auto"/>
              </w:rPr>
            </w:pPr>
          </w:p>
        </w:tc>
        <w:tc>
          <w:tcPr>
            <w:tcW w:w="5660" w:type="dxa"/>
            <w:vAlign w:val="bottom"/>
            <w:gridSpan w:val="21"/>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gridSpan w:val="2"/>
            <w:vMerge w:val="continue"/>
            <w:shd w:val="clear" w:color="auto" w:fill="E8F0F8"/>
          </w:tcPr>
          <w:p>
            <w:pPr>
              <w:spacing w:after="0" w:line="20" w:lineRule="exact"/>
              <w:rPr>
                <w:sz w:val="1"/>
                <w:szCs w:val="1"/>
                <w:color w:val="auto"/>
              </w:rPr>
            </w:pPr>
          </w:p>
        </w:tc>
        <w:tc>
          <w:tcPr>
            <w:tcW w:w="40" w:type="dxa"/>
            <w:vAlign w:val="bottom"/>
            <w:shd w:val="clear" w:color="auto" w:fill="E8F0F8"/>
          </w:tcPr>
          <w:p>
            <w:pPr>
              <w:spacing w:after="0" w:line="20" w:lineRule="exact"/>
              <w:rPr>
                <w:sz w:val="1"/>
                <w:szCs w:val="1"/>
                <w:color w:val="auto"/>
              </w:rPr>
            </w:pPr>
          </w:p>
        </w:tc>
        <w:tc>
          <w:tcPr>
            <w:tcW w:w="3100" w:type="dxa"/>
            <w:vAlign w:val="bottom"/>
            <w:gridSpan w:val="10"/>
            <w:vMerge w:val="continue"/>
            <w:shd w:val="clear" w:color="auto" w:fill="E8F0F8"/>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80" w:type="dxa"/>
            <w:vAlign w:val="bottom"/>
            <w:gridSpan w:val="2"/>
            <w:vMerge w:val="continue"/>
            <w:shd w:val="clear" w:color="auto" w:fill="E8F0F8"/>
          </w:tcPr>
          <w:p>
            <w:pPr>
              <w:spacing w:after="0"/>
              <w:rPr>
                <w:sz w:val="18"/>
                <w:szCs w:val="18"/>
                <w:color w:val="auto"/>
              </w:rPr>
            </w:pPr>
          </w:p>
        </w:tc>
        <w:tc>
          <w:tcPr>
            <w:tcW w:w="40" w:type="dxa"/>
            <w:vAlign w:val="bottom"/>
            <w:shd w:val="clear" w:color="auto" w:fill="E8F0F8"/>
          </w:tcPr>
          <w:p>
            <w:pPr>
              <w:spacing w:after="0"/>
              <w:rPr>
                <w:sz w:val="18"/>
                <w:szCs w:val="18"/>
                <w:color w:val="auto"/>
              </w:rPr>
            </w:pPr>
          </w:p>
        </w:tc>
        <w:tc>
          <w:tcPr>
            <w:tcW w:w="3100" w:type="dxa"/>
            <w:vAlign w:val="bottom"/>
            <w:gridSpan w:val="10"/>
            <w:vMerge w:val="continue"/>
            <w:shd w:val="clear" w:color="auto" w:fill="E8F0F8"/>
          </w:tcPr>
          <w:p>
            <w:pPr>
              <w:spacing w:after="0"/>
              <w:rPr>
                <w:sz w:val="18"/>
                <w:szCs w:val="18"/>
                <w:color w:val="auto"/>
              </w:rPr>
            </w:pPr>
          </w:p>
        </w:tc>
        <w:tc>
          <w:tcPr>
            <w:tcW w:w="320" w:type="dxa"/>
            <w:vAlign w:val="bottom"/>
          </w:tcPr>
          <w:p>
            <w:pPr>
              <w:spacing w:after="0"/>
              <w:rPr>
                <w:sz w:val="18"/>
                <w:szCs w:val="18"/>
                <w:color w:val="auto"/>
              </w:rPr>
            </w:pPr>
          </w:p>
        </w:tc>
        <w:tc>
          <w:tcPr>
            <w:tcW w:w="5660" w:type="dxa"/>
            <w:vAlign w:val="bottom"/>
            <w:gridSpan w:val="21"/>
          </w:tcPr>
          <w:p>
            <w:pPr>
              <w:spacing w:after="0" w:line="169" w:lineRule="exact"/>
              <w:rPr>
                <w:rFonts w:ascii="Arial" w:cs="Arial" w:eastAsia="Arial" w:hAnsi="Arial"/>
                <w:sz w:val="16"/>
                <w:szCs w:val="16"/>
                <w:color w:val="0000EE"/>
              </w:rPr>
            </w:pPr>
            <w:hyperlink w:anchor="page23">
              <w:r>
                <w:rPr>
                  <w:rFonts w:ascii="Arial" w:cs="Arial" w:eastAsia="Arial" w:hAnsi="Arial"/>
                  <w:sz w:val="16"/>
                  <w:szCs w:val="16"/>
                  <w:color w:val="0000EE"/>
                </w:rPr>
                <w:t>Director Qualifications, Standards and Diversity</w:t>
              </w:r>
            </w:hyperlink>
          </w:p>
        </w:tc>
        <w:tc>
          <w:tcPr>
            <w:tcW w:w="720" w:type="dxa"/>
            <w:vAlign w:val="bottom"/>
          </w:tcPr>
          <w:p>
            <w:pPr>
              <w:jc w:val="right"/>
              <w:spacing w:after="0" w:line="169"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783"/>
        </w:trPr>
        <w:tc>
          <w:tcPr>
            <w:tcW w:w="120" w:type="dxa"/>
            <w:vAlign w:val="bottom"/>
            <w:tcBorders>
              <w:top w:val="single" w:sz="8" w:color="E8F0F8"/>
            </w:tcBorders>
            <w:shd w:val="clear" w:color="auto" w:fill="E8F0F8"/>
          </w:tcPr>
          <w:p>
            <w:pPr>
              <w:spacing w:after="0"/>
              <w:rPr>
                <w:sz w:val="24"/>
                <w:szCs w:val="24"/>
                <w:color w:val="auto"/>
              </w:rPr>
            </w:pPr>
          </w:p>
        </w:tc>
        <w:tc>
          <w:tcPr>
            <w:tcW w:w="1060" w:type="dxa"/>
            <w:vAlign w:val="bottom"/>
            <w:tcBorders>
              <w:top w:val="single" w:sz="8" w:color="E8F0F8"/>
            </w:tcBorders>
            <w:shd w:val="clear" w:color="auto" w:fill="E8F0F8"/>
          </w:tcPr>
          <w:p>
            <w:pPr>
              <w:spacing w:after="0"/>
              <w:rPr>
                <w:sz w:val="24"/>
                <w:szCs w:val="24"/>
                <w:color w:val="auto"/>
              </w:rPr>
            </w:pPr>
          </w:p>
        </w:tc>
        <w:tc>
          <w:tcPr>
            <w:tcW w:w="40" w:type="dxa"/>
            <w:vAlign w:val="bottom"/>
            <w:tcBorders>
              <w:top w:val="single" w:sz="8" w:color="E8F0F8"/>
            </w:tcBorders>
            <w:shd w:val="clear" w:color="auto" w:fill="E8F0F8"/>
          </w:tcPr>
          <w:p>
            <w:pPr>
              <w:spacing w:after="0"/>
              <w:rPr>
                <w:sz w:val="24"/>
                <w:szCs w:val="24"/>
                <w:color w:val="auto"/>
              </w:rPr>
            </w:pPr>
          </w:p>
        </w:tc>
        <w:tc>
          <w:tcPr>
            <w:tcW w:w="840" w:type="dxa"/>
            <w:vAlign w:val="bottom"/>
            <w:tcBorders>
              <w:top w:val="single" w:sz="8" w:color="0000EE"/>
            </w:tcBorders>
            <w:shd w:val="clear" w:color="auto" w:fill="E8F0F8"/>
          </w:tcPr>
          <w:p>
            <w:pPr>
              <w:spacing w:after="0"/>
              <w:rPr>
                <w:sz w:val="24"/>
                <w:szCs w:val="24"/>
                <w:color w:val="auto"/>
              </w:rPr>
            </w:pPr>
          </w:p>
        </w:tc>
        <w:tc>
          <w:tcPr>
            <w:tcW w:w="60" w:type="dxa"/>
            <w:vAlign w:val="bottom"/>
            <w:tcBorders>
              <w:top w:val="single" w:sz="8" w:color="0000EE"/>
            </w:tcBorders>
            <w:shd w:val="clear" w:color="auto" w:fill="E8F0F8"/>
          </w:tcPr>
          <w:p>
            <w:pPr>
              <w:spacing w:after="0"/>
              <w:rPr>
                <w:sz w:val="24"/>
                <w:szCs w:val="24"/>
                <w:color w:val="auto"/>
              </w:rPr>
            </w:pPr>
          </w:p>
        </w:tc>
        <w:tc>
          <w:tcPr>
            <w:tcW w:w="60" w:type="dxa"/>
            <w:vAlign w:val="bottom"/>
            <w:tcBorders>
              <w:top w:val="single" w:sz="8" w:color="E8F0F8"/>
            </w:tcBorders>
            <w:shd w:val="clear" w:color="auto" w:fill="E8F0F8"/>
          </w:tcPr>
          <w:p>
            <w:pPr>
              <w:spacing w:after="0"/>
              <w:rPr>
                <w:sz w:val="24"/>
                <w:szCs w:val="24"/>
                <w:color w:val="auto"/>
              </w:rPr>
            </w:pPr>
          </w:p>
        </w:tc>
        <w:tc>
          <w:tcPr>
            <w:tcW w:w="320" w:type="dxa"/>
            <w:vAlign w:val="bottom"/>
            <w:tcBorders>
              <w:top w:val="single" w:sz="8" w:color="E8F0F8"/>
            </w:tcBorders>
            <w:shd w:val="clear" w:color="auto" w:fill="E8F0F8"/>
          </w:tcPr>
          <w:p>
            <w:pPr>
              <w:spacing w:after="0"/>
              <w:rPr>
                <w:sz w:val="24"/>
                <w:szCs w:val="24"/>
                <w:color w:val="auto"/>
              </w:rPr>
            </w:pPr>
          </w:p>
        </w:tc>
        <w:tc>
          <w:tcPr>
            <w:tcW w:w="620" w:type="dxa"/>
            <w:vAlign w:val="bottom"/>
            <w:tcBorders>
              <w:top w:val="single" w:sz="8" w:color="E8F0F8"/>
            </w:tcBorders>
            <w:shd w:val="clear" w:color="auto" w:fill="E8F0F8"/>
          </w:tcPr>
          <w:p>
            <w:pPr>
              <w:spacing w:after="0"/>
              <w:rPr>
                <w:sz w:val="24"/>
                <w:szCs w:val="24"/>
                <w:color w:val="auto"/>
              </w:rPr>
            </w:pPr>
          </w:p>
        </w:tc>
        <w:tc>
          <w:tcPr>
            <w:tcW w:w="240" w:type="dxa"/>
            <w:vAlign w:val="bottom"/>
            <w:tcBorders>
              <w:top w:val="single" w:sz="8" w:color="E8F0F8"/>
            </w:tcBorders>
            <w:shd w:val="clear" w:color="auto" w:fill="E8F0F8"/>
          </w:tcPr>
          <w:p>
            <w:pPr>
              <w:spacing w:after="0"/>
              <w:rPr>
                <w:sz w:val="24"/>
                <w:szCs w:val="24"/>
                <w:color w:val="auto"/>
              </w:rPr>
            </w:pPr>
          </w:p>
        </w:tc>
        <w:tc>
          <w:tcPr>
            <w:tcW w:w="180" w:type="dxa"/>
            <w:vAlign w:val="bottom"/>
            <w:tcBorders>
              <w:top w:val="single" w:sz="8" w:color="E8F0F8"/>
            </w:tcBorders>
            <w:shd w:val="clear" w:color="auto" w:fill="E8F0F8"/>
          </w:tcPr>
          <w:p>
            <w:pPr>
              <w:spacing w:after="0"/>
              <w:rPr>
                <w:sz w:val="24"/>
                <w:szCs w:val="24"/>
                <w:color w:val="auto"/>
              </w:rPr>
            </w:pPr>
          </w:p>
        </w:tc>
        <w:tc>
          <w:tcPr>
            <w:tcW w:w="20" w:type="dxa"/>
            <w:vAlign w:val="bottom"/>
            <w:tcBorders>
              <w:top w:val="single" w:sz="8" w:color="E8F0F8"/>
            </w:tcBorders>
            <w:shd w:val="clear" w:color="auto" w:fill="E8F0F8"/>
          </w:tcPr>
          <w:p>
            <w:pPr>
              <w:spacing w:after="0"/>
              <w:rPr>
                <w:sz w:val="24"/>
                <w:szCs w:val="24"/>
                <w:color w:val="auto"/>
              </w:rPr>
            </w:pPr>
          </w:p>
        </w:tc>
        <w:tc>
          <w:tcPr>
            <w:tcW w:w="220" w:type="dxa"/>
            <w:vAlign w:val="bottom"/>
            <w:tcBorders>
              <w:top w:val="single" w:sz="8" w:color="E8F0F8"/>
            </w:tcBorders>
            <w:shd w:val="clear" w:color="auto" w:fill="E8F0F8"/>
          </w:tcPr>
          <w:p>
            <w:pPr>
              <w:spacing w:after="0"/>
              <w:rPr>
                <w:sz w:val="24"/>
                <w:szCs w:val="24"/>
                <w:color w:val="auto"/>
              </w:rPr>
            </w:pPr>
          </w:p>
        </w:tc>
        <w:tc>
          <w:tcPr>
            <w:tcW w:w="540" w:type="dxa"/>
            <w:vAlign w:val="bottom"/>
            <w:tcBorders>
              <w:top w:val="single" w:sz="8" w:color="E8F0F8"/>
            </w:tcBorders>
            <w:shd w:val="clear" w:color="auto" w:fill="E8F0F8"/>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
        </w:trPr>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100" w:type="dxa"/>
            <w:vAlign w:val="bottom"/>
            <w:gridSpan w:val="10"/>
            <w:shd w:val="clear" w:color="auto" w:fill="000000"/>
          </w:tcPr>
          <w:p>
            <w:pPr>
              <w:ind w:left="20"/>
              <w:spacing w:after="0"/>
              <w:rPr>
                <w:rFonts w:ascii="Arial" w:cs="Arial" w:eastAsia="Arial" w:hAnsi="Arial"/>
                <w:sz w:val="1"/>
                <w:szCs w:val="1"/>
                <w:color w:val="0000EE"/>
              </w:rPr>
            </w:pPr>
            <w:hyperlink w:anchor="page25">
              <w:r>
                <w:rPr>
                  <w:rFonts w:ascii="Arial" w:cs="Arial" w:eastAsia="Arial" w:hAnsi="Arial"/>
                  <w:sz w:val="1"/>
                  <w:szCs w:val="1"/>
                  <w:color w:val="0000EE"/>
                </w:rPr>
                <w:t>Board of Directors</w:t>
              </w:r>
            </w:hyperlink>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660" w:type="dxa"/>
            <w:vAlign w:val="bottom"/>
            <w:gridSpan w:val="21"/>
            <w:shd w:val="clear" w:color="auto" w:fill="000000"/>
          </w:tcPr>
          <w:p>
            <w:pPr>
              <w:spacing w:after="0"/>
              <w:rPr>
                <w:rFonts w:ascii="Arial" w:cs="Arial" w:eastAsia="Arial" w:hAnsi="Arial"/>
                <w:sz w:val="1"/>
                <w:szCs w:val="1"/>
                <w:color w:val="0000EE"/>
              </w:rPr>
            </w:pPr>
            <w:hyperlink w:anchor="page25">
              <w:r>
                <w:rPr>
                  <w:rFonts w:ascii="Arial" w:cs="Arial" w:eastAsia="Arial" w:hAnsi="Arial"/>
                  <w:sz w:val="1"/>
                  <w:szCs w:val="1"/>
                  <w:color w:val="0000EE"/>
                </w:rPr>
                <w:t>Committees and Meetings</w:t>
              </w:r>
            </w:hyperlink>
          </w:p>
        </w:tc>
        <w:tc>
          <w:tcPr>
            <w:tcW w:w="720" w:type="dxa"/>
            <w:vAlign w:val="bottom"/>
            <w:shd w:val="clear" w:color="auto" w:fill="000000"/>
          </w:tcPr>
          <w:p>
            <w:pPr>
              <w:jc w:val="right"/>
              <w:spacing w:after="0"/>
              <w:rPr>
                <w:sz w:val="20"/>
                <w:szCs w:val="20"/>
                <w:color w:val="auto"/>
              </w:rPr>
            </w:pPr>
            <w:r>
              <w:rPr>
                <w:rFonts w:ascii="Arial" w:cs="Arial" w:eastAsia="Arial" w:hAnsi="Arial"/>
                <w:sz w:val="1"/>
                <w:szCs w:val="1"/>
                <w:color w:val="auto"/>
              </w:rPr>
              <w:t>20</w:t>
            </w:r>
          </w:p>
        </w:tc>
        <w:tc>
          <w:tcPr>
            <w:tcW w:w="0" w:type="dxa"/>
            <w:vAlign w:val="bottom"/>
          </w:tcPr>
          <w:p>
            <w:pPr>
              <w:spacing w:after="0" w:line="20" w:lineRule="exact"/>
              <w:rPr>
                <w:sz w:val="1"/>
                <w:szCs w:val="1"/>
                <w:color w:val="auto"/>
              </w:rPr>
            </w:pPr>
          </w:p>
        </w:tc>
      </w:tr>
      <w:tr>
        <w:trPr>
          <w:trHeight w:val="160"/>
        </w:trPr>
        <w:tc>
          <w:tcPr>
            <w:tcW w:w="1180" w:type="dxa"/>
            <w:vAlign w:val="bottom"/>
            <w:gridSpan w:val="2"/>
            <w:vMerge w:val="restart"/>
            <w:shd w:val="clear" w:color="auto" w:fill="E8F0F8"/>
          </w:tcPr>
          <w:p>
            <w:pPr>
              <w:jc w:val="right"/>
              <w:ind w:right="119"/>
              <w:spacing w:after="0"/>
              <w:rPr>
                <w:sz w:val="20"/>
                <w:szCs w:val="20"/>
                <w:color w:val="auto"/>
              </w:rPr>
            </w:pPr>
            <w:r>
              <w:rPr>
                <w:rFonts w:ascii="Arial" w:cs="Arial" w:eastAsia="Arial" w:hAnsi="Arial"/>
                <w:sz w:val="144"/>
                <w:szCs w:val="144"/>
                <w:color w:val="1A6DBB"/>
              </w:rPr>
              <w:t>3</w:t>
            </w:r>
          </w:p>
        </w:tc>
        <w:tc>
          <w:tcPr>
            <w:tcW w:w="40" w:type="dxa"/>
            <w:vAlign w:val="bottom"/>
            <w:shd w:val="clear" w:color="auto" w:fill="E8F0F8"/>
          </w:tcPr>
          <w:p>
            <w:pPr>
              <w:spacing w:after="0"/>
              <w:rPr>
                <w:sz w:val="13"/>
                <w:szCs w:val="13"/>
                <w:color w:val="auto"/>
              </w:rPr>
            </w:pPr>
          </w:p>
        </w:tc>
        <w:tc>
          <w:tcPr>
            <w:tcW w:w="840" w:type="dxa"/>
            <w:vAlign w:val="bottom"/>
            <w:shd w:val="clear" w:color="auto" w:fill="E8F0F8"/>
          </w:tcPr>
          <w:p>
            <w:pPr>
              <w:spacing w:after="0"/>
              <w:rPr>
                <w:sz w:val="13"/>
                <w:szCs w:val="13"/>
                <w:color w:val="auto"/>
              </w:rPr>
            </w:pPr>
          </w:p>
        </w:tc>
        <w:tc>
          <w:tcPr>
            <w:tcW w:w="60" w:type="dxa"/>
            <w:vAlign w:val="bottom"/>
            <w:shd w:val="clear" w:color="auto" w:fill="E8F0F8"/>
          </w:tcPr>
          <w:p>
            <w:pPr>
              <w:spacing w:after="0"/>
              <w:rPr>
                <w:sz w:val="13"/>
                <w:szCs w:val="13"/>
                <w:color w:val="auto"/>
              </w:rPr>
            </w:pPr>
          </w:p>
        </w:tc>
        <w:tc>
          <w:tcPr>
            <w:tcW w:w="60" w:type="dxa"/>
            <w:vAlign w:val="bottom"/>
            <w:shd w:val="clear" w:color="auto" w:fill="E8F0F8"/>
          </w:tcPr>
          <w:p>
            <w:pPr>
              <w:spacing w:after="0"/>
              <w:rPr>
                <w:sz w:val="13"/>
                <w:szCs w:val="13"/>
                <w:color w:val="auto"/>
              </w:rPr>
            </w:pPr>
          </w:p>
        </w:tc>
        <w:tc>
          <w:tcPr>
            <w:tcW w:w="320" w:type="dxa"/>
            <w:vAlign w:val="bottom"/>
            <w:shd w:val="clear" w:color="auto" w:fill="E8F0F8"/>
          </w:tcPr>
          <w:p>
            <w:pPr>
              <w:spacing w:after="0"/>
              <w:rPr>
                <w:sz w:val="13"/>
                <w:szCs w:val="13"/>
                <w:color w:val="auto"/>
              </w:rPr>
            </w:pPr>
          </w:p>
        </w:tc>
        <w:tc>
          <w:tcPr>
            <w:tcW w:w="620" w:type="dxa"/>
            <w:vAlign w:val="bottom"/>
            <w:shd w:val="clear" w:color="auto" w:fill="E8F0F8"/>
          </w:tcPr>
          <w:p>
            <w:pPr>
              <w:spacing w:after="0"/>
              <w:rPr>
                <w:sz w:val="13"/>
                <w:szCs w:val="13"/>
                <w:color w:val="auto"/>
              </w:rPr>
            </w:pPr>
          </w:p>
        </w:tc>
        <w:tc>
          <w:tcPr>
            <w:tcW w:w="240" w:type="dxa"/>
            <w:vAlign w:val="bottom"/>
            <w:shd w:val="clear" w:color="auto" w:fill="E8F0F8"/>
          </w:tcPr>
          <w:p>
            <w:pPr>
              <w:spacing w:after="0"/>
              <w:rPr>
                <w:sz w:val="13"/>
                <w:szCs w:val="13"/>
                <w:color w:val="auto"/>
              </w:rPr>
            </w:pPr>
          </w:p>
        </w:tc>
        <w:tc>
          <w:tcPr>
            <w:tcW w:w="180" w:type="dxa"/>
            <w:vAlign w:val="bottom"/>
            <w:shd w:val="clear" w:color="auto" w:fill="E8F0F8"/>
          </w:tcPr>
          <w:p>
            <w:pPr>
              <w:spacing w:after="0"/>
              <w:rPr>
                <w:sz w:val="13"/>
                <w:szCs w:val="13"/>
                <w:color w:val="auto"/>
              </w:rPr>
            </w:pPr>
          </w:p>
        </w:tc>
        <w:tc>
          <w:tcPr>
            <w:tcW w:w="20" w:type="dxa"/>
            <w:vAlign w:val="bottom"/>
            <w:shd w:val="clear" w:color="auto" w:fill="E8F0F8"/>
          </w:tcPr>
          <w:p>
            <w:pPr>
              <w:spacing w:after="0"/>
              <w:rPr>
                <w:sz w:val="13"/>
                <w:szCs w:val="13"/>
                <w:color w:val="auto"/>
              </w:rPr>
            </w:pPr>
          </w:p>
        </w:tc>
        <w:tc>
          <w:tcPr>
            <w:tcW w:w="220" w:type="dxa"/>
            <w:vAlign w:val="bottom"/>
            <w:shd w:val="clear" w:color="auto" w:fill="E8F0F8"/>
          </w:tcPr>
          <w:p>
            <w:pPr>
              <w:spacing w:after="0"/>
              <w:rPr>
                <w:sz w:val="13"/>
                <w:szCs w:val="13"/>
                <w:color w:val="auto"/>
              </w:rPr>
            </w:pPr>
          </w:p>
        </w:tc>
        <w:tc>
          <w:tcPr>
            <w:tcW w:w="540" w:type="dxa"/>
            <w:vAlign w:val="bottom"/>
            <w:shd w:val="clear" w:color="auto" w:fill="E8F0F8"/>
          </w:tcPr>
          <w:p>
            <w:pPr>
              <w:spacing w:after="0"/>
              <w:rPr>
                <w:sz w:val="13"/>
                <w:szCs w:val="13"/>
                <w:color w:val="auto"/>
              </w:rPr>
            </w:pPr>
          </w:p>
        </w:tc>
        <w:tc>
          <w:tcPr>
            <w:tcW w:w="320" w:type="dxa"/>
            <w:vAlign w:val="bottom"/>
          </w:tcPr>
          <w:p>
            <w:pPr>
              <w:spacing w:after="0"/>
              <w:rPr>
                <w:sz w:val="13"/>
                <w:szCs w:val="13"/>
                <w:color w:val="auto"/>
              </w:rPr>
            </w:pPr>
          </w:p>
        </w:tc>
        <w:tc>
          <w:tcPr>
            <w:tcW w:w="5660" w:type="dxa"/>
            <w:vAlign w:val="bottom"/>
            <w:gridSpan w:val="21"/>
          </w:tcPr>
          <w:p>
            <w:pPr>
              <w:spacing w:after="0" w:line="160" w:lineRule="exact"/>
              <w:rPr>
                <w:rFonts w:ascii="Arial" w:cs="Arial" w:eastAsia="Arial" w:hAnsi="Arial"/>
                <w:sz w:val="16"/>
                <w:szCs w:val="16"/>
                <w:color w:val="0000EE"/>
              </w:rPr>
            </w:pPr>
            <w:hyperlink w:anchor="page25">
              <w:r>
                <w:rPr>
                  <w:rFonts w:ascii="Arial" w:cs="Arial" w:eastAsia="Arial" w:hAnsi="Arial"/>
                  <w:sz w:val="16"/>
                  <w:szCs w:val="16"/>
                  <w:color w:val="0000EE"/>
                </w:rPr>
                <w:t>Proposal 1 – Election of Directors</w:t>
              </w:r>
            </w:hyperlink>
          </w:p>
        </w:tc>
        <w:tc>
          <w:tcPr>
            <w:tcW w:w="720" w:type="dxa"/>
            <w:vAlign w:val="bottom"/>
          </w:tcPr>
          <w:p>
            <w:pPr>
              <w:jc w:val="right"/>
              <w:spacing w:after="0" w:line="160" w:lineRule="exact"/>
              <w:rPr>
                <w:sz w:val="20"/>
                <w:szCs w:val="20"/>
                <w:color w:val="auto"/>
              </w:rPr>
            </w:pPr>
            <w:r>
              <w:rPr>
                <w:rFonts w:ascii="Arial" w:cs="Arial" w:eastAsia="Arial" w:hAnsi="Arial"/>
                <w:sz w:val="16"/>
                <w:szCs w:val="16"/>
                <w:color w:val="1A6DBB"/>
              </w:rPr>
              <w:t>11</w:t>
            </w:r>
          </w:p>
        </w:tc>
        <w:tc>
          <w:tcPr>
            <w:tcW w:w="0" w:type="dxa"/>
            <w:vAlign w:val="bottom"/>
          </w:tcPr>
          <w:p>
            <w:pPr>
              <w:spacing w:after="0"/>
              <w:rPr>
                <w:sz w:val="1"/>
                <w:szCs w:val="1"/>
                <w:color w:val="auto"/>
              </w:rPr>
            </w:pPr>
          </w:p>
        </w:tc>
      </w:tr>
      <w:tr>
        <w:trPr>
          <w:trHeight w:val="109"/>
        </w:trPr>
        <w:tc>
          <w:tcPr>
            <w:tcW w:w="1180" w:type="dxa"/>
            <w:vAlign w:val="bottom"/>
            <w:tcBorders>
              <w:top w:val="single" w:sz="8" w:color="E8F0F8"/>
              <w:bottom w:val="single" w:sz="8" w:color="E8F0F8"/>
            </w:tcBorders>
            <w:gridSpan w:val="2"/>
            <w:vMerge w:val="continue"/>
            <w:shd w:val="clear" w:color="auto" w:fill="E8F0F8"/>
          </w:tcPr>
          <w:p>
            <w:pPr>
              <w:spacing w:after="0"/>
              <w:rPr>
                <w:sz w:val="9"/>
                <w:szCs w:val="9"/>
                <w:color w:val="auto"/>
              </w:rPr>
            </w:pPr>
          </w:p>
        </w:tc>
        <w:tc>
          <w:tcPr>
            <w:tcW w:w="40" w:type="dxa"/>
            <w:vAlign w:val="bottom"/>
            <w:tcBorders>
              <w:top w:val="single" w:sz="8" w:color="E8F0F8"/>
              <w:bottom w:val="single" w:sz="8" w:color="E8F0F8"/>
            </w:tcBorders>
            <w:shd w:val="clear" w:color="auto" w:fill="E8F0F8"/>
          </w:tcPr>
          <w:p>
            <w:pPr>
              <w:spacing w:after="0"/>
              <w:rPr>
                <w:sz w:val="9"/>
                <w:szCs w:val="9"/>
                <w:color w:val="auto"/>
              </w:rPr>
            </w:pPr>
          </w:p>
        </w:tc>
        <w:tc>
          <w:tcPr>
            <w:tcW w:w="840" w:type="dxa"/>
            <w:vAlign w:val="bottom"/>
            <w:tcBorders>
              <w:top w:val="single" w:sz="8" w:color="E8F0F8"/>
              <w:bottom w:val="single" w:sz="8" w:color="0000EE"/>
            </w:tcBorders>
            <w:shd w:val="clear" w:color="auto" w:fill="E8F0F8"/>
          </w:tcPr>
          <w:p>
            <w:pPr>
              <w:spacing w:after="0"/>
              <w:rPr>
                <w:sz w:val="9"/>
                <w:szCs w:val="9"/>
                <w:color w:val="auto"/>
              </w:rPr>
            </w:pPr>
          </w:p>
        </w:tc>
        <w:tc>
          <w:tcPr>
            <w:tcW w:w="60" w:type="dxa"/>
            <w:vAlign w:val="bottom"/>
            <w:tcBorders>
              <w:top w:val="single" w:sz="8" w:color="E8F0F8"/>
              <w:bottom w:val="single" w:sz="8" w:color="0000EE"/>
            </w:tcBorders>
            <w:shd w:val="clear" w:color="auto" w:fill="E8F0F8"/>
          </w:tcPr>
          <w:p>
            <w:pPr>
              <w:spacing w:after="0"/>
              <w:rPr>
                <w:sz w:val="9"/>
                <w:szCs w:val="9"/>
                <w:color w:val="auto"/>
              </w:rPr>
            </w:pPr>
          </w:p>
        </w:tc>
        <w:tc>
          <w:tcPr>
            <w:tcW w:w="60" w:type="dxa"/>
            <w:vAlign w:val="bottom"/>
            <w:tcBorders>
              <w:top w:val="single" w:sz="8" w:color="E8F0F8"/>
              <w:bottom w:val="single" w:sz="8" w:color="0000EE"/>
            </w:tcBorders>
            <w:shd w:val="clear" w:color="auto" w:fill="E8F0F8"/>
          </w:tcPr>
          <w:p>
            <w:pPr>
              <w:spacing w:after="0"/>
              <w:rPr>
                <w:sz w:val="9"/>
                <w:szCs w:val="9"/>
                <w:color w:val="auto"/>
              </w:rPr>
            </w:pPr>
          </w:p>
        </w:tc>
        <w:tc>
          <w:tcPr>
            <w:tcW w:w="320" w:type="dxa"/>
            <w:vAlign w:val="bottom"/>
            <w:tcBorders>
              <w:top w:val="single" w:sz="8" w:color="E8F0F8"/>
              <w:bottom w:val="single" w:sz="8" w:color="0000EE"/>
            </w:tcBorders>
            <w:shd w:val="clear" w:color="auto" w:fill="E8F0F8"/>
          </w:tcPr>
          <w:p>
            <w:pPr>
              <w:spacing w:after="0"/>
              <w:rPr>
                <w:sz w:val="9"/>
                <w:szCs w:val="9"/>
                <w:color w:val="auto"/>
              </w:rPr>
            </w:pPr>
          </w:p>
        </w:tc>
        <w:tc>
          <w:tcPr>
            <w:tcW w:w="620" w:type="dxa"/>
            <w:vAlign w:val="bottom"/>
            <w:tcBorders>
              <w:top w:val="single" w:sz="8" w:color="E8F0F8"/>
              <w:bottom w:val="single" w:sz="8" w:color="0000EE"/>
            </w:tcBorders>
            <w:shd w:val="clear" w:color="auto" w:fill="E8F0F8"/>
          </w:tcPr>
          <w:p>
            <w:pPr>
              <w:spacing w:after="0"/>
              <w:rPr>
                <w:sz w:val="9"/>
                <w:szCs w:val="9"/>
                <w:color w:val="auto"/>
              </w:rPr>
            </w:pPr>
          </w:p>
        </w:tc>
        <w:tc>
          <w:tcPr>
            <w:tcW w:w="240" w:type="dxa"/>
            <w:vAlign w:val="bottom"/>
            <w:tcBorders>
              <w:top w:val="single" w:sz="8" w:color="E8F0F8"/>
              <w:bottom w:val="single" w:sz="8" w:color="0000EE"/>
            </w:tcBorders>
            <w:shd w:val="clear" w:color="auto" w:fill="E8F0F8"/>
          </w:tcPr>
          <w:p>
            <w:pPr>
              <w:spacing w:after="0"/>
              <w:rPr>
                <w:sz w:val="9"/>
                <w:szCs w:val="9"/>
                <w:color w:val="auto"/>
              </w:rPr>
            </w:pPr>
          </w:p>
        </w:tc>
        <w:tc>
          <w:tcPr>
            <w:tcW w:w="180" w:type="dxa"/>
            <w:vAlign w:val="bottom"/>
            <w:tcBorders>
              <w:top w:val="single" w:sz="8" w:color="E8F0F8"/>
              <w:bottom w:val="single" w:sz="8" w:color="0000EE"/>
            </w:tcBorders>
            <w:shd w:val="clear" w:color="auto" w:fill="E8F0F8"/>
          </w:tcPr>
          <w:p>
            <w:pPr>
              <w:spacing w:after="0"/>
              <w:rPr>
                <w:sz w:val="9"/>
                <w:szCs w:val="9"/>
                <w:color w:val="auto"/>
              </w:rPr>
            </w:pPr>
          </w:p>
        </w:tc>
        <w:tc>
          <w:tcPr>
            <w:tcW w:w="20" w:type="dxa"/>
            <w:vAlign w:val="bottom"/>
            <w:tcBorders>
              <w:top w:val="single" w:sz="8" w:color="E8F0F8"/>
              <w:bottom w:val="single" w:sz="8" w:color="E8F0F8"/>
            </w:tcBorders>
            <w:shd w:val="clear" w:color="auto" w:fill="E8F0F8"/>
          </w:tcPr>
          <w:p>
            <w:pPr>
              <w:spacing w:after="0"/>
              <w:rPr>
                <w:sz w:val="9"/>
                <w:szCs w:val="9"/>
                <w:color w:val="auto"/>
              </w:rPr>
            </w:pPr>
          </w:p>
        </w:tc>
        <w:tc>
          <w:tcPr>
            <w:tcW w:w="220" w:type="dxa"/>
            <w:vAlign w:val="bottom"/>
            <w:tcBorders>
              <w:top w:val="single" w:sz="8" w:color="E8F0F8"/>
              <w:bottom w:val="single" w:sz="8" w:color="E8F0F8"/>
            </w:tcBorders>
            <w:shd w:val="clear" w:color="auto" w:fill="E8F0F8"/>
          </w:tcPr>
          <w:p>
            <w:pPr>
              <w:spacing w:after="0"/>
              <w:rPr>
                <w:sz w:val="9"/>
                <w:szCs w:val="9"/>
                <w:color w:val="auto"/>
              </w:rPr>
            </w:pPr>
          </w:p>
        </w:tc>
        <w:tc>
          <w:tcPr>
            <w:tcW w:w="540" w:type="dxa"/>
            <w:vAlign w:val="bottom"/>
            <w:tcBorders>
              <w:top w:val="single" w:sz="8" w:color="E8F0F8"/>
              <w:bottom w:val="single" w:sz="8" w:color="E8F0F8"/>
            </w:tcBorders>
            <w:shd w:val="clear" w:color="auto" w:fill="E8F0F8"/>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980" w:type="dxa"/>
            <w:vAlign w:val="bottom"/>
            <w:tcBorders>
              <w:top w:val="single" w:sz="8" w:color="0000EE"/>
            </w:tcBorders>
          </w:tcPr>
          <w:p>
            <w:pPr>
              <w:spacing w:after="0"/>
              <w:rPr>
                <w:sz w:val="9"/>
                <w:szCs w:val="9"/>
                <w:color w:val="auto"/>
              </w:rPr>
            </w:pPr>
          </w:p>
        </w:tc>
        <w:tc>
          <w:tcPr>
            <w:tcW w:w="38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8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4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160" w:type="dxa"/>
            <w:vAlign w:val="bottom"/>
            <w:tcBorders>
              <w:top w:val="single" w:sz="8" w:color="0000EE"/>
            </w:tcBorders>
          </w:tcPr>
          <w:p>
            <w:pPr>
              <w:spacing w:after="0"/>
              <w:rPr>
                <w:sz w:val="9"/>
                <w:szCs w:val="9"/>
                <w:color w:val="auto"/>
              </w:rPr>
            </w:pPr>
          </w:p>
        </w:tc>
        <w:tc>
          <w:tcPr>
            <w:tcW w:w="340" w:type="dxa"/>
            <w:vAlign w:val="bottom"/>
            <w:tcBorders>
              <w:top w:val="single" w:sz="8" w:color="0000EE"/>
            </w:tcBorders>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60" w:type="dxa"/>
            <w:vAlign w:val="bottom"/>
            <w:tcBorders>
              <w:top w:val="single" w:sz="8" w:color="0000EE"/>
            </w:tcBorders>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180" w:type="dxa"/>
            <w:vAlign w:val="bottom"/>
            <w:tcBorders>
              <w:bottom w:val="single" w:sz="8" w:color="E8F0F8"/>
            </w:tcBorders>
            <w:gridSpan w:val="2"/>
            <w:vMerge w:val="continue"/>
            <w:shd w:val="clear" w:color="auto" w:fill="E8F0F8"/>
          </w:tcPr>
          <w:p>
            <w:pPr>
              <w:spacing w:after="0"/>
              <w:rPr>
                <w:sz w:val="3"/>
                <w:szCs w:val="3"/>
                <w:color w:val="auto"/>
              </w:rPr>
            </w:pPr>
          </w:p>
        </w:tc>
        <w:tc>
          <w:tcPr>
            <w:tcW w:w="40" w:type="dxa"/>
            <w:vAlign w:val="bottom"/>
            <w:tcBorders>
              <w:bottom w:val="single" w:sz="8" w:color="E8F0F8"/>
            </w:tcBorders>
            <w:shd w:val="clear" w:color="auto" w:fill="E8F0F8"/>
          </w:tcPr>
          <w:p>
            <w:pPr>
              <w:spacing w:after="0"/>
              <w:rPr>
                <w:sz w:val="3"/>
                <w:szCs w:val="3"/>
                <w:color w:val="auto"/>
              </w:rPr>
            </w:pPr>
          </w:p>
        </w:tc>
        <w:tc>
          <w:tcPr>
            <w:tcW w:w="840" w:type="dxa"/>
            <w:vAlign w:val="bottom"/>
            <w:tcBorders>
              <w:bottom w:val="single" w:sz="8" w:color="E8F0F8"/>
            </w:tcBorders>
            <w:shd w:val="clear" w:color="auto" w:fill="E8F0F8"/>
          </w:tcPr>
          <w:p>
            <w:pPr>
              <w:spacing w:after="0"/>
              <w:rPr>
                <w:sz w:val="3"/>
                <w:szCs w:val="3"/>
                <w:color w:val="auto"/>
              </w:rPr>
            </w:pPr>
          </w:p>
        </w:tc>
        <w:tc>
          <w:tcPr>
            <w:tcW w:w="60" w:type="dxa"/>
            <w:vAlign w:val="bottom"/>
            <w:tcBorders>
              <w:bottom w:val="single" w:sz="8" w:color="E8F0F8"/>
            </w:tcBorders>
            <w:shd w:val="clear" w:color="auto" w:fill="E8F0F8"/>
          </w:tcPr>
          <w:p>
            <w:pPr>
              <w:spacing w:after="0"/>
              <w:rPr>
                <w:sz w:val="3"/>
                <w:szCs w:val="3"/>
                <w:color w:val="auto"/>
              </w:rPr>
            </w:pPr>
          </w:p>
        </w:tc>
        <w:tc>
          <w:tcPr>
            <w:tcW w:w="60" w:type="dxa"/>
            <w:vAlign w:val="bottom"/>
            <w:tcBorders>
              <w:bottom w:val="single" w:sz="8" w:color="E8F0F8"/>
            </w:tcBorders>
            <w:shd w:val="clear" w:color="auto" w:fill="E8F0F8"/>
          </w:tcPr>
          <w:p>
            <w:pPr>
              <w:spacing w:after="0"/>
              <w:rPr>
                <w:sz w:val="3"/>
                <w:szCs w:val="3"/>
                <w:color w:val="auto"/>
              </w:rPr>
            </w:pPr>
          </w:p>
        </w:tc>
        <w:tc>
          <w:tcPr>
            <w:tcW w:w="320" w:type="dxa"/>
            <w:vAlign w:val="bottom"/>
            <w:tcBorders>
              <w:bottom w:val="single" w:sz="8" w:color="E8F0F8"/>
            </w:tcBorders>
            <w:shd w:val="clear" w:color="auto" w:fill="E8F0F8"/>
          </w:tcPr>
          <w:p>
            <w:pPr>
              <w:spacing w:after="0"/>
              <w:rPr>
                <w:sz w:val="3"/>
                <w:szCs w:val="3"/>
                <w:color w:val="auto"/>
              </w:rPr>
            </w:pPr>
          </w:p>
        </w:tc>
        <w:tc>
          <w:tcPr>
            <w:tcW w:w="620" w:type="dxa"/>
            <w:vAlign w:val="bottom"/>
            <w:tcBorders>
              <w:bottom w:val="single" w:sz="8" w:color="E8F0F8"/>
            </w:tcBorders>
            <w:shd w:val="clear" w:color="auto" w:fill="E8F0F8"/>
          </w:tcPr>
          <w:p>
            <w:pPr>
              <w:spacing w:after="0"/>
              <w:rPr>
                <w:sz w:val="3"/>
                <w:szCs w:val="3"/>
                <w:color w:val="auto"/>
              </w:rPr>
            </w:pPr>
          </w:p>
        </w:tc>
        <w:tc>
          <w:tcPr>
            <w:tcW w:w="240" w:type="dxa"/>
            <w:vAlign w:val="bottom"/>
            <w:tcBorders>
              <w:bottom w:val="single" w:sz="8" w:color="E8F0F8"/>
            </w:tcBorders>
            <w:shd w:val="clear" w:color="auto" w:fill="E8F0F8"/>
          </w:tcPr>
          <w:p>
            <w:pPr>
              <w:spacing w:after="0"/>
              <w:rPr>
                <w:sz w:val="3"/>
                <w:szCs w:val="3"/>
                <w:color w:val="auto"/>
              </w:rPr>
            </w:pPr>
          </w:p>
        </w:tc>
        <w:tc>
          <w:tcPr>
            <w:tcW w:w="180" w:type="dxa"/>
            <w:vAlign w:val="bottom"/>
            <w:tcBorders>
              <w:bottom w:val="single" w:sz="8" w:color="E8F0F8"/>
            </w:tcBorders>
            <w:shd w:val="clear" w:color="auto" w:fill="E8F0F8"/>
          </w:tcPr>
          <w:p>
            <w:pPr>
              <w:spacing w:after="0"/>
              <w:rPr>
                <w:sz w:val="3"/>
                <w:szCs w:val="3"/>
                <w:color w:val="auto"/>
              </w:rPr>
            </w:pPr>
          </w:p>
        </w:tc>
        <w:tc>
          <w:tcPr>
            <w:tcW w:w="20" w:type="dxa"/>
            <w:vAlign w:val="bottom"/>
            <w:tcBorders>
              <w:bottom w:val="single" w:sz="8" w:color="E8F0F8"/>
            </w:tcBorders>
            <w:shd w:val="clear" w:color="auto" w:fill="E8F0F8"/>
          </w:tcPr>
          <w:p>
            <w:pPr>
              <w:spacing w:after="0"/>
              <w:rPr>
                <w:sz w:val="3"/>
                <w:szCs w:val="3"/>
                <w:color w:val="auto"/>
              </w:rPr>
            </w:pPr>
          </w:p>
        </w:tc>
        <w:tc>
          <w:tcPr>
            <w:tcW w:w="220" w:type="dxa"/>
            <w:vAlign w:val="bottom"/>
            <w:tcBorders>
              <w:bottom w:val="single" w:sz="8" w:color="E8F0F8"/>
            </w:tcBorders>
            <w:shd w:val="clear" w:color="auto" w:fill="E8F0F8"/>
          </w:tcPr>
          <w:p>
            <w:pPr>
              <w:spacing w:after="0"/>
              <w:rPr>
                <w:sz w:val="3"/>
                <w:szCs w:val="3"/>
                <w:color w:val="auto"/>
              </w:rPr>
            </w:pPr>
          </w:p>
        </w:tc>
        <w:tc>
          <w:tcPr>
            <w:tcW w:w="540" w:type="dxa"/>
            <w:vAlign w:val="bottom"/>
            <w:tcBorders>
              <w:bottom w:val="single" w:sz="8" w:color="E8F0F8"/>
            </w:tcBorders>
            <w:shd w:val="clear" w:color="auto" w:fill="E8F0F8"/>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380" w:type="dxa"/>
            <w:vAlign w:val="bottom"/>
            <w:tcBorders>
              <w:bottom w:val="single" w:sz="8" w:color="0000EE"/>
            </w:tcBorders>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20" w:type="dxa"/>
            <w:vAlign w:val="bottom"/>
            <w:tcBorders>
              <w:bottom w:val="single" w:sz="8" w:color="0000EE"/>
            </w:tcBorders>
            <w:gridSpan w:val="3"/>
          </w:tcPr>
          <w:p>
            <w:pPr>
              <w:spacing w:after="0"/>
              <w:rPr>
                <w:sz w:val="3"/>
                <w:szCs w:val="3"/>
                <w:color w:val="auto"/>
              </w:rPr>
            </w:pPr>
          </w:p>
        </w:tc>
        <w:tc>
          <w:tcPr>
            <w:tcW w:w="40" w:type="dxa"/>
            <w:vAlign w:val="bottom"/>
            <w:tcBorders>
              <w:bottom w:val="single" w:sz="8" w:color="0000EE"/>
            </w:tcBorders>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60" w:type="dxa"/>
            <w:vAlign w:val="bottom"/>
            <w:tcBorders>
              <w:bottom w:val="single" w:sz="8" w:color="0000EE"/>
            </w:tcBorders>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620" w:type="dxa"/>
            <w:vAlign w:val="bottom"/>
            <w:gridSpan w:val="3"/>
          </w:tcPr>
          <w:p>
            <w:pPr>
              <w:spacing w:after="0"/>
              <w:rPr>
                <w:sz w:val="3"/>
                <w:szCs w:val="3"/>
                <w:color w:val="auto"/>
              </w:rPr>
            </w:pPr>
          </w:p>
        </w:tc>
        <w:tc>
          <w:tcPr>
            <w:tcW w:w="9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180" w:type="dxa"/>
            <w:vAlign w:val="bottom"/>
            <w:tcBorders>
              <w:bottom w:val="single" w:sz="8" w:color="E8F0F8"/>
            </w:tcBorders>
            <w:gridSpan w:val="2"/>
            <w:vMerge w:val="continue"/>
            <w:shd w:val="clear" w:color="auto" w:fill="E8F0F8"/>
          </w:tcPr>
          <w:p>
            <w:pPr>
              <w:spacing w:after="0"/>
              <w:rPr>
                <w:sz w:val="14"/>
                <w:szCs w:val="14"/>
                <w:color w:val="auto"/>
              </w:rPr>
            </w:pPr>
          </w:p>
        </w:tc>
        <w:tc>
          <w:tcPr>
            <w:tcW w:w="40" w:type="dxa"/>
            <w:vAlign w:val="bottom"/>
            <w:tcBorders>
              <w:bottom w:val="single" w:sz="8" w:color="E8F0F8"/>
            </w:tcBorders>
            <w:shd w:val="clear" w:color="auto" w:fill="E8F0F8"/>
          </w:tcPr>
          <w:p>
            <w:pPr>
              <w:spacing w:after="0"/>
              <w:rPr>
                <w:sz w:val="14"/>
                <w:szCs w:val="14"/>
                <w:color w:val="auto"/>
              </w:rPr>
            </w:pPr>
          </w:p>
        </w:tc>
        <w:tc>
          <w:tcPr>
            <w:tcW w:w="840" w:type="dxa"/>
            <w:vAlign w:val="bottom"/>
            <w:tcBorders>
              <w:bottom w:val="single" w:sz="8" w:color="E8F0F8"/>
            </w:tcBorders>
            <w:shd w:val="clear" w:color="auto" w:fill="E8F0F8"/>
          </w:tcPr>
          <w:p>
            <w:pPr>
              <w:spacing w:after="0"/>
              <w:rPr>
                <w:sz w:val="14"/>
                <w:szCs w:val="14"/>
                <w:color w:val="auto"/>
              </w:rPr>
            </w:pPr>
          </w:p>
        </w:tc>
        <w:tc>
          <w:tcPr>
            <w:tcW w:w="60" w:type="dxa"/>
            <w:vAlign w:val="bottom"/>
            <w:tcBorders>
              <w:bottom w:val="single" w:sz="8" w:color="E8F0F8"/>
            </w:tcBorders>
            <w:shd w:val="clear" w:color="auto" w:fill="E8F0F8"/>
          </w:tcPr>
          <w:p>
            <w:pPr>
              <w:spacing w:after="0"/>
              <w:rPr>
                <w:sz w:val="14"/>
                <w:szCs w:val="14"/>
                <w:color w:val="auto"/>
              </w:rPr>
            </w:pPr>
          </w:p>
        </w:tc>
        <w:tc>
          <w:tcPr>
            <w:tcW w:w="60" w:type="dxa"/>
            <w:vAlign w:val="bottom"/>
            <w:tcBorders>
              <w:bottom w:val="single" w:sz="8" w:color="E8F0F8"/>
            </w:tcBorders>
            <w:shd w:val="clear" w:color="auto" w:fill="E8F0F8"/>
          </w:tcPr>
          <w:p>
            <w:pPr>
              <w:spacing w:after="0"/>
              <w:rPr>
                <w:sz w:val="14"/>
                <w:szCs w:val="14"/>
                <w:color w:val="auto"/>
              </w:rPr>
            </w:pPr>
          </w:p>
        </w:tc>
        <w:tc>
          <w:tcPr>
            <w:tcW w:w="320" w:type="dxa"/>
            <w:vAlign w:val="bottom"/>
            <w:tcBorders>
              <w:bottom w:val="single" w:sz="8" w:color="E8F0F8"/>
            </w:tcBorders>
            <w:shd w:val="clear" w:color="auto" w:fill="E8F0F8"/>
          </w:tcPr>
          <w:p>
            <w:pPr>
              <w:spacing w:after="0"/>
              <w:rPr>
                <w:sz w:val="14"/>
                <w:szCs w:val="14"/>
                <w:color w:val="auto"/>
              </w:rPr>
            </w:pPr>
          </w:p>
        </w:tc>
        <w:tc>
          <w:tcPr>
            <w:tcW w:w="620" w:type="dxa"/>
            <w:vAlign w:val="bottom"/>
            <w:tcBorders>
              <w:bottom w:val="single" w:sz="8" w:color="E8F0F8"/>
            </w:tcBorders>
            <w:shd w:val="clear" w:color="auto" w:fill="E8F0F8"/>
          </w:tcPr>
          <w:p>
            <w:pPr>
              <w:spacing w:after="0"/>
              <w:rPr>
                <w:sz w:val="14"/>
                <w:szCs w:val="14"/>
                <w:color w:val="auto"/>
              </w:rPr>
            </w:pPr>
          </w:p>
        </w:tc>
        <w:tc>
          <w:tcPr>
            <w:tcW w:w="240" w:type="dxa"/>
            <w:vAlign w:val="bottom"/>
            <w:tcBorders>
              <w:bottom w:val="single" w:sz="8" w:color="E8F0F8"/>
            </w:tcBorders>
            <w:shd w:val="clear" w:color="auto" w:fill="E8F0F8"/>
          </w:tcPr>
          <w:p>
            <w:pPr>
              <w:spacing w:after="0"/>
              <w:rPr>
                <w:sz w:val="14"/>
                <w:szCs w:val="14"/>
                <w:color w:val="auto"/>
              </w:rPr>
            </w:pPr>
          </w:p>
        </w:tc>
        <w:tc>
          <w:tcPr>
            <w:tcW w:w="180" w:type="dxa"/>
            <w:vAlign w:val="bottom"/>
            <w:tcBorders>
              <w:bottom w:val="single" w:sz="8" w:color="E8F0F8"/>
            </w:tcBorders>
            <w:shd w:val="clear" w:color="auto" w:fill="E8F0F8"/>
          </w:tcPr>
          <w:p>
            <w:pPr>
              <w:spacing w:after="0"/>
              <w:rPr>
                <w:sz w:val="14"/>
                <w:szCs w:val="14"/>
                <w:color w:val="auto"/>
              </w:rPr>
            </w:pPr>
          </w:p>
        </w:tc>
        <w:tc>
          <w:tcPr>
            <w:tcW w:w="20" w:type="dxa"/>
            <w:vAlign w:val="bottom"/>
            <w:tcBorders>
              <w:bottom w:val="single" w:sz="8" w:color="E8F0F8"/>
            </w:tcBorders>
            <w:shd w:val="clear" w:color="auto" w:fill="E8F0F8"/>
          </w:tcPr>
          <w:p>
            <w:pPr>
              <w:spacing w:after="0"/>
              <w:rPr>
                <w:sz w:val="14"/>
                <w:szCs w:val="14"/>
                <w:color w:val="auto"/>
              </w:rPr>
            </w:pPr>
          </w:p>
        </w:tc>
        <w:tc>
          <w:tcPr>
            <w:tcW w:w="220" w:type="dxa"/>
            <w:vAlign w:val="bottom"/>
            <w:tcBorders>
              <w:bottom w:val="single" w:sz="8" w:color="E8F0F8"/>
            </w:tcBorders>
            <w:shd w:val="clear" w:color="auto" w:fill="E8F0F8"/>
          </w:tcPr>
          <w:p>
            <w:pPr>
              <w:spacing w:after="0"/>
              <w:rPr>
                <w:sz w:val="14"/>
                <w:szCs w:val="14"/>
                <w:color w:val="auto"/>
              </w:rPr>
            </w:pPr>
          </w:p>
        </w:tc>
        <w:tc>
          <w:tcPr>
            <w:tcW w:w="540" w:type="dxa"/>
            <w:vAlign w:val="bottom"/>
            <w:tcBorders>
              <w:bottom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Borders>
              <w:bottom w:val="single" w:sz="8" w:color="0000EE"/>
            </w:tcBorders>
            <w:gridSpan w:val="7"/>
          </w:tcPr>
          <w:p>
            <w:pPr>
              <w:spacing w:after="0" w:line="169" w:lineRule="exact"/>
              <w:rPr>
                <w:rFonts w:ascii="Arial" w:cs="Arial" w:eastAsia="Arial" w:hAnsi="Arial"/>
                <w:sz w:val="16"/>
                <w:szCs w:val="16"/>
                <w:color w:val="0000EE"/>
                <w:w w:val="97"/>
              </w:rPr>
            </w:pPr>
            <w:hyperlink w:anchor="page35">
              <w:r>
                <w:rPr>
                  <w:rFonts w:ascii="Arial" w:cs="Arial" w:eastAsia="Arial" w:hAnsi="Arial"/>
                  <w:sz w:val="16"/>
                  <w:szCs w:val="16"/>
                  <w:color w:val="0000EE"/>
                  <w:w w:val="97"/>
                </w:rPr>
                <w:t>Director Compensation</w:t>
              </w:r>
            </w:hyperlink>
          </w:p>
        </w:tc>
        <w:tc>
          <w:tcPr>
            <w:tcW w:w="4040" w:type="dxa"/>
            <w:vAlign w:val="bottom"/>
            <w:gridSpan w:val="14"/>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69"/>
        </w:trPr>
        <w:tc>
          <w:tcPr>
            <w:tcW w:w="1180" w:type="dxa"/>
            <w:vAlign w:val="bottom"/>
            <w:tcBorders>
              <w:bottom w:val="single" w:sz="8" w:color="E8F0F8"/>
            </w:tcBorders>
            <w:gridSpan w:val="2"/>
            <w:vMerge w:val="continue"/>
            <w:shd w:val="clear" w:color="auto" w:fill="E8F0F8"/>
          </w:tcPr>
          <w:p>
            <w:pPr>
              <w:spacing w:after="0"/>
              <w:rPr>
                <w:sz w:val="14"/>
                <w:szCs w:val="14"/>
                <w:color w:val="auto"/>
              </w:rPr>
            </w:pPr>
          </w:p>
        </w:tc>
        <w:tc>
          <w:tcPr>
            <w:tcW w:w="40" w:type="dxa"/>
            <w:vAlign w:val="bottom"/>
            <w:tcBorders>
              <w:bottom w:val="single" w:sz="8" w:color="E8F0F8"/>
            </w:tcBorders>
            <w:shd w:val="clear" w:color="auto" w:fill="E8F0F8"/>
          </w:tcPr>
          <w:p>
            <w:pPr>
              <w:spacing w:after="0"/>
              <w:rPr>
                <w:sz w:val="14"/>
                <w:szCs w:val="14"/>
                <w:color w:val="auto"/>
              </w:rPr>
            </w:pPr>
          </w:p>
        </w:tc>
        <w:tc>
          <w:tcPr>
            <w:tcW w:w="840" w:type="dxa"/>
            <w:vAlign w:val="bottom"/>
            <w:tcBorders>
              <w:bottom w:val="single" w:sz="8" w:color="E8F0F8"/>
            </w:tcBorders>
            <w:shd w:val="clear" w:color="auto" w:fill="E8F0F8"/>
          </w:tcPr>
          <w:p>
            <w:pPr>
              <w:spacing w:after="0"/>
              <w:rPr>
                <w:sz w:val="14"/>
                <w:szCs w:val="14"/>
                <w:color w:val="auto"/>
              </w:rPr>
            </w:pPr>
          </w:p>
        </w:tc>
        <w:tc>
          <w:tcPr>
            <w:tcW w:w="60" w:type="dxa"/>
            <w:vAlign w:val="bottom"/>
            <w:tcBorders>
              <w:bottom w:val="single" w:sz="8" w:color="E8F0F8"/>
            </w:tcBorders>
            <w:shd w:val="clear" w:color="auto" w:fill="E8F0F8"/>
          </w:tcPr>
          <w:p>
            <w:pPr>
              <w:spacing w:after="0"/>
              <w:rPr>
                <w:sz w:val="14"/>
                <w:szCs w:val="14"/>
                <w:color w:val="auto"/>
              </w:rPr>
            </w:pPr>
          </w:p>
        </w:tc>
        <w:tc>
          <w:tcPr>
            <w:tcW w:w="60" w:type="dxa"/>
            <w:vAlign w:val="bottom"/>
            <w:tcBorders>
              <w:bottom w:val="single" w:sz="8" w:color="E8F0F8"/>
            </w:tcBorders>
            <w:shd w:val="clear" w:color="auto" w:fill="E8F0F8"/>
          </w:tcPr>
          <w:p>
            <w:pPr>
              <w:spacing w:after="0"/>
              <w:rPr>
                <w:sz w:val="14"/>
                <w:szCs w:val="14"/>
                <w:color w:val="auto"/>
              </w:rPr>
            </w:pPr>
          </w:p>
        </w:tc>
        <w:tc>
          <w:tcPr>
            <w:tcW w:w="320" w:type="dxa"/>
            <w:vAlign w:val="bottom"/>
            <w:tcBorders>
              <w:bottom w:val="single" w:sz="8" w:color="E8F0F8"/>
            </w:tcBorders>
            <w:shd w:val="clear" w:color="auto" w:fill="E8F0F8"/>
          </w:tcPr>
          <w:p>
            <w:pPr>
              <w:spacing w:after="0"/>
              <w:rPr>
                <w:sz w:val="14"/>
                <w:szCs w:val="14"/>
                <w:color w:val="auto"/>
              </w:rPr>
            </w:pPr>
          </w:p>
        </w:tc>
        <w:tc>
          <w:tcPr>
            <w:tcW w:w="620" w:type="dxa"/>
            <w:vAlign w:val="bottom"/>
            <w:tcBorders>
              <w:bottom w:val="single" w:sz="8" w:color="E8F0F8"/>
            </w:tcBorders>
            <w:shd w:val="clear" w:color="auto" w:fill="E8F0F8"/>
          </w:tcPr>
          <w:p>
            <w:pPr>
              <w:spacing w:after="0"/>
              <w:rPr>
                <w:sz w:val="14"/>
                <w:szCs w:val="14"/>
                <w:color w:val="auto"/>
              </w:rPr>
            </w:pPr>
          </w:p>
        </w:tc>
        <w:tc>
          <w:tcPr>
            <w:tcW w:w="240" w:type="dxa"/>
            <w:vAlign w:val="bottom"/>
            <w:tcBorders>
              <w:bottom w:val="single" w:sz="8" w:color="E8F0F8"/>
            </w:tcBorders>
            <w:shd w:val="clear" w:color="auto" w:fill="E8F0F8"/>
          </w:tcPr>
          <w:p>
            <w:pPr>
              <w:spacing w:after="0"/>
              <w:rPr>
                <w:sz w:val="14"/>
                <w:szCs w:val="14"/>
                <w:color w:val="auto"/>
              </w:rPr>
            </w:pPr>
          </w:p>
        </w:tc>
        <w:tc>
          <w:tcPr>
            <w:tcW w:w="180" w:type="dxa"/>
            <w:vAlign w:val="bottom"/>
            <w:tcBorders>
              <w:bottom w:val="single" w:sz="8" w:color="E8F0F8"/>
            </w:tcBorders>
            <w:shd w:val="clear" w:color="auto" w:fill="E8F0F8"/>
          </w:tcPr>
          <w:p>
            <w:pPr>
              <w:spacing w:after="0"/>
              <w:rPr>
                <w:sz w:val="14"/>
                <w:szCs w:val="14"/>
                <w:color w:val="auto"/>
              </w:rPr>
            </w:pPr>
          </w:p>
        </w:tc>
        <w:tc>
          <w:tcPr>
            <w:tcW w:w="20" w:type="dxa"/>
            <w:vAlign w:val="bottom"/>
            <w:tcBorders>
              <w:bottom w:val="single" w:sz="8" w:color="E8F0F8"/>
            </w:tcBorders>
            <w:shd w:val="clear" w:color="auto" w:fill="E8F0F8"/>
          </w:tcPr>
          <w:p>
            <w:pPr>
              <w:spacing w:after="0"/>
              <w:rPr>
                <w:sz w:val="14"/>
                <w:szCs w:val="14"/>
                <w:color w:val="auto"/>
              </w:rPr>
            </w:pPr>
          </w:p>
        </w:tc>
        <w:tc>
          <w:tcPr>
            <w:tcW w:w="220" w:type="dxa"/>
            <w:vAlign w:val="bottom"/>
            <w:tcBorders>
              <w:bottom w:val="single" w:sz="8" w:color="E8F0F8"/>
            </w:tcBorders>
            <w:shd w:val="clear" w:color="auto" w:fill="E8F0F8"/>
          </w:tcPr>
          <w:p>
            <w:pPr>
              <w:spacing w:after="0"/>
              <w:rPr>
                <w:sz w:val="14"/>
                <w:szCs w:val="14"/>
                <w:color w:val="auto"/>
              </w:rPr>
            </w:pPr>
          </w:p>
        </w:tc>
        <w:tc>
          <w:tcPr>
            <w:tcW w:w="540" w:type="dxa"/>
            <w:vAlign w:val="bottom"/>
            <w:tcBorders>
              <w:bottom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Borders>
              <w:bottom w:val="single" w:sz="8" w:color="0000EE"/>
            </w:tcBorders>
            <w:gridSpan w:val="15"/>
          </w:tcPr>
          <w:p>
            <w:pPr>
              <w:spacing w:after="0" w:line="169" w:lineRule="exact"/>
              <w:rPr>
                <w:rFonts w:ascii="Arial" w:cs="Arial" w:eastAsia="Arial" w:hAnsi="Arial"/>
                <w:sz w:val="16"/>
                <w:szCs w:val="16"/>
                <w:color w:val="0000EE"/>
              </w:rPr>
            </w:pPr>
            <w:hyperlink w:anchor="page35">
              <w:r>
                <w:rPr>
                  <w:rFonts w:ascii="Arial" w:cs="Arial" w:eastAsia="Arial" w:hAnsi="Arial"/>
                  <w:sz w:val="16"/>
                  <w:szCs w:val="16"/>
                  <w:color w:val="0000EE"/>
                </w:rPr>
                <w:t>Retainers, Meeting Fees and Expenses</w:t>
              </w:r>
            </w:hyperlink>
          </w:p>
        </w:tc>
        <w:tc>
          <w:tcPr>
            <w:tcW w:w="2700" w:type="dxa"/>
            <w:vAlign w:val="bottom"/>
            <w:gridSpan w:val="5"/>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69"/>
        </w:trPr>
        <w:tc>
          <w:tcPr>
            <w:tcW w:w="1180" w:type="dxa"/>
            <w:vAlign w:val="bottom"/>
            <w:gridSpan w:val="2"/>
            <w:vMerge w:val="continue"/>
            <w:shd w:val="clear" w:color="auto" w:fill="E8F0F8"/>
          </w:tcPr>
          <w:p>
            <w:pPr>
              <w:spacing w:after="0"/>
              <w:rPr>
                <w:sz w:val="14"/>
                <w:szCs w:val="14"/>
                <w:color w:val="auto"/>
              </w:rPr>
            </w:pPr>
          </w:p>
        </w:tc>
        <w:tc>
          <w:tcPr>
            <w:tcW w:w="40" w:type="dxa"/>
            <w:vAlign w:val="bottom"/>
            <w:shd w:val="clear" w:color="auto" w:fill="E8F0F8"/>
          </w:tcPr>
          <w:p>
            <w:pPr>
              <w:spacing w:after="0"/>
              <w:rPr>
                <w:sz w:val="14"/>
                <w:szCs w:val="14"/>
                <w:color w:val="auto"/>
              </w:rPr>
            </w:pPr>
          </w:p>
        </w:tc>
        <w:tc>
          <w:tcPr>
            <w:tcW w:w="840" w:type="dxa"/>
            <w:vAlign w:val="bottom"/>
            <w:shd w:val="clear" w:color="auto" w:fill="E8F0F8"/>
          </w:tcPr>
          <w:p>
            <w:pPr>
              <w:spacing w:after="0"/>
              <w:rPr>
                <w:sz w:val="14"/>
                <w:szCs w:val="14"/>
                <w:color w:val="auto"/>
              </w:rPr>
            </w:pPr>
          </w:p>
        </w:tc>
        <w:tc>
          <w:tcPr>
            <w:tcW w:w="60" w:type="dxa"/>
            <w:vAlign w:val="bottom"/>
            <w:shd w:val="clear" w:color="auto" w:fill="E8F0F8"/>
          </w:tcPr>
          <w:p>
            <w:pPr>
              <w:spacing w:after="0"/>
              <w:rPr>
                <w:sz w:val="14"/>
                <w:szCs w:val="14"/>
                <w:color w:val="auto"/>
              </w:rPr>
            </w:pPr>
          </w:p>
        </w:tc>
        <w:tc>
          <w:tcPr>
            <w:tcW w:w="60" w:type="dxa"/>
            <w:vAlign w:val="bottom"/>
            <w:shd w:val="clear" w:color="auto" w:fill="E8F0F8"/>
          </w:tcPr>
          <w:p>
            <w:pPr>
              <w:spacing w:after="0"/>
              <w:rPr>
                <w:sz w:val="14"/>
                <w:szCs w:val="14"/>
                <w:color w:val="auto"/>
              </w:rPr>
            </w:pPr>
          </w:p>
        </w:tc>
        <w:tc>
          <w:tcPr>
            <w:tcW w:w="320" w:type="dxa"/>
            <w:vAlign w:val="bottom"/>
            <w:shd w:val="clear" w:color="auto" w:fill="E8F0F8"/>
          </w:tcPr>
          <w:p>
            <w:pPr>
              <w:spacing w:after="0"/>
              <w:rPr>
                <w:sz w:val="14"/>
                <w:szCs w:val="14"/>
                <w:color w:val="auto"/>
              </w:rPr>
            </w:pPr>
          </w:p>
        </w:tc>
        <w:tc>
          <w:tcPr>
            <w:tcW w:w="620" w:type="dxa"/>
            <w:vAlign w:val="bottom"/>
            <w:shd w:val="clear" w:color="auto" w:fill="E8F0F8"/>
          </w:tcPr>
          <w:p>
            <w:pPr>
              <w:spacing w:after="0"/>
              <w:rPr>
                <w:sz w:val="14"/>
                <w:szCs w:val="14"/>
                <w:color w:val="auto"/>
              </w:rPr>
            </w:pPr>
          </w:p>
        </w:tc>
        <w:tc>
          <w:tcPr>
            <w:tcW w:w="240" w:type="dxa"/>
            <w:vAlign w:val="bottom"/>
            <w:shd w:val="clear" w:color="auto" w:fill="E8F0F8"/>
          </w:tcPr>
          <w:p>
            <w:pPr>
              <w:spacing w:after="0"/>
              <w:rPr>
                <w:sz w:val="14"/>
                <w:szCs w:val="14"/>
                <w:color w:val="auto"/>
              </w:rPr>
            </w:pPr>
          </w:p>
        </w:tc>
        <w:tc>
          <w:tcPr>
            <w:tcW w:w="180" w:type="dxa"/>
            <w:vAlign w:val="bottom"/>
            <w:shd w:val="clear" w:color="auto" w:fill="E8F0F8"/>
          </w:tcPr>
          <w:p>
            <w:pPr>
              <w:spacing w:after="0"/>
              <w:rPr>
                <w:sz w:val="14"/>
                <w:szCs w:val="14"/>
                <w:color w:val="auto"/>
              </w:rPr>
            </w:pPr>
          </w:p>
        </w:tc>
        <w:tc>
          <w:tcPr>
            <w:tcW w:w="20" w:type="dxa"/>
            <w:vAlign w:val="bottom"/>
            <w:shd w:val="clear" w:color="auto" w:fill="E8F0F8"/>
          </w:tcPr>
          <w:p>
            <w:pPr>
              <w:spacing w:after="0"/>
              <w:rPr>
                <w:sz w:val="14"/>
                <w:szCs w:val="14"/>
                <w:color w:val="auto"/>
              </w:rPr>
            </w:pPr>
          </w:p>
        </w:tc>
        <w:tc>
          <w:tcPr>
            <w:tcW w:w="220" w:type="dxa"/>
            <w:vAlign w:val="bottom"/>
            <w:shd w:val="clear" w:color="auto" w:fill="E8F0F8"/>
          </w:tcPr>
          <w:p>
            <w:pPr>
              <w:spacing w:after="0"/>
              <w:rPr>
                <w:sz w:val="14"/>
                <w:szCs w:val="14"/>
                <w:color w:val="auto"/>
              </w:rPr>
            </w:pPr>
          </w:p>
        </w:tc>
        <w:tc>
          <w:tcPr>
            <w:tcW w:w="540" w:type="dxa"/>
            <w:vAlign w:val="bottom"/>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40" w:type="dxa"/>
            <w:vAlign w:val="bottom"/>
            <w:gridSpan w:val="20"/>
          </w:tcPr>
          <w:p>
            <w:pPr>
              <w:spacing w:after="0" w:line="169" w:lineRule="exact"/>
              <w:rPr>
                <w:rFonts w:ascii="Arial" w:cs="Arial" w:eastAsia="Arial" w:hAnsi="Arial"/>
                <w:sz w:val="16"/>
                <w:szCs w:val="16"/>
                <w:color w:val="0000EE"/>
              </w:rPr>
            </w:pPr>
            <w:hyperlink w:anchor="page35">
              <w:r>
                <w:rPr>
                  <w:rFonts w:ascii="Arial" w:cs="Arial" w:eastAsia="Arial" w:hAnsi="Arial"/>
                  <w:sz w:val="16"/>
                  <w:szCs w:val="16"/>
                  <w:color w:val="0000EE"/>
                </w:rPr>
                <w:t>Equity Awards</w:t>
              </w:r>
            </w:hyperlink>
          </w:p>
        </w:tc>
        <w:tc>
          <w:tcPr>
            <w:tcW w:w="720" w:type="dxa"/>
            <w:vAlign w:val="bottom"/>
          </w:tcPr>
          <w:p>
            <w:pPr>
              <w:jc w:val="right"/>
              <w:spacing w:after="0" w:line="169"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1180" w:type="dxa"/>
            <w:vAlign w:val="bottom"/>
            <w:gridSpan w:val="2"/>
            <w:vMerge w:val="continue"/>
            <w:shd w:val="clear" w:color="auto" w:fill="E8F0F8"/>
          </w:tcPr>
          <w:p>
            <w:pPr>
              <w:spacing w:after="0" w:line="20" w:lineRule="exact"/>
              <w:rPr>
                <w:sz w:val="1"/>
                <w:szCs w:val="1"/>
                <w:color w:val="auto"/>
              </w:rPr>
            </w:pPr>
          </w:p>
        </w:tc>
        <w:tc>
          <w:tcPr>
            <w:tcW w:w="40" w:type="dxa"/>
            <w:vAlign w:val="bottom"/>
            <w:shd w:val="clear" w:color="auto" w:fill="E8F0F8"/>
          </w:tcPr>
          <w:p>
            <w:pPr>
              <w:spacing w:after="0" w:line="20" w:lineRule="exact"/>
              <w:rPr>
                <w:sz w:val="1"/>
                <w:szCs w:val="1"/>
                <w:color w:val="auto"/>
              </w:rPr>
            </w:pPr>
          </w:p>
        </w:tc>
        <w:tc>
          <w:tcPr>
            <w:tcW w:w="840" w:type="dxa"/>
            <w:vAlign w:val="bottom"/>
            <w:shd w:val="clear" w:color="auto" w:fill="E8F0F8"/>
          </w:tcPr>
          <w:p>
            <w:pPr>
              <w:spacing w:after="0" w:line="20" w:lineRule="exact"/>
              <w:rPr>
                <w:sz w:val="1"/>
                <w:szCs w:val="1"/>
                <w:color w:val="auto"/>
              </w:rPr>
            </w:pPr>
          </w:p>
        </w:tc>
        <w:tc>
          <w:tcPr>
            <w:tcW w:w="60" w:type="dxa"/>
            <w:vAlign w:val="bottom"/>
            <w:shd w:val="clear" w:color="auto" w:fill="E8F0F8"/>
          </w:tcPr>
          <w:p>
            <w:pPr>
              <w:spacing w:after="0" w:line="20" w:lineRule="exact"/>
              <w:rPr>
                <w:sz w:val="1"/>
                <w:szCs w:val="1"/>
                <w:color w:val="auto"/>
              </w:rPr>
            </w:pPr>
          </w:p>
        </w:tc>
        <w:tc>
          <w:tcPr>
            <w:tcW w:w="60" w:type="dxa"/>
            <w:vAlign w:val="bottom"/>
            <w:shd w:val="clear" w:color="auto" w:fill="E8F0F8"/>
          </w:tcPr>
          <w:p>
            <w:pPr>
              <w:spacing w:after="0" w:line="20" w:lineRule="exact"/>
              <w:rPr>
                <w:sz w:val="1"/>
                <w:szCs w:val="1"/>
                <w:color w:val="auto"/>
              </w:rPr>
            </w:pPr>
          </w:p>
        </w:tc>
        <w:tc>
          <w:tcPr>
            <w:tcW w:w="320" w:type="dxa"/>
            <w:vAlign w:val="bottom"/>
            <w:shd w:val="clear" w:color="auto" w:fill="E8F0F8"/>
          </w:tcPr>
          <w:p>
            <w:pPr>
              <w:spacing w:after="0" w:line="20" w:lineRule="exact"/>
              <w:rPr>
                <w:sz w:val="1"/>
                <w:szCs w:val="1"/>
                <w:color w:val="auto"/>
              </w:rPr>
            </w:pPr>
          </w:p>
        </w:tc>
        <w:tc>
          <w:tcPr>
            <w:tcW w:w="620" w:type="dxa"/>
            <w:vAlign w:val="bottom"/>
            <w:shd w:val="clear" w:color="auto" w:fill="E8F0F8"/>
          </w:tcPr>
          <w:p>
            <w:pPr>
              <w:spacing w:after="0" w:line="20" w:lineRule="exact"/>
              <w:rPr>
                <w:sz w:val="1"/>
                <w:szCs w:val="1"/>
                <w:color w:val="auto"/>
              </w:rPr>
            </w:pPr>
          </w:p>
        </w:tc>
        <w:tc>
          <w:tcPr>
            <w:tcW w:w="240" w:type="dxa"/>
            <w:vAlign w:val="bottom"/>
            <w:shd w:val="clear" w:color="auto" w:fill="E8F0F8"/>
          </w:tcPr>
          <w:p>
            <w:pPr>
              <w:spacing w:after="0" w:line="20" w:lineRule="exact"/>
              <w:rPr>
                <w:sz w:val="1"/>
                <w:szCs w:val="1"/>
                <w:color w:val="auto"/>
              </w:rPr>
            </w:pPr>
          </w:p>
        </w:tc>
        <w:tc>
          <w:tcPr>
            <w:tcW w:w="180" w:type="dxa"/>
            <w:vAlign w:val="bottom"/>
            <w:shd w:val="clear" w:color="auto" w:fill="E8F0F8"/>
          </w:tcPr>
          <w:p>
            <w:pPr>
              <w:spacing w:after="0" w:line="20" w:lineRule="exact"/>
              <w:rPr>
                <w:sz w:val="1"/>
                <w:szCs w:val="1"/>
                <w:color w:val="auto"/>
              </w:rPr>
            </w:pPr>
          </w:p>
        </w:tc>
        <w:tc>
          <w:tcPr>
            <w:tcW w:w="20" w:type="dxa"/>
            <w:vAlign w:val="bottom"/>
            <w:shd w:val="clear" w:color="auto" w:fill="E8F0F8"/>
          </w:tcPr>
          <w:p>
            <w:pPr>
              <w:spacing w:after="0" w:line="20" w:lineRule="exact"/>
              <w:rPr>
                <w:sz w:val="1"/>
                <w:szCs w:val="1"/>
                <w:color w:val="auto"/>
              </w:rPr>
            </w:pPr>
          </w:p>
        </w:tc>
        <w:tc>
          <w:tcPr>
            <w:tcW w:w="220" w:type="dxa"/>
            <w:vAlign w:val="bottom"/>
            <w:shd w:val="clear" w:color="auto" w:fill="E8F0F8"/>
          </w:tcPr>
          <w:p>
            <w:pPr>
              <w:spacing w:after="0" w:line="20" w:lineRule="exact"/>
              <w:rPr>
                <w:sz w:val="1"/>
                <w:szCs w:val="1"/>
                <w:color w:val="auto"/>
              </w:rPr>
            </w:pPr>
          </w:p>
        </w:tc>
        <w:tc>
          <w:tcPr>
            <w:tcW w:w="540" w:type="dxa"/>
            <w:vAlign w:val="bottom"/>
            <w:shd w:val="clear" w:color="auto" w:fill="E8F0F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Borders>
              <w:bottom w:val="single" w:sz="8" w:color="E8F0F8"/>
            </w:tcBorders>
            <w:gridSpan w:val="2"/>
            <w:vMerge w:val="continue"/>
            <w:shd w:val="clear" w:color="auto" w:fill="E8F0F8"/>
          </w:tcPr>
          <w:p>
            <w:pPr>
              <w:spacing w:after="0"/>
              <w:rPr>
                <w:sz w:val="14"/>
                <w:szCs w:val="14"/>
                <w:color w:val="auto"/>
              </w:rPr>
            </w:pPr>
          </w:p>
        </w:tc>
        <w:tc>
          <w:tcPr>
            <w:tcW w:w="40" w:type="dxa"/>
            <w:vAlign w:val="bottom"/>
            <w:tcBorders>
              <w:bottom w:val="single" w:sz="8" w:color="E8F0F8"/>
            </w:tcBorders>
            <w:shd w:val="clear" w:color="auto" w:fill="E8F0F8"/>
          </w:tcPr>
          <w:p>
            <w:pPr>
              <w:spacing w:after="0"/>
              <w:rPr>
                <w:sz w:val="14"/>
                <w:szCs w:val="14"/>
                <w:color w:val="auto"/>
              </w:rPr>
            </w:pPr>
          </w:p>
        </w:tc>
        <w:tc>
          <w:tcPr>
            <w:tcW w:w="840" w:type="dxa"/>
            <w:vAlign w:val="bottom"/>
            <w:tcBorders>
              <w:bottom w:val="single" w:sz="8" w:color="E8F0F8"/>
            </w:tcBorders>
            <w:shd w:val="clear" w:color="auto" w:fill="E8F0F8"/>
          </w:tcPr>
          <w:p>
            <w:pPr>
              <w:spacing w:after="0"/>
              <w:rPr>
                <w:sz w:val="14"/>
                <w:szCs w:val="14"/>
                <w:color w:val="auto"/>
              </w:rPr>
            </w:pPr>
          </w:p>
        </w:tc>
        <w:tc>
          <w:tcPr>
            <w:tcW w:w="60" w:type="dxa"/>
            <w:vAlign w:val="bottom"/>
            <w:tcBorders>
              <w:bottom w:val="single" w:sz="8" w:color="E8F0F8"/>
            </w:tcBorders>
            <w:shd w:val="clear" w:color="auto" w:fill="E8F0F8"/>
          </w:tcPr>
          <w:p>
            <w:pPr>
              <w:spacing w:after="0"/>
              <w:rPr>
                <w:sz w:val="14"/>
                <w:szCs w:val="14"/>
                <w:color w:val="auto"/>
              </w:rPr>
            </w:pPr>
          </w:p>
        </w:tc>
        <w:tc>
          <w:tcPr>
            <w:tcW w:w="60" w:type="dxa"/>
            <w:vAlign w:val="bottom"/>
            <w:tcBorders>
              <w:bottom w:val="single" w:sz="8" w:color="E8F0F8"/>
            </w:tcBorders>
            <w:shd w:val="clear" w:color="auto" w:fill="E8F0F8"/>
          </w:tcPr>
          <w:p>
            <w:pPr>
              <w:spacing w:after="0"/>
              <w:rPr>
                <w:sz w:val="14"/>
                <w:szCs w:val="14"/>
                <w:color w:val="auto"/>
              </w:rPr>
            </w:pPr>
          </w:p>
        </w:tc>
        <w:tc>
          <w:tcPr>
            <w:tcW w:w="320" w:type="dxa"/>
            <w:vAlign w:val="bottom"/>
            <w:tcBorders>
              <w:bottom w:val="single" w:sz="8" w:color="E8F0F8"/>
            </w:tcBorders>
            <w:shd w:val="clear" w:color="auto" w:fill="E8F0F8"/>
          </w:tcPr>
          <w:p>
            <w:pPr>
              <w:spacing w:after="0"/>
              <w:rPr>
                <w:sz w:val="14"/>
                <w:szCs w:val="14"/>
                <w:color w:val="auto"/>
              </w:rPr>
            </w:pPr>
          </w:p>
        </w:tc>
        <w:tc>
          <w:tcPr>
            <w:tcW w:w="620" w:type="dxa"/>
            <w:vAlign w:val="bottom"/>
            <w:tcBorders>
              <w:bottom w:val="single" w:sz="8" w:color="E8F0F8"/>
            </w:tcBorders>
            <w:shd w:val="clear" w:color="auto" w:fill="E8F0F8"/>
          </w:tcPr>
          <w:p>
            <w:pPr>
              <w:spacing w:after="0"/>
              <w:rPr>
                <w:sz w:val="14"/>
                <w:szCs w:val="14"/>
                <w:color w:val="auto"/>
              </w:rPr>
            </w:pPr>
          </w:p>
        </w:tc>
        <w:tc>
          <w:tcPr>
            <w:tcW w:w="240" w:type="dxa"/>
            <w:vAlign w:val="bottom"/>
            <w:tcBorders>
              <w:bottom w:val="single" w:sz="8" w:color="E8F0F8"/>
            </w:tcBorders>
            <w:shd w:val="clear" w:color="auto" w:fill="E8F0F8"/>
          </w:tcPr>
          <w:p>
            <w:pPr>
              <w:spacing w:after="0"/>
              <w:rPr>
                <w:sz w:val="14"/>
                <w:szCs w:val="14"/>
                <w:color w:val="auto"/>
              </w:rPr>
            </w:pPr>
          </w:p>
        </w:tc>
        <w:tc>
          <w:tcPr>
            <w:tcW w:w="180" w:type="dxa"/>
            <w:vAlign w:val="bottom"/>
            <w:tcBorders>
              <w:bottom w:val="single" w:sz="8" w:color="E8F0F8"/>
            </w:tcBorders>
            <w:shd w:val="clear" w:color="auto" w:fill="E8F0F8"/>
          </w:tcPr>
          <w:p>
            <w:pPr>
              <w:spacing w:after="0"/>
              <w:rPr>
                <w:sz w:val="14"/>
                <w:szCs w:val="14"/>
                <w:color w:val="auto"/>
              </w:rPr>
            </w:pPr>
          </w:p>
        </w:tc>
        <w:tc>
          <w:tcPr>
            <w:tcW w:w="20" w:type="dxa"/>
            <w:vAlign w:val="bottom"/>
            <w:tcBorders>
              <w:bottom w:val="single" w:sz="8" w:color="E8F0F8"/>
            </w:tcBorders>
            <w:shd w:val="clear" w:color="auto" w:fill="E8F0F8"/>
          </w:tcPr>
          <w:p>
            <w:pPr>
              <w:spacing w:after="0"/>
              <w:rPr>
                <w:sz w:val="14"/>
                <w:szCs w:val="14"/>
                <w:color w:val="auto"/>
              </w:rPr>
            </w:pPr>
          </w:p>
        </w:tc>
        <w:tc>
          <w:tcPr>
            <w:tcW w:w="220" w:type="dxa"/>
            <w:vAlign w:val="bottom"/>
            <w:tcBorders>
              <w:bottom w:val="single" w:sz="8" w:color="E8F0F8"/>
            </w:tcBorders>
            <w:shd w:val="clear" w:color="auto" w:fill="E8F0F8"/>
          </w:tcPr>
          <w:p>
            <w:pPr>
              <w:spacing w:after="0"/>
              <w:rPr>
                <w:sz w:val="14"/>
                <w:szCs w:val="14"/>
                <w:color w:val="auto"/>
              </w:rPr>
            </w:pPr>
          </w:p>
        </w:tc>
        <w:tc>
          <w:tcPr>
            <w:tcW w:w="540" w:type="dxa"/>
            <w:vAlign w:val="bottom"/>
            <w:tcBorders>
              <w:bottom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Borders>
              <w:bottom w:val="single" w:sz="8" w:color="0000EE"/>
            </w:tcBorders>
            <w:gridSpan w:val="7"/>
          </w:tcPr>
          <w:p>
            <w:pPr>
              <w:spacing w:after="0" w:line="169" w:lineRule="exact"/>
              <w:rPr>
                <w:rFonts w:ascii="Arial" w:cs="Arial" w:eastAsia="Arial" w:hAnsi="Arial"/>
                <w:sz w:val="16"/>
                <w:szCs w:val="16"/>
                <w:color w:val="0000EE"/>
                <w:w w:val="99"/>
              </w:rPr>
            </w:pPr>
            <w:hyperlink w:anchor="page36">
              <w:r>
                <w:rPr>
                  <w:rFonts w:ascii="Arial" w:cs="Arial" w:eastAsia="Arial" w:hAnsi="Arial"/>
                  <w:sz w:val="16"/>
                  <w:szCs w:val="16"/>
                  <w:color w:val="0000EE"/>
                  <w:w w:val="99"/>
                </w:rPr>
                <w:t>10b5-1 Trading Plans</w:t>
              </w:r>
            </w:hyperlink>
          </w:p>
        </w:tc>
        <w:tc>
          <w:tcPr>
            <w:tcW w:w="4000" w:type="dxa"/>
            <w:vAlign w:val="bottom"/>
            <w:gridSpan w:val="13"/>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69"/>
        </w:trPr>
        <w:tc>
          <w:tcPr>
            <w:tcW w:w="1180" w:type="dxa"/>
            <w:vAlign w:val="bottom"/>
            <w:gridSpan w:val="2"/>
            <w:vMerge w:val="continue"/>
            <w:shd w:val="clear" w:color="auto" w:fill="E8F0F8"/>
          </w:tcPr>
          <w:p>
            <w:pPr>
              <w:spacing w:after="0"/>
              <w:rPr>
                <w:sz w:val="14"/>
                <w:szCs w:val="14"/>
                <w:color w:val="auto"/>
              </w:rPr>
            </w:pPr>
          </w:p>
        </w:tc>
        <w:tc>
          <w:tcPr>
            <w:tcW w:w="40" w:type="dxa"/>
            <w:vAlign w:val="bottom"/>
            <w:shd w:val="clear" w:color="auto" w:fill="E8F0F8"/>
          </w:tcPr>
          <w:p>
            <w:pPr>
              <w:spacing w:after="0"/>
              <w:rPr>
                <w:sz w:val="14"/>
                <w:szCs w:val="14"/>
                <w:color w:val="auto"/>
              </w:rPr>
            </w:pPr>
          </w:p>
        </w:tc>
        <w:tc>
          <w:tcPr>
            <w:tcW w:w="840" w:type="dxa"/>
            <w:vAlign w:val="bottom"/>
            <w:shd w:val="clear" w:color="auto" w:fill="E8F0F8"/>
          </w:tcPr>
          <w:p>
            <w:pPr>
              <w:spacing w:after="0"/>
              <w:rPr>
                <w:sz w:val="14"/>
                <w:szCs w:val="14"/>
                <w:color w:val="auto"/>
              </w:rPr>
            </w:pPr>
          </w:p>
        </w:tc>
        <w:tc>
          <w:tcPr>
            <w:tcW w:w="60" w:type="dxa"/>
            <w:vAlign w:val="bottom"/>
            <w:shd w:val="clear" w:color="auto" w:fill="E8F0F8"/>
          </w:tcPr>
          <w:p>
            <w:pPr>
              <w:spacing w:after="0"/>
              <w:rPr>
                <w:sz w:val="14"/>
                <w:szCs w:val="14"/>
                <w:color w:val="auto"/>
              </w:rPr>
            </w:pPr>
          </w:p>
        </w:tc>
        <w:tc>
          <w:tcPr>
            <w:tcW w:w="60" w:type="dxa"/>
            <w:vAlign w:val="bottom"/>
            <w:shd w:val="clear" w:color="auto" w:fill="E8F0F8"/>
          </w:tcPr>
          <w:p>
            <w:pPr>
              <w:spacing w:after="0"/>
              <w:rPr>
                <w:sz w:val="14"/>
                <w:szCs w:val="14"/>
                <w:color w:val="auto"/>
              </w:rPr>
            </w:pPr>
          </w:p>
        </w:tc>
        <w:tc>
          <w:tcPr>
            <w:tcW w:w="320" w:type="dxa"/>
            <w:vAlign w:val="bottom"/>
            <w:shd w:val="clear" w:color="auto" w:fill="E8F0F8"/>
          </w:tcPr>
          <w:p>
            <w:pPr>
              <w:spacing w:after="0"/>
              <w:rPr>
                <w:sz w:val="14"/>
                <w:szCs w:val="14"/>
                <w:color w:val="auto"/>
              </w:rPr>
            </w:pPr>
          </w:p>
        </w:tc>
        <w:tc>
          <w:tcPr>
            <w:tcW w:w="620" w:type="dxa"/>
            <w:vAlign w:val="bottom"/>
            <w:shd w:val="clear" w:color="auto" w:fill="E8F0F8"/>
          </w:tcPr>
          <w:p>
            <w:pPr>
              <w:spacing w:after="0"/>
              <w:rPr>
                <w:sz w:val="14"/>
                <w:szCs w:val="14"/>
                <w:color w:val="auto"/>
              </w:rPr>
            </w:pPr>
          </w:p>
        </w:tc>
        <w:tc>
          <w:tcPr>
            <w:tcW w:w="240" w:type="dxa"/>
            <w:vAlign w:val="bottom"/>
            <w:shd w:val="clear" w:color="auto" w:fill="E8F0F8"/>
          </w:tcPr>
          <w:p>
            <w:pPr>
              <w:spacing w:after="0"/>
              <w:rPr>
                <w:sz w:val="14"/>
                <w:szCs w:val="14"/>
                <w:color w:val="auto"/>
              </w:rPr>
            </w:pPr>
          </w:p>
        </w:tc>
        <w:tc>
          <w:tcPr>
            <w:tcW w:w="180" w:type="dxa"/>
            <w:vAlign w:val="bottom"/>
            <w:shd w:val="clear" w:color="auto" w:fill="E8F0F8"/>
          </w:tcPr>
          <w:p>
            <w:pPr>
              <w:spacing w:after="0"/>
              <w:rPr>
                <w:sz w:val="14"/>
                <w:szCs w:val="14"/>
                <w:color w:val="auto"/>
              </w:rPr>
            </w:pPr>
          </w:p>
        </w:tc>
        <w:tc>
          <w:tcPr>
            <w:tcW w:w="20" w:type="dxa"/>
            <w:vAlign w:val="bottom"/>
            <w:shd w:val="clear" w:color="auto" w:fill="E8F0F8"/>
          </w:tcPr>
          <w:p>
            <w:pPr>
              <w:spacing w:after="0"/>
              <w:rPr>
                <w:sz w:val="14"/>
                <w:szCs w:val="14"/>
                <w:color w:val="auto"/>
              </w:rPr>
            </w:pPr>
          </w:p>
        </w:tc>
        <w:tc>
          <w:tcPr>
            <w:tcW w:w="220" w:type="dxa"/>
            <w:vAlign w:val="bottom"/>
            <w:shd w:val="clear" w:color="auto" w:fill="E8F0F8"/>
          </w:tcPr>
          <w:p>
            <w:pPr>
              <w:spacing w:after="0"/>
              <w:rPr>
                <w:sz w:val="14"/>
                <w:szCs w:val="14"/>
                <w:color w:val="auto"/>
              </w:rPr>
            </w:pPr>
          </w:p>
        </w:tc>
        <w:tc>
          <w:tcPr>
            <w:tcW w:w="540" w:type="dxa"/>
            <w:vAlign w:val="bottom"/>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40" w:type="dxa"/>
            <w:vAlign w:val="bottom"/>
            <w:gridSpan w:val="20"/>
          </w:tcPr>
          <w:p>
            <w:pPr>
              <w:spacing w:after="0" w:line="169" w:lineRule="exact"/>
              <w:rPr>
                <w:rFonts w:ascii="Arial" w:cs="Arial" w:eastAsia="Arial" w:hAnsi="Arial"/>
                <w:sz w:val="16"/>
                <w:szCs w:val="16"/>
                <w:color w:val="0000EE"/>
              </w:rPr>
            </w:pPr>
            <w:hyperlink w:anchor="page36">
              <w:r>
                <w:rPr>
                  <w:rFonts w:ascii="Arial" w:cs="Arial" w:eastAsia="Arial" w:hAnsi="Arial"/>
                  <w:sz w:val="16"/>
                  <w:szCs w:val="16"/>
                  <w:color w:val="0000EE"/>
                </w:rPr>
                <w:t>Non-Employee Director Stock Ownership Guidelines</w:t>
              </w:r>
            </w:hyperlink>
          </w:p>
        </w:tc>
        <w:tc>
          <w:tcPr>
            <w:tcW w:w="720" w:type="dxa"/>
            <w:vAlign w:val="bottom"/>
          </w:tcPr>
          <w:p>
            <w:pPr>
              <w:jc w:val="right"/>
              <w:spacing w:after="0" w:line="169"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69"/>
        </w:trPr>
        <w:tc>
          <w:tcPr>
            <w:tcW w:w="1180" w:type="dxa"/>
            <w:vAlign w:val="bottom"/>
            <w:tcBorders>
              <w:top w:val="single" w:sz="8" w:color="E8F0F8"/>
              <w:bottom w:val="single" w:sz="8" w:color="E8F0F8"/>
            </w:tcBorders>
            <w:gridSpan w:val="2"/>
            <w:vMerge w:val="continue"/>
            <w:shd w:val="clear" w:color="auto" w:fill="E8F0F8"/>
          </w:tcPr>
          <w:p>
            <w:pPr>
              <w:spacing w:after="0"/>
              <w:rPr>
                <w:sz w:val="14"/>
                <w:szCs w:val="14"/>
                <w:color w:val="auto"/>
              </w:rPr>
            </w:pPr>
          </w:p>
        </w:tc>
        <w:tc>
          <w:tcPr>
            <w:tcW w:w="40" w:type="dxa"/>
            <w:vAlign w:val="bottom"/>
            <w:tcBorders>
              <w:top w:val="single" w:sz="8" w:color="E8F0F8"/>
              <w:bottom w:val="single" w:sz="8" w:color="E8F0F8"/>
            </w:tcBorders>
            <w:shd w:val="clear" w:color="auto" w:fill="E8F0F8"/>
          </w:tcPr>
          <w:p>
            <w:pPr>
              <w:spacing w:after="0"/>
              <w:rPr>
                <w:sz w:val="14"/>
                <w:szCs w:val="14"/>
                <w:color w:val="auto"/>
              </w:rPr>
            </w:pPr>
          </w:p>
        </w:tc>
        <w:tc>
          <w:tcPr>
            <w:tcW w:w="840" w:type="dxa"/>
            <w:vAlign w:val="bottom"/>
            <w:tcBorders>
              <w:top w:val="single" w:sz="8" w:color="E8F0F8"/>
              <w:bottom w:val="single" w:sz="8" w:color="E8F0F8"/>
            </w:tcBorders>
            <w:shd w:val="clear" w:color="auto" w:fill="E8F0F8"/>
          </w:tcPr>
          <w:p>
            <w:pPr>
              <w:spacing w:after="0"/>
              <w:rPr>
                <w:sz w:val="14"/>
                <w:szCs w:val="14"/>
                <w:color w:val="auto"/>
              </w:rPr>
            </w:pPr>
          </w:p>
        </w:tc>
        <w:tc>
          <w:tcPr>
            <w:tcW w:w="60" w:type="dxa"/>
            <w:vAlign w:val="bottom"/>
            <w:tcBorders>
              <w:top w:val="single" w:sz="8" w:color="E8F0F8"/>
              <w:bottom w:val="single" w:sz="8" w:color="E8F0F8"/>
            </w:tcBorders>
            <w:shd w:val="clear" w:color="auto" w:fill="E8F0F8"/>
          </w:tcPr>
          <w:p>
            <w:pPr>
              <w:spacing w:after="0"/>
              <w:rPr>
                <w:sz w:val="14"/>
                <w:szCs w:val="14"/>
                <w:color w:val="auto"/>
              </w:rPr>
            </w:pPr>
          </w:p>
        </w:tc>
        <w:tc>
          <w:tcPr>
            <w:tcW w:w="60" w:type="dxa"/>
            <w:vAlign w:val="bottom"/>
            <w:tcBorders>
              <w:top w:val="single" w:sz="8" w:color="E8F0F8"/>
              <w:bottom w:val="single" w:sz="8" w:color="E8F0F8"/>
            </w:tcBorders>
            <w:shd w:val="clear" w:color="auto" w:fill="E8F0F8"/>
          </w:tcPr>
          <w:p>
            <w:pPr>
              <w:spacing w:after="0"/>
              <w:rPr>
                <w:sz w:val="14"/>
                <w:szCs w:val="14"/>
                <w:color w:val="auto"/>
              </w:rPr>
            </w:pPr>
          </w:p>
        </w:tc>
        <w:tc>
          <w:tcPr>
            <w:tcW w:w="320" w:type="dxa"/>
            <w:vAlign w:val="bottom"/>
            <w:tcBorders>
              <w:top w:val="single" w:sz="8" w:color="E8F0F8"/>
              <w:bottom w:val="single" w:sz="8" w:color="E8F0F8"/>
            </w:tcBorders>
            <w:shd w:val="clear" w:color="auto" w:fill="E8F0F8"/>
          </w:tcPr>
          <w:p>
            <w:pPr>
              <w:spacing w:after="0"/>
              <w:rPr>
                <w:sz w:val="14"/>
                <w:szCs w:val="14"/>
                <w:color w:val="auto"/>
              </w:rPr>
            </w:pPr>
          </w:p>
        </w:tc>
        <w:tc>
          <w:tcPr>
            <w:tcW w:w="620" w:type="dxa"/>
            <w:vAlign w:val="bottom"/>
            <w:tcBorders>
              <w:top w:val="single" w:sz="8" w:color="E8F0F8"/>
              <w:bottom w:val="single" w:sz="8" w:color="E8F0F8"/>
            </w:tcBorders>
            <w:shd w:val="clear" w:color="auto" w:fill="E8F0F8"/>
          </w:tcPr>
          <w:p>
            <w:pPr>
              <w:spacing w:after="0"/>
              <w:rPr>
                <w:sz w:val="14"/>
                <w:szCs w:val="14"/>
                <w:color w:val="auto"/>
              </w:rPr>
            </w:pPr>
          </w:p>
        </w:tc>
        <w:tc>
          <w:tcPr>
            <w:tcW w:w="240" w:type="dxa"/>
            <w:vAlign w:val="bottom"/>
            <w:tcBorders>
              <w:top w:val="single" w:sz="8" w:color="E8F0F8"/>
              <w:bottom w:val="single" w:sz="8" w:color="E8F0F8"/>
            </w:tcBorders>
            <w:shd w:val="clear" w:color="auto" w:fill="E8F0F8"/>
          </w:tcPr>
          <w:p>
            <w:pPr>
              <w:spacing w:after="0"/>
              <w:rPr>
                <w:sz w:val="14"/>
                <w:szCs w:val="14"/>
                <w:color w:val="auto"/>
              </w:rPr>
            </w:pPr>
          </w:p>
        </w:tc>
        <w:tc>
          <w:tcPr>
            <w:tcW w:w="180" w:type="dxa"/>
            <w:vAlign w:val="bottom"/>
            <w:tcBorders>
              <w:top w:val="single" w:sz="8" w:color="E8F0F8"/>
              <w:bottom w:val="single" w:sz="8" w:color="E8F0F8"/>
            </w:tcBorders>
            <w:shd w:val="clear" w:color="auto" w:fill="E8F0F8"/>
          </w:tcPr>
          <w:p>
            <w:pPr>
              <w:spacing w:after="0"/>
              <w:rPr>
                <w:sz w:val="14"/>
                <w:szCs w:val="14"/>
                <w:color w:val="auto"/>
              </w:rPr>
            </w:pPr>
          </w:p>
        </w:tc>
        <w:tc>
          <w:tcPr>
            <w:tcW w:w="20" w:type="dxa"/>
            <w:vAlign w:val="bottom"/>
            <w:tcBorders>
              <w:top w:val="single" w:sz="8" w:color="E8F0F8"/>
              <w:bottom w:val="single" w:sz="8" w:color="E8F0F8"/>
            </w:tcBorders>
            <w:shd w:val="clear" w:color="auto" w:fill="E8F0F8"/>
          </w:tcPr>
          <w:p>
            <w:pPr>
              <w:spacing w:after="0"/>
              <w:rPr>
                <w:sz w:val="14"/>
                <w:szCs w:val="14"/>
                <w:color w:val="auto"/>
              </w:rPr>
            </w:pPr>
          </w:p>
        </w:tc>
        <w:tc>
          <w:tcPr>
            <w:tcW w:w="220" w:type="dxa"/>
            <w:vAlign w:val="bottom"/>
            <w:tcBorders>
              <w:top w:val="single" w:sz="8" w:color="E8F0F8"/>
              <w:bottom w:val="single" w:sz="8" w:color="E8F0F8"/>
            </w:tcBorders>
            <w:shd w:val="clear" w:color="auto" w:fill="E8F0F8"/>
          </w:tcPr>
          <w:p>
            <w:pPr>
              <w:spacing w:after="0"/>
              <w:rPr>
                <w:sz w:val="14"/>
                <w:szCs w:val="14"/>
                <w:color w:val="auto"/>
              </w:rPr>
            </w:pPr>
          </w:p>
        </w:tc>
        <w:tc>
          <w:tcPr>
            <w:tcW w:w="540" w:type="dxa"/>
            <w:vAlign w:val="bottom"/>
            <w:tcBorders>
              <w:top w:val="single" w:sz="8" w:color="E8F0F8"/>
              <w:bottom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Borders>
              <w:top w:val="single" w:sz="8" w:color="0000EE"/>
              <w:bottom w:val="single" w:sz="8" w:color="0000EE"/>
            </w:tcBorders>
            <w:gridSpan w:val="10"/>
          </w:tcPr>
          <w:p>
            <w:pPr>
              <w:spacing w:after="0" w:line="169" w:lineRule="exact"/>
              <w:rPr>
                <w:rFonts w:ascii="Arial" w:cs="Arial" w:eastAsia="Arial" w:hAnsi="Arial"/>
                <w:sz w:val="16"/>
                <w:szCs w:val="16"/>
                <w:color w:val="0000EE"/>
              </w:rPr>
            </w:pPr>
            <w:hyperlink w:anchor="page37">
              <w:r>
                <w:rPr>
                  <w:rFonts w:ascii="Arial" w:cs="Arial" w:eastAsia="Arial" w:hAnsi="Arial"/>
                  <w:sz w:val="16"/>
                  <w:szCs w:val="16"/>
                  <w:color w:val="0000EE"/>
                </w:rPr>
                <w:t>2018 Director Compensation</w:t>
              </w:r>
            </w:hyperlink>
          </w:p>
        </w:tc>
        <w:tc>
          <w:tcPr>
            <w:tcW w:w="1700" w:type="dxa"/>
            <w:vAlign w:val="bottom"/>
            <w:tcBorders>
              <w:top w:val="single" w:sz="8" w:color="0000EE"/>
            </w:tcBorders>
            <w:gridSpan w:val="8"/>
          </w:tcPr>
          <w:p>
            <w:pPr>
              <w:spacing w:after="0"/>
              <w:rPr>
                <w:sz w:val="14"/>
                <w:szCs w:val="14"/>
                <w:color w:val="auto"/>
              </w:rPr>
            </w:pPr>
          </w:p>
        </w:tc>
        <w:tc>
          <w:tcPr>
            <w:tcW w:w="1780" w:type="dxa"/>
            <w:vAlign w:val="bottom"/>
            <w:gridSpan w:val="2"/>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69"/>
        </w:trPr>
        <w:tc>
          <w:tcPr>
            <w:tcW w:w="1180" w:type="dxa"/>
            <w:vAlign w:val="bottom"/>
            <w:gridSpan w:val="2"/>
            <w:vMerge w:val="continue"/>
            <w:shd w:val="clear" w:color="auto" w:fill="E8F0F8"/>
          </w:tcPr>
          <w:p>
            <w:pPr>
              <w:spacing w:after="0"/>
              <w:rPr>
                <w:sz w:val="14"/>
                <w:szCs w:val="14"/>
                <w:color w:val="auto"/>
              </w:rPr>
            </w:pPr>
          </w:p>
        </w:tc>
        <w:tc>
          <w:tcPr>
            <w:tcW w:w="40" w:type="dxa"/>
            <w:vAlign w:val="bottom"/>
            <w:shd w:val="clear" w:color="auto" w:fill="E8F0F8"/>
          </w:tcPr>
          <w:p>
            <w:pPr>
              <w:spacing w:after="0"/>
              <w:rPr>
                <w:sz w:val="14"/>
                <w:szCs w:val="14"/>
                <w:color w:val="auto"/>
              </w:rPr>
            </w:pPr>
          </w:p>
        </w:tc>
        <w:tc>
          <w:tcPr>
            <w:tcW w:w="840" w:type="dxa"/>
            <w:vAlign w:val="bottom"/>
            <w:shd w:val="clear" w:color="auto" w:fill="E8F0F8"/>
          </w:tcPr>
          <w:p>
            <w:pPr>
              <w:spacing w:after="0"/>
              <w:rPr>
                <w:sz w:val="14"/>
                <w:szCs w:val="14"/>
                <w:color w:val="auto"/>
              </w:rPr>
            </w:pPr>
          </w:p>
        </w:tc>
        <w:tc>
          <w:tcPr>
            <w:tcW w:w="60" w:type="dxa"/>
            <w:vAlign w:val="bottom"/>
            <w:shd w:val="clear" w:color="auto" w:fill="E8F0F8"/>
          </w:tcPr>
          <w:p>
            <w:pPr>
              <w:spacing w:after="0"/>
              <w:rPr>
                <w:sz w:val="14"/>
                <w:szCs w:val="14"/>
                <w:color w:val="auto"/>
              </w:rPr>
            </w:pPr>
          </w:p>
        </w:tc>
        <w:tc>
          <w:tcPr>
            <w:tcW w:w="60" w:type="dxa"/>
            <w:vAlign w:val="bottom"/>
            <w:shd w:val="clear" w:color="auto" w:fill="E8F0F8"/>
          </w:tcPr>
          <w:p>
            <w:pPr>
              <w:spacing w:after="0"/>
              <w:rPr>
                <w:sz w:val="14"/>
                <w:szCs w:val="14"/>
                <w:color w:val="auto"/>
              </w:rPr>
            </w:pPr>
          </w:p>
        </w:tc>
        <w:tc>
          <w:tcPr>
            <w:tcW w:w="320" w:type="dxa"/>
            <w:vAlign w:val="bottom"/>
            <w:shd w:val="clear" w:color="auto" w:fill="E8F0F8"/>
          </w:tcPr>
          <w:p>
            <w:pPr>
              <w:spacing w:after="0"/>
              <w:rPr>
                <w:sz w:val="14"/>
                <w:szCs w:val="14"/>
                <w:color w:val="auto"/>
              </w:rPr>
            </w:pPr>
          </w:p>
        </w:tc>
        <w:tc>
          <w:tcPr>
            <w:tcW w:w="620" w:type="dxa"/>
            <w:vAlign w:val="bottom"/>
            <w:shd w:val="clear" w:color="auto" w:fill="E8F0F8"/>
          </w:tcPr>
          <w:p>
            <w:pPr>
              <w:spacing w:after="0"/>
              <w:rPr>
                <w:sz w:val="14"/>
                <w:szCs w:val="14"/>
                <w:color w:val="auto"/>
              </w:rPr>
            </w:pPr>
          </w:p>
        </w:tc>
        <w:tc>
          <w:tcPr>
            <w:tcW w:w="240" w:type="dxa"/>
            <w:vAlign w:val="bottom"/>
            <w:shd w:val="clear" w:color="auto" w:fill="E8F0F8"/>
          </w:tcPr>
          <w:p>
            <w:pPr>
              <w:spacing w:after="0"/>
              <w:rPr>
                <w:sz w:val="14"/>
                <w:szCs w:val="14"/>
                <w:color w:val="auto"/>
              </w:rPr>
            </w:pPr>
          </w:p>
        </w:tc>
        <w:tc>
          <w:tcPr>
            <w:tcW w:w="180" w:type="dxa"/>
            <w:vAlign w:val="bottom"/>
            <w:shd w:val="clear" w:color="auto" w:fill="E8F0F8"/>
          </w:tcPr>
          <w:p>
            <w:pPr>
              <w:spacing w:after="0"/>
              <w:rPr>
                <w:sz w:val="14"/>
                <w:szCs w:val="14"/>
                <w:color w:val="auto"/>
              </w:rPr>
            </w:pPr>
          </w:p>
        </w:tc>
        <w:tc>
          <w:tcPr>
            <w:tcW w:w="20" w:type="dxa"/>
            <w:vAlign w:val="bottom"/>
            <w:shd w:val="clear" w:color="auto" w:fill="E8F0F8"/>
          </w:tcPr>
          <w:p>
            <w:pPr>
              <w:spacing w:after="0"/>
              <w:rPr>
                <w:sz w:val="14"/>
                <w:szCs w:val="14"/>
                <w:color w:val="auto"/>
              </w:rPr>
            </w:pPr>
          </w:p>
        </w:tc>
        <w:tc>
          <w:tcPr>
            <w:tcW w:w="220" w:type="dxa"/>
            <w:vAlign w:val="bottom"/>
            <w:shd w:val="clear" w:color="auto" w:fill="E8F0F8"/>
          </w:tcPr>
          <w:p>
            <w:pPr>
              <w:spacing w:after="0"/>
              <w:rPr>
                <w:sz w:val="14"/>
                <w:szCs w:val="14"/>
                <w:color w:val="auto"/>
              </w:rPr>
            </w:pPr>
          </w:p>
        </w:tc>
        <w:tc>
          <w:tcPr>
            <w:tcW w:w="540" w:type="dxa"/>
            <w:vAlign w:val="bottom"/>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40" w:type="dxa"/>
            <w:vAlign w:val="bottom"/>
            <w:gridSpan w:val="20"/>
          </w:tcPr>
          <w:p>
            <w:pPr>
              <w:spacing w:after="0" w:line="169" w:lineRule="exact"/>
              <w:rPr>
                <w:rFonts w:ascii="Arial" w:cs="Arial" w:eastAsia="Arial" w:hAnsi="Arial"/>
                <w:sz w:val="16"/>
                <w:szCs w:val="16"/>
                <w:color w:val="0000EE"/>
              </w:rPr>
            </w:pPr>
            <w:hyperlink w:anchor="page38">
              <w:r>
                <w:rPr>
                  <w:rFonts w:ascii="Arial" w:cs="Arial" w:eastAsia="Arial" w:hAnsi="Arial"/>
                  <w:sz w:val="16"/>
                  <w:szCs w:val="16"/>
                  <w:color w:val="0000EE"/>
                </w:rPr>
                <w:t>Director Equity Outstanding at 2018 Fiscal Year-End</w:t>
              </w:r>
            </w:hyperlink>
          </w:p>
        </w:tc>
        <w:tc>
          <w:tcPr>
            <w:tcW w:w="720" w:type="dxa"/>
            <w:vAlign w:val="bottom"/>
          </w:tcPr>
          <w:p>
            <w:pPr>
              <w:jc w:val="right"/>
              <w:spacing w:after="0" w:line="169" w:lineRule="exact"/>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120" w:type="dxa"/>
            <w:vAlign w:val="bottom"/>
            <w:shd w:val="clear" w:color="auto" w:fill="E8F0F8"/>
          </w:tcPr>
          <w:p>
            <w:pPr>
              <w:spacing w:after="0" w:line="20" w:lineRule="exact"/>
              <w:rPr>
                <w:sz w:val="1"/>
                <w:szCs w:val="1"/>
                <w:color w:val="auto"/>
              </w:rPr>
            </w:pPr>
          </w:p>
        </w:tc>
        <w:tc>
          <w:tcPr>
            <w:tcW w:w="1060" w:type="dxa"/>
            <w:vAlign w:val="bottom"/>
            <w:shd w:val="clear" w:color="auto" w:fill="E8F0F8"/>
          </w:tcPr>
          <w:p>
            <w:pPr>
              <w:spacing w:after="0" w:line="20" w:lineRule="exact"/>
              <w:rPr>
                <w:sz w:val="1"/>
                <w:szCs w:val="1"/>
                <w:color w:val="auto"/>
              </w:rPr>
            </w:pPr>
          </w:p>
        </w:tc>
        <w:tc>
          <w:tcPr>
            <w:tcW w:w="40" w:type="dxa"/>
            <w:vAlign w:val="bottom"/>
            <w:shd w:val="clear" w:color="auto" w:fill="E8F0F8"/>
          </w:tcPr>
          <w:p>
            <w:pPr>
              <w:spacing w:after="0" w:line="20" w:lineRule="exact"/>
              <w:rPr>
                <w:sz w:val="1"/>
                <w:szCs w:val="1"/>
                <w:color w:val="auto"/>
              </w:rPr>
            </w:pPr>
          </w:p>
        </w:tc>
        <w:tc>
          <w:tcPr>
            <w:tcW w:w="840" w:type="dxa"/>
            <w:vAlign w:val="bottom"/>
            <w:shd w:val="clear" w:color="auto" w:fill="E8F0F8"/>
          </w:tcPr>
          <w:p>
            <w:pPr>
              <w:spacing w:after="0" w:line="20" w:lineRule="exact"/>
              <w:rPr>
                <w:sz w:val="1"/>
                <w:szCs w:val="1"/>
                <w:color w:val="auto"/>
              </w:rPr>
            </w:pPr>
          </w:p>
        </w:tc>
        <w:tc>
          <w:tcPr>
            <w:tcW w:w="60" w:type="dxa"/>
            <w:vAlign w:val="bottom"/>
            <w:shd w:val="clear" w:color="auto" w:fill="E8F0F8"/>
          </w:tcPr>
          <w:p>
            <w:pPr>
              <w:spacing w:after="0" w:line="20" w:lineRule="exact"/>
              <w:rPr>
                <w:sz w:val="1"/>
                <w:szCs w:val="1"/>
                <w:color w:val="auto"/>
              </w:rPr>
            </w:pPr>
          </w:p>
        </w:tc>
        <w:tc>
          <w:tcPr>
            <w:tcW w:w="60" w:type="dxa"/>
            <w:vAlign w:val="bottom"/>
            <w:shd w:val="clear" w:color="auto" w:fill="E8F0F8"/>
          </w:tcPr>
          <w:p>
            <w:pPr>
              <w:spacing w:after="0" w:line="20" w:lineRule="exact"/>
              <w:rPr>
                <w:sz w:val="1"/>
                <w:szCs w:val="1"/>
                <w:color w:val="auto"/>
              </w:rPr>
            </w:pPr>
          </w:p>
        </w:tc>
        <w:tc>
          <w:tcPr>
            <w:tcW w:w="320" w:type="dxa"/>
            <w:vAlign w:val="bottom"/>
            <w:shd w:val="clear" w:color="auto" w:fill="E8F0F8"/>
          </w:tcPr>
          <w:p>
            <w:pPr>
              <w:spacing w:after="0" w:line="20" w:lineRule="exact"/>
              <w:rPr>
                <w:sz w:val="1"/>
                <w:szCs w:val="1"/>
                <w:color w:val="auto"/>
              </w:rPr>
            </w:pPr>
          </w:p>
        </w:tc>
        <w:tc>
          <w:tcPr>
            <w:tcW w:w="620" w:type="dxa"/>
            <w:vAlign w:val="bottom"/>
            <w:shd w:val="clear" w:color="auto" w:fill="E8F0F8"/>
          </w:tcPr>
          <w:p>
            <w:pPr>
              <w:spacing w:after="0" w:line="20" w:lineRule="exact"/>
              <w:rPr>
                <w:sz w:val="1"/>
                <w:szCs w:val="1"/>
                <w:color w:val="auto"/>
              </w:rPr>
            </w:pPr>
          </w:p>
        </w:tc>
        <w:tc>
          <w:tcPr>
            <w:tcW w:w="240" w:type="dxa"/>
            <w:vAlign w:val="bottom"/>
            <w:shd w:val="clear" w:color="auto" w:fill="E8F0F8"/>
          </w:tcPr>
          <w:p>
            <w:pPr>
              <w:spacing w:after="0" w:line="20" w:lineRule="exact"/>
              <w:rPr>
                <w:sz w:val="1"/>
                <w:szCs w:val="1"/>
                <w:color w:val="auto"/>
              </w:rPr>
            </w:pPr>
          </w:p>
        </w:tc>
        <w:tc>
          <w:tcPr>
            <w:tcW w:w="180" w:type="dxa"/>
            <w:vAlign w:val="bottom"/>
            <w:shd w:val="clear" w:color="auto" w:fill="E8F0F8"/>
          </w:tcPr>
          <w:p>
            <w:pPr>
              <w:spacing w:after="0" w:line="20" w:lineRule="exact"/>
              <w:rPr>
                <w:sz w:val="1"/>
                <w:szCs w:val="1"/>
                <w:color w:val="auto"/>
              </w:rPr>
            </w:pPr>
          </w:p>
        </w:tc>
        <w:tc>
          <w:tcPr>
            <w:tcW w:w="20" w:type="dxa"/>
            <w:vAlign w:val="bottom"/>
            <w:shd w:val="clear" w:color="auto" w:fill="E8F0F8"/>
          </w:tcPr>
          <w:p>
            <w:pPr>
              <w:spacing w:after="0" w:line="20" w:lineRule="exact"/>
              <w:rPr>
                <w:sz w:val="1"/>
                <w:szCs w:val="1"/>
                <w:color w:val="auto"/>
              </w:rPr>
            </w:pPr>
          </w:p>
        </w:tc>
        <w:tc>
          <w:tcPr>
            <w:tcW w:w="220" w:type="dxa"/>
            <w:vAlign w:val="bottom"/>
            <w:shd w:val="clear" w:color="auto" w:fill="E8F0F8"/>
          </w:tcPr>
          <w:p>
            <w:pPr>
              <w:spacing w:after="0" w:line="20" w:lineRule="exact"/>
              <w:rPr>
                <w:sz w:val="1"/>
                <w:szCs w:val="1"/>
                <w:color w:val="auto"/>
              </w:rPr>
            </w:pPr>
          </w:p>
        </w:tc>
        <w:tc>
          <w:tcPr>
            <w:tcW w:w="540" w:type="dxa"/>
            <w:vAlign w:val="bottom"/>
            <w:shd w:val="clear" w:color="auto" w:fill="E8F0F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 w:type="dxa"/>
            <w:vAlign w:val="bottom"/>
            <w:shd w:val="clear" w:color="auto" w:fill="E8F0F8"/>
          </w:tcPr>
          <w:p>
            <w:pPr>
              <w:spacing w:after="0"/>
              <w:rPr>
                <w:sz w:val="14"/>
                <w:szCs w:val="14"/>
                <w:color w:val="auto"/>
              </w:rPr>
            </w:pPr>
          </w:p>
        </w:tc>
        <w:tc>
          <w:tcPr>
            <w:tcW w:w="1060" w:type="dxa"/>
            <w:vAlign w:val="bottom"/>
            <w:shd w:val="clear" w:color="auto" w:fill="E8F0F8"/>
          </w:tcPr>
          <w:p>
            <w:pPr>
              <w:spacing w:after="0"/>
              <w:rPr>
                <w:sz w:val="14"/>
                <w:szCs w:val="14"/>
                <w:color w:val="auto"/>
              </w:rPr>
            </w:pPr>
          </w:p>
        </w:tc>
        <w:tc>
          <w:tcPr>
            <w:tcW w:w="40" w:type="dxa"/>
            <w:vAlign w:val="bottom"/>
            <w:shd w:val="clear" w:color="auto" w:fill="E8F0F8"/>
          </w:tcPr>
          <w:p>
            <w:pPr>
              <w:spacing w:after="0"/>
              <w:rPr>
                <w:sz w:val="14"/>
                <w:szCs w:val="14"/>
                <w:color w:val="auto"/>
              </w:rPr>
            </w:pPr>
          </w:p>
        </w:tc>
        <w:tc>
          <w:tcPr>
            <w:tcW w:w="840" w:type="dxa"/>
            <w:vAlign w:val="bottom"/>
            <w:shd w:val="clear" w:color="auto" w:fill="E8F0F8"/>
          </w:tcPr>
          <w:p>
            <w:pPr>
              <w:spacing w:after="0"/>
              <w:rPr>
                <w:sz w:val="14"/>
                <w:szCs w:val="14"/>
                <w:color w:val="auto"/>
              </w:rPr>
            </w:pPr>
          </w:p>
        </w:tc>
        <w:tc>
          <w:tcPr>
            <w:tcW w:w="60" w:type="dxa"/>
            <w:vAlign w:val="bottom"/>
            <w:shd w:val="clear" w:color="auto" w:fill="E8F0F8"/>
          </w:tcPr>
          <w:p>
            <w:pPr>
              <w:spacing w:after="0"/>
              <w:rPr>
                <w:sz w:val="14"/>
                <w:szCs w:val="14"/>
                <w:color w:val="auto"/>
              </w:rPr>
            </w:pPr>
          </w:p>
        </w:tc>
        <w:tc>
          <w:tcPr>
            <w:tcW w:w="60" w:type="dxa"/>
            <w:vAlign w:val="bottom"/>
            <w:shd w:val="clear" w:color="auto" w:fill="E8F0F8"/>
          </w:tcPr>
          <w:p>
            <w:pPr>
              <w:spacing w:after="0"/>
              <w:rPr>
                <w:sz w:val="14"/>
                <w:szCs w:val="14"/>
                <w:color w:val="auto"/>
              </w:rPr>
            </w:pPr>
          </w:p>
        </w:tc>
        <w:tc>
          <w:tcPr>
            <w:tcW w:w="320" w:type="dxa"/>
            <w:vAlign w:val="bottom"/>
            <w:shd w:val="clear" w:color="auto" w:fill="E8F0F8"/>
          </w:tcPr>
          <w:p>
            <w:pPr>
              <w:spacing w:after="0"/>
              <w:rPr>
                <w:sz w:val="14"/>
                <w:szCs w:val="14"/>
                <w:color w:val="auto"/>
              </w:rPr>
            </w:pPr>
          </w:p>
        </w:tc>
        <w:tc>
          <w:tcPr>
            <w:tcW w:w="620" w:type="dxa"/>
            <w:vAlign w:val="bottom"/>
            <w:shd w:val="clear" w:color="auto" w:fill="E8F0F8"/>
          </w:tcPr>
          <w:p>
            <w:pPr>
              <w:spacing w:after="0"/>
              <w:rPr>
                <w:sz w:val="14"/>
                <w:szCs w:val="14"/>
                <w:color w:val="auto"/>
              </w:rPr>
            </w:pPr>
          </w:p>
        </w:tc>
        <w:tc>
          <w:tcPr>
            <w:tcW w:w="240" w:type="dxa"/>
            <w:vAlign w:val="bottom"/>
            <w:shd w:val="clear" w:color="auto" w:fill="E8F0F8"/>
          </w:tcPr>
          <w:p>
            <w:pPr>
              <w:spacing w:after="0"/>
              <w:rPr>
                <w:sz w:val="14"/>
                <w:szCs w:val="14"/>
                <w:color w:val="auto"/>
              </w:rPr>
            </w:pPr>
          </w:p>
        </w:tc>
        <w:tc>
          <w:tcPr>
            <w:tcW w:w="180" w:type="dxa"/>
            <w:vAlign w:val="bottom"/>
            <w:shd w:val="clear" w:color="auto" w:fill="E8F0F8"/>
          </w:tcPr>
          <w:p>
            <w:pPr>
              <w:spacing w:after="0"/>
              <w:rPr>
                <w:sz w:val="14"/>
                <w:szCs w:val="14"/>
                <w:color w:val="auto"/>
              </w:rPr>
            </w:pPr>
          </w:p>
        </w:tc>
        <w:tc>
          <w:tcPr>
            <w:tcW w:w="20" w:type="dxa"/>
            <w:vAlign w:val="bottom"/>
            <w:shd w:val="clear" w:color="auto" w:fill="E8F0F8"/>
          </w:tcPr>
          <w:p>
            <w:pPr>
              <w:spacing w:after="0"/>
              <w:rPr>
                <w:sz w:val="14"/>
                <w:szCs w:val="14"/>
                <w:color w:val="auto"/>
              </w:rPr>
            </w:pPr>
          </w:p>
        </w:tc>
        <w:tc>
          <w:tcPr>
            <w:tcW w:w="220" w:type="dxa"/>
            <w:vAlign w:val="bottom"/>
            <w:shd w:val="clear" w:color="auto" w:fill="E8F0F8"/>
          </w:tcPr>
          <w:p>
            <w:pPr>
              <w:spacing w:after="0"/>
              <w:rPr>
                <w:sz w:val="14"/>
                <w:szCs w:val="14"/>
                <w:color w:val="auto"/>
              </w:rPr>
            </w:pPr>
          </w:p>
        </w:tc>
        <w:tc>
          <w:tcPr>
            <w:tcW w:w="540" w:type="dxa"/>
            <w:vAlign w:val="bottom"/>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5660" w:type="dxa"/>
            <w:vAlign w:val="bottom"/>
            <w:gridSpan w:val="21"/>
          </w:tcPr>
          <w:p>
            <w:pPr>
              <w:spacing w:after="0" w:line="169" w:lineRule="exact"/>
              <w:rPr>
                <w:rFonts w:ascii="Arial" w:cs="Arial" w:eastAsia="Arial" w:hAnsi="Arial"/>
                <w:sz w:val="16"/>
                <w:szCs w:val="16"/>
                <w:color w:val="0000EE"/>
              </w:rPr>
            </w:pPr>
            <w:hyperlink w:anchor="page38">
              <w:r>
                <w:rPr>
                  <w:rFonts w:ascii="Arial" w:cs="Arial" w:eastAsia="Arial" w:hAnsi="Arial"/>
                  <w:sz w:val="16"/>
                  <w:szCs w:val="16"/>
                  <w:color w:val="0000EE"/>
                </w:rPr>
                <w:t>Board Risk Oversight</w:t>
              </w:r>
            </w:hyperlink>
          </w:p>
        </w:tc>
        <w:tc>
          <w:tcPr>
            <w:tcW w:w="720" w:type="dxa"/>
            <w:vAlign w:val="bottom"/>
          </w:tcPr>
          <w:p>
            <w:pPr>
              <w:jc w:val="right"/>
              <w:spacing w:after="0" w:line="169" w:lineRule="exact"/>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120" w:type="dxa"/>
            <w:vAlign w:val="bottom"/>
            <w:shd w:val="clear" w:color="auto" w:fill="E8F0F8"/>
          </w:tcPr>
          <w:p>
            <w:pPr>
              <w:spacing w:after="0" w:line="20" w:lineRule="exact"/>
              <w:rPr>
                <w:sz w:val="1"/>
                <w:szCs w:val="1"/>
                <w:color w:val="auto"/>
              </w:rPr>
            </w:pPr>
          </w:p>
        </w:tc>
        <w:tc>
          <w:tcPr>
            <w:tcW w:w="1060" w:type="dxa"/>
            <w:vAlign w:val="bottom"/>
            <w:shd w:val="clear" w:color="auto" w:fill="E8F0F8"/>
          </w:tcPr>
          <w:p>
            <w:pPr>
              <w:spacing w:after="0" w:line="20" w:lineRule="exact"/>
              <w:rPr>
                <w:sz w:val="1"/>
                <w:szCs w:val="1"/>
                <w:color w:val="auto"/>
              </w:rPr>
            </w:pPr>
          </w:p>
        </w:tc>
        <w:tc>
          <w:tcPr>
            <w:tcW w:w="40" w:type="dxa"/>
            <w:vAlign w:val="bottom"/>
            <w:shd w:val="clear" w:color="auto" w:fill="E8F0F8"/>
          </w:tcPr>
          <w:p>
            <w:pPr>
              <w:spacing w:after="0" w:line="20" w:lineRule="exact"/>
              <w:rPr>
                <w:sz w:val="1"/>
                <w:szCs w:val="1"/>
                <w:color w:val="auto"/>
              </w:rPr>
            </w:pPr>
          </w:p>
        </w:tc>
        <w:tc>
          <w:tcPr>
            <w:tcW w:w="840" w:type="dxa"/>
            <w:vAlign w:val="bottom"/>
            <w:shd w:val="clear" w:color="auto" w:fill="E8F0F8"/>
          </w:tcPr>
          <w:p>
            <w:pPr>
              <w:spacing w:after="0" w:line="20" w:lineRule="exact"/>
              <w:rPr>
                <w:sz w:val="1"/>
                <w:szCs w:val="1"/>
                <w:color w:val="auto"/>
              </w:rPr>
            </w:pPr>
          </w:p>
        </w:tc>
        <w:tc>
          <w:tcPr>
            <w:tcW w:w="60" w:type="dxa"/>
            <w:vAlign w:val="bottom"/>
            <w:shd w:val="clear" w:color="auto" w:fill="E8F0F8"/>
          </w:tcPr>
          <w:p>
            <w:pPr>
              <w:spacing w:after="0" w:line="20" w:lineRule="exact"/>
              <w:rPr>
                <w:sz w:val="1"/>
                <w:szCs w:val="1"/>
                <w:color w:val="auto"/>
              </w:rPr>
            </w:pPr>
          </w:p>
        </w:tc>
        <w:tc>
          <w:tcPr>
            <w:tcW w:w="60" w:type="dxa"/>
            <w:vAlign w:val="bottom"/>
            <w:shd w:val="clear" w:color="auto" w:fill="E8F0F8"/>
          </w:tcPr>
          <w:p>
            <w:pPr>
              <w:spacing w:after="0" w:line="20" w:lineRule="exact"/>
              <w:rPr>
                <w:sz w:val="1"/>
                <w:szCs w:val="1"/>
                <w:color w:val="auto"/>
              </w:rPr>
            </w:pPr>
          </w:p>
        </w:tc>
        <w:tc>
          <w:tcPr>
            <w:tcW w:w="320" w:type="dxa"/>
            <w:vAlign w:val="bottom"/>
            <w:shd w:val="clear" w:color="auto" w:fill="E8F0F8"/>
          </w:tcPr>
          <w:p>
            <w:pPr>
              <w:spacing w:after="0" w:line="20" w:lineRule="exact"/>
              <w:rPr>
                <w:sz w:val="1"/>
                <w:szCs w:val="1"/>
                <w:color w:val="auto"/>
              </w:rPr>
            </w:pPr>
          </w:p>
        </w:tc>
        <w:tc>
          <w:tcPr>
            <w:tcW w:w="620" w:type="dxa"/>
            <w:vAlign w:val="bottom"/>
            <w:shd w:val="clear" w:color="auto" w:fill="E8F0F8"/>
          </w:tcPr>
          <w:p>
            <w:pPr>
              <w:spacing w:after="0" w:line="20" w:lineRule="exact"/>
              <w:rPr>
                <w:sz w:val="1"/>
                <w:szCs w:val="1"/>
                <w:color w:val="auto"/>
              </w:rPr>
            </w:pPr>
          </w:p>
        </w:tc>
        <w:tc>
          <w:tcPr>
            <w:tcW w:w="240" w:type="dxa"/>
            <w:vAlign w:val="bottom"/>
            <w:shd w:val="clear" w:color="auto" w:fill="E8F0F8"/>
          </w:tcPr>
          <w:p>
            <w:pPr>
              <w:spacing w:after="0" w:line="20" w:lineRule="exact"/>
              <w:rPr>
                <w:sz w:val="1"/>
                <w:szCs w:val="1"/>
                <w:color w:val="auto"/>
              </w:rPr>
            </w:pPr>
          </w:p>
        </w:tc>
        <w:tc>
          <w:tcPr>
            <w:tcW w:w="180" w:type="dxa"/>
            <w:vAlign w:val="bottom"/>
            <w:shd w:val="clear" w:color="auto" w:fill="E8F0F8"/>
          </w:tcPr>
          <w:p>
            <w:pPr>
              <w:spacing w:after="0" w:line="20" w:lineRule="exact"/>
              <w:rPr>
                <w:sz w:val="1"/>
                <w:szCs w:val="1"/>
                <w:color w:val="auto"/>
              </w:rPr>
            </w:pPr>
          </w:p>
        </w:tc>
        <w:tc>
          <w:tcPr>
            <w:tcW w:w="20" w:type="dxa"/>
            <w:vAlign w:val="bottom"/>
            <w:shd w:val="clear" w:color="auto" w:fill="E8F0F8"/>
          </w:tcPr>
          <w:p>
            <w:pPr>
              <w:spacing w:after="0" w:line="20" w:lineRule="exact"/>
              <w:rPr>
                <w:sz w:val="1"/>
                <w:szCs w:val="1"/>
                <w:color w:val="auto"/>
              </w:rPr>
            </w:pPr>
          </w:p>
        </w:tc>
        <w:tc>
          <w:tcPr>
            <w:tcW w:w="220" w:type="dxa"/>
            <w:vAlign w:val="bottom"/>
            <w:shd w:val="clear" w:color="auto" w:fill="E8F0F8"/>
          </w:tcPr>
          <w:p>
            <w:pPr>
              <w:spacing w:after="0" w:line="20" w:lineRule="exact"/>
              <w:rPr>
                <w:sz w:val="1"/>
                <w:szCs w:val="1"/>
                <w:color w:val="auto"/>
              </w:rPr>
            </w:pPr>
          </w:p>
        </w:tc>
        <w:tc>
          <w:tcPr>
            <w:tcW w:w="540" w:type="dxa"/>
            <w:vAlign w:val="bottom"/>
            <w:shd w:val="clear" w:color="auto" w:fill="E8F0F8"/>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 w:type="dxa"/>
            <w:vAlign w:val="bottom"/>
            <w:shd w:val="clear" w:color="auto" w:fill="E8F0F8"/>
          </w:tcPr>
          <w:p>
            <w:pPr>
              <w:spacing w:after="0"/>
              <w:rPr>
                <w:sz w:val="14"/>
                <w:szCs w:val="14"/>
                <w:color w:val="auto"/>
              </w:rPr>
            </w:pPr>
          </w:p>
        </w:tc>
        <w:tc>
          <w:tcPr>
            <w:tcW w:w="1060" w:type="dxa"/>
            <w:vAlign w:val="bottom"/>
            <w:shd w:val="clear" w:color="auto" w:fill="E8F0F8"/>
          </w:tcPr>
          <w:p>
            <w:pPr>
              <w:spacing w:after="0"/>
              <w:rPr>
                <w:sz w:val="14"/>
                <w:szCs w:val="14"/>
                <w:color w:val="auto"/>
              </w:rPr>
            </w:pPr>
          </w:p>
        </w:tc>
        <w:tc>
          <w:tcPr>
            <w:tcW w:w="40" w:type="dxa"/>
            <w:vAlign w:val="bottom"/>
            <w:shd w:val="clear" w:color="auto" w:fill="E8F0F8"/>
          </w:tcPr>
          <w:p>
            <w:pPr>
              <w:spacing w:after="0"/>
              <w:rPr>
                <w:sz w:val="14"/>
                <w:szCs w:val="14"/>
                <w:color w:val="auto"/>
              </w:rPr>
            </w:pPr>
          </w:p>
        </w:tc>
        <w:tc>
          <w:tcPr>
            <w:tcW w:w="840" w:type="dxa"/>
            <w:vAlign w:val="bottom"/>
            <w:shd w:val="clear" w:color="auto" w:fill="E8F0F8"/>
          </w:tcPr>
          <w:p>
            <w:pPr>
              <w:spacing w:after="0"/>
              <w:rPr>
                <w:sz w:val="14"/>
                <w:szCs w:val="14"/>
                <w:color w:val="auto"/>
              </w:rPr>
            </w:pPr>
          </w:p>
        </w:tc>
        <w:tc>
          <w:tcPr>
            <w:tcW w:w="60" w:type="dxa"/>
            <w:vAlign w:val="bottom"/>
            <w:shd w:val="clear" w:color="auto" w:fill="E8F0F8"/>
          </w:tcPr>
          <w:p>
            <w:pPr>
              <w:spacing w:after="0"/>
              <w:rPr>
                <w:sz w:val="14"/>
                <w:szCs w:val="14"/>
                <w:color w:val="auto"/>
              </w:rPr>
            </w:pPr>
          </w:p>
        </w:tc>
        <w:tc>
          <w:tcPr>
            <w:tcW w:w="60" w:type="dxa"/>
            <w:vAlign w:val="bottom"/>
            <w:shd w:val="clear" w:color="auto" w:fill="E8F0F8"/>
          </w:tcPr>
          <w:p>
            <w:pPr>
              <w:spacing w:after="0"/>
              <w:rPr>
                <w:sz w:val="14"/>
                <w:szCs w:val="14"/>
                <w:color w:val="auto"/>
              </w:rPr>
            </w:pPr>
          </w:p>
        </w:tc>
        <w:tc>
          <w:tcPr>
            <w:tcW w:w="320" w:type="dxa"/>
            <w:vAlign w:val="bottom"/>
            <w:shd w:val="clear" w:color="auto" w:fill="E8F0F8"/>
          </w:tcPr>
          <w:p>
            <w:pPr>
              <w:spacing w:after="0"/>
              <w:rPr>
                <w:sz w:val="14"/>
                <w:szCs w:val="14"/>
                <w:color w:val="auto"/>
              </w:rPr>
            </w:pPr>
          </w:p>
        </w:tc>
        <w:tc>
          <w:tcPr>
            <w:tcW w:w="620" w:type="dxa"/>
            <w:vAlign w:val="bottom"/>
            <w:shd w:val="clear" w:color="auto" w:fill="E8F0F8"/>
          </w:tcPr>
          <w:p>
            <w:pPr>
              <w:spacing w:after="0"/>
              <w:rPr>
                <w:sz w:val="14"/>
                <w:szCs w:val="14"/>
                <w:color w:val="auto"/>
              </w:rPr>
            </w:pPr>
          </w:p>
        </w:tc>
        <w:tc>
          <w:tcPr>
            <w:tcW w:w="240" w:type="dxa"/>
            <w:vAlign w:val="bottom"/>
            <w:shd w:val="clear" w:color="auto" w:fill="E8F0F8"/>
          </w:tcPr>
          <w:p>
            <w:pPr>
              <w:spacing w:after="0"/>
              <w:rPr>
                <w:sz w:val="14"/>
                <w:szCs w:val="14"/>
                <w:color w:val="auto"/>
              </w:rPr>
            </w:pPr>
          </w:p>
        </w:tc>
        <w:tc>
          <w:tcPr>
            <w:tcW w:w="180" w:type="dxa"/>
            <w:vAlign w:val="bottom"/>
            <w:shd w:val="clear" w:color="auto" w:fill="E8F0F8"/>
          </w:tcPr>
          <w:p>
            <w:pPr>
              <w:spacing w:after="0"/>
              <w:rPr>
                <w:sz w:val="14"/>
                <w:szCs w:val="14"/>
                <w:color w:val="auto"/>
              </w:rPr>
            </w:pPr>
          </w:p>
        </w:tc>
        <w:tc>
          <w:tcPr>
            <w:tcW w:w="20" w:type="dxa"/>
            <w:vAlign w:val="bottom"/>
            <w:shd w:val="clear" w:color="auto" w:fill="E8F0F8"/>
          </w:tcPr>
          <w:p>
            <w:pPr>
              <w:spacing w:after="0"/>
              <w:rPr>
                <w:sz w:val="14"/>
                <w:szCs w:val="14"/>
                <w:color w:val="auto"/>
              </w:rPr>
            </w:pPr>
          </w:p>
        </w:tc>
        <w:tc>
          <w:tcPr>
            <w:tcW w:w="220" w:type="dxa"/>
            <w:vAlign w:val="bottom"/>
            <w:shd w:val="clear" w:color="auto" w:fill="E8F0F8"/>
          </w:tcPr>
          <w:p>
            <w:pPr>
              <w:spacing w:after="0"/>
              <w:rPr>
                <w:sz w:val="14"/>
                <w:szCs w:val="14"/>
                <w:color w:val="auto"/>
              </w:rPr>
            </w:pPr>
          </w:p>
        </w:tc>
        <w:tc>
          <w:tcPr>
            <w:tcW w:w="540" w:type="dxa"/>
            <w:vAlign w:val="bottom"/>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5660" w:type="dxa"/>
            <w:vAlign w:val="bottom"/>
            <w:gridSpan w:val="21"/>
          </w:tcPr>
          <w:p>
            <w:pPr>
              <w:spacing w:after="0" w:line="169" w:lineRule="exact"/>
              <w:rPr>
                <w:rFonts w:ascii="Arial" w:cs="Arial" w:eastAsia="Arial" w:hAnsi="Arial"/>
                <w:sz w:val="16"/>
                <w:szCs w:val="16"/>
                <w:color w:val="0000EE"/>
              </w:rPr>
            </w:pPr>
            <w:hyperlink w:anchor="page39">
              <w:r>
                <w:rPr>
                  <w:rFonts w:ascii="Arial" w:cs="Arial" w:eastAsia="Arial" w:hAnsi="Arial"/>
                  <w:sz w:val="16"/>
                  <w:szCs w:val="16"/>
                  <w:color w:val="0000EE"/>
                </w:rPr>
                <w:t>Compensation Risk Assessment</w:t>
              </w:r>
            </w:hyperlink>
          </w:p>
        </w:tc>
        <w:tc>
          <w:tcPr>
            <w:tcW w:w="720" w:type="dxa"/>
            <w:vAlign w:val="bottom"/>
          </w:tcPr>
          <w:p>
            <w:pPr>
              <w:jc w:val="right"/>
              <w:spacing w:after="0" w:line="169"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3"/>
        </w:trPr>
        <w:tc>
          <w:tcPr>
            <w:tcW w:w="120" w:type="dxa"/>
            <w:vAlign w:val="bottom"/>
            <w:tcBorders>
              <w:top w:val="single" w:sz="8" w:color="E8F0F8"/>
              <w:bottom w:val="single" w:sz="8" w:color="auto"/>
            </w:tcBorders>
            <w:shd w:val="clear" w:color="auto" w:fill="E8F0F8"/>
          </w:tcPr>
          <w:p>
            <w:pPr>
              <w:spacing w:after="0"/>
              <w:rPr>
                <w:sz w:val="19"/>
                <w:szCs w:val="19"/>
                <w:color w:val="auto"/>
              </w:rPr>
            </w:pPr>
          </w:p>
        </w:tc>
        <w:tc>
          <w:tcPr>
            <w:tcW w:w="1060" w:type="dxa"/>
            <w:vAlign w:val="bottom"/>
            <w:tcBorders>
              <w:top w:val="single" w:sz="8" w:color="E8F0F8"/>
              <w:bottom w:val="single" w:sz="8" w:color="auto"/>
            </w:tcBorders>
            <w:shd w:val="clear" w:color="auto" w:fill="E8F0F8"/>
          </w:tcPr>
          <w:p>
            <w:pPr>
              <w:spacing w:after="0"/>
              <w:rPr>
                <w:sz w:val="19"/>
                <w:szCs w:val="19"/>
                <w:color w:val="auto"/>
              </w:rPr>
            </w:pPr>
          </w:p>
        </w:tc>
        <w:tc>
          <w:tcPr>
            <w:tcW w:w="40" w:type="dxa"/>
            <w:vAlign w:val="bottom"/>
            <w:tcBorders>
              <w:top w:val="single" w:sz="8" w:color="E8F0F8"/>
              <w:bottom w:val="single" w:sz="8" w:color="auto"/>
            </w:tcBorders>
            <w:shd w:val="clear" w:color="auto" w:fill="E8F0F8"/>
          </w:tcPr>
          <w:p>
            <w:pPr>
              <w:spacing w:after="0"/>
              <w:rPr>
                <w:sz w:val="19"/>
                <w:szCs w:val="19"/>
                <w:color w:val="auto"/>
              </w:rPr>
            </w:pPr>
          </w:p>
        </w:tc>
        <w:tc>
          <w:tcPr>
            <w:tcW w:w="840" w:type="dxa"/>
            <w:vAlign w:val="bottom"/>
            <w:tcBorders>
              <w:top w:val="single" w:sz="8" w:color="E8F0F8"/>
              <w:bottom w:val="single" w:sz="8" w:color="auto"/>
            </w:tcBorders>
            <w:shd w:val="clear" w:color="auto" w:fill="E8F0F8"/>
          </w:tcPr>
          <w:p>
            <w:pPr>
              <w:spacing w:after="0"/>
              <w:rPr>
                <w:sz w:val="19"/>
                <w:szCs w:val="19"/>
                <w:color w:val="auto"/>
              </w:rPr>
            </w:pPr>
          </w:p>
        </w:tc>
        <w:tc>
          <w:tcPr>
            <w:tcW w:w="60" w:type="dxa"/>
            <w:vAlign w:val="bottom"/>
            <w:tcBorders>
              <w:top w:val="single" w:sz="8" w:color="E8F0F8"/>
              <w:bottom w:val="single" w:sz="8" w:color="auto"/>
            </w:tcBorders>
            <w:shd w:val="clear" w:color="auto" w:fill="E8F0F8"/>
          </w:tcPr>
          <w:p>
            <w:pPr>
              <w:spacing w:after="0"/>
              <w:rPr>
                <w:sz w:val="19"/>
                <w:szCs w:val="19"/>
                <w:color w:val="auto"/>
              </w:rPr>
            </w:pPr>
          </w:p>
        </w:tc>
        <w:tc>
          <w:tcPr>
            <w:tcW w:w="60" w:type="dxa"/>
            <w:vAlign w:val="bottom"/>
            <w:tcBorders>
              <w:top w:val="single" w:sz="8" w:color="E8F0F8"/>
              <w:bottom w:val="single" w:sz="8" w:color="auto"/>
            </w:tcBorders>
            <w:shd w:val="clear" w:color="auto" w:fill="E8F0F8"/>
          </w:tcPr>
          <w:p>
            <w:pPr>
              <w:spacing w:after="0"/>
              <w:rPr>
                <w:sz w:val="19"/>
                <w:szCs w:val="19"/>
                <w:color w:val="auto"/>
              </w:rPr>
            </w:pPr>
          </w:p>
        </w:tc>
        <w:tc>
          <w:tcPr>
            <w:tcW w:w="320" w:type="dxa"/>
            <w:vAlign w:val="bottom"/>
            <w:tcBorders>
              <w:top w:val="single" w:sz="8" w:color="E8F0F8"/>
              <w:bottom w:val="single" w:sz="8" w:color="auto"/>
            </w:tcBorders>
            <w:shd w:val="clear" w:color="auto" w:fill="E8F0F8"/>
          </w:tcPr>
          <w:p>
            <w:pPr>
              <w:spacing w:after="0"/>
              <w:rPr>
                <w:sz w:val="19"/>
                <w:szCs w:val="19"/>
                <w:color w:val="auto"/>
              </w:rPr>
            </w:pPr>
          </w:p>
        </w:tc>
        <w:tc>
          <w:tcPr>
            <w:tcW w:w="620" w:type="dxa"/>
            <w:vAlign w:val="bottom"/>
            <w:tcBorders>
              <w:top w:val="single" w:sz="8" w:color="E8F0F8"/>
              <w:bottom w:val="single" w:sz="8" w:color="auto"/>
            </w:tcBorders>
            <w:shd w:val="clear" w:color="auto" w:fill="E8F0F8"/>
          </w:tcPr>
          <w:p>
            <w:pPr>
              <w:spacing w:after="0"/>
              <w:rPr>
                <w:sz w:val="19"/>
                <w:szCs w:val="19"/>
                <w:color w:val="auto"/>
              </w:rPr>
            </w:pPr>
          </w:p>
        </w:tc>
        <w:tc>
          <w:tcPr>
            <w:tcW w:w="240" w:type="dxa"/>
            <w:vAlign w:val="bottom"/>
            <w:tcBorders>
              <w:top w:val="single" w:sz="8" w:color="E8F0F8"/>
              <w:bottom w:val="single" w:sz="8" w:color="auto"/>
            </w:tcBorders>
            <w:shd w:val="clear" w:color="auto" w:fill="E8F0F8"/>
          </w:tcPr>
          <w:p>
            <w:pPr>
              <w:spacing w:after="0"/>
              <w:rPr>
                <w:sz w:val="19"/>
                <w:szCs w:val="19"/>
                <w:color w:val="auto"/>
              </w:rPr>
            </w:pPr>
          </w:p>
        </w:tc>
        <w:tc>
          <w:tcPr>
            <w:tcW w:w="180" w:type="dxa"/>
            <w:vAlign w:val="bottom"/>
            <w:tcBorders>
              <w:top w:val="single" w:sz="8" w:color="E8F0F8"/>
              <w:bottom w:val="single" w:sz="8" w:color="auto"/>
            </w:tcBorders>
            <w:shd w:val="clear" w:color="auto" w:fill="E8F0F8"/>
          </w:tcPr>
          <w:p>
            <w:pPr>
              <w:spacing w:after="0"/>
              <w:rPr>
                <w:sz w:val="19"/>
                <w:szCs w:val="19"/>
                <w:color w:val="auto"/>
              </w:rPr>
            </w:pPr>
          </w:p>
        </w:tc>
        <w:tc>
          <w:tcPr>
            <w:tcW w:w="20" w:type="dxa"/>
            <w:vAlign w:val="bottom"/>
            <w:tcBorders>
              <w:top w:val="single" w:sz="8" w:color="E8F0F8"/>
              <w:bottom w:val="single" w:sz="8" w:color="auto"/>
            </w:tcBorders>
            <w:shd w:val="clear" w:color="auto" w:fill="E8F0F8"/>
          </w:tcPr>
          <w:p>
            <w:pPr>
              <w:spacing w:after="0"/>
              <w:rPr>
                <w:sz w:val="19"/>
                <w:szCs w:val="19"/>
                <w:color w:val="auto"/>
              </w:rPr>
            </w:pPr>
          </w:p>
        </w:tc>
        <w:tc>
          <w:tcPr>
            <w:tcW w:w="220" w:type="dxa"/>
            <w:vAlign w:val="bottom"/>
            <w:tcBorders>
              <w:top w:val="single" w:sz="8" w:color="E8F0F8"/>
              <w:bottom w:val="single" w:sz="8" w:color="auto"/>
            </w:tcBorders>
            <w:shd w:val="clear" w:color="auto" w:fill="E8F0F8"/>
          </w:tcPr>
          <w:p>
            <w:pPr>
              <w:spacing w:after="0"/>
              <w:rPr>
                <w:sz w:val="19"/>
                <w:szCs w:val="19"/>
                <w:color w:val="auto"/>
              </w:rPr>
            </w:pPr>
          </w:p>
        </w:tc>
        <w:tc>
          <w:tcPr>
            <w:tcW w:w="540" w:type="dxa"/>
            <w:vAlign w:val="bottom"/>
            <w:tcBorders>
              <w:top w:val="single" w:sz="8" w:color="E8F0F8"/>
              <w:bottom w:val="single" w:sz="8" w:color="auto"/>
            </w:tcBorders>
            <w:shd w:val="clear" w:color="auto" w:fill="E8F0F8"/>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top w:val="single" w:sz="8" w:color="0000EE"/>
              <w:bottom w:val="single" w:sz="8" w:color="auto"/>
            </w:tcBorders>
          </w:tcPr>
          <w:p>
            <w:pPr>
              <w:spacing w:after="0"/>
              <w:rPr>
                <w:sz w:val="19"/>
                <w:szCs w:val="19"/>
                <w:color w:val="auto"/>
              </w:rPr>
            </w:pPr>
          </w:p>
        </w:tc>
        <w:tc>
          <w:tcPr>
            <w:tcW w:w="980" w:type="dxa"/>
            <w:vAlign w:val="bottom"/>
            <w:tcBorders>
              <w:top w:val="single" w:sz="8" w:color="0000EE"/>
              <w:bottom w:val="single" w:sz="8" w:color="auto"/>
            </w:tcBorders>
          </w:tcPr>
          <w:p>
            <w:pPr>
              <w:spacing w:after="0"/>
              <w:rPr>
                <w:sz w:val="19"/>
                <w:szCs w:val="19"/>
                <w:color w:val="auto"/>
              </w:rPr>
            </w:pPr>
          </w:p>
        </w:tc>
        <w:tc>
          <w:tcPr>
            <w:tcW w:w="380" w:type="dxa"/>
            <w:vAlign w:val="bottom"/>
            <w:tcBorders>
              <w:top w:val="single" w:sz="8" w:color="0000EE"/>
              <w:bottom w:val="single" w:sz="8" w:color="auto"/>
            </w:tcBorders>
          </w:tcPr>
          <w:p>
            <w:pPr>
              <w:spacing w:after="0"/>
              <w:rPr>
                <w:sz w:val="19"/>
                <w:szCs w:val="19"/>
                <w:color w:val="auto"/>
              </w:rPr>
            </w:pPr>
          </w:p>
        </w:tc>
        <w:tc>
          <w:tcPr>
            <w:tcW w:w="20" w:type="dxa"/>
            <w:vAlign w:val="bottom"/>
            <w:tcBorders>
              <w:top w:val="single" w:sz="8" w:color="0000EE"/>
              <w:bottom w:val="single" w:sz="8" w:color="auto"/>
            </w:tcBorders>
          </w:tcPr>
          <w:p>
            <w:pPr>
              <w:spacing w:after="0"/>
              <w:rPr>
                <w:sz w:val="19"/>
                <w:szCs w:val="19"/>
                <w:color w:val="auto"/>
              </w:rPr>
            </w:pPr>
          </w:p>
        </w:tc>
        <w:tc>
          <w:tcPr>
            <w:tcW w:w="80" w:type="dxa"/>
            <w:vAlign w:val="bottom"/>
            <w:tcBorders>
              <w:top w:val="single" w:sz="8" w:color="0000EE"/>
              <w:bottom w:val="single" w:sz="8" w:color="auto"/>
            </w:tcBorders>
          </w:tcPr>
          <w:p>
            <w:pPr>
              <w:spacing w:after="0"/>
              <w:rPr>
                <w:sz w:val="19"/>
                <w:szCs w:val="19"/>
                <w:color w:val="auto"/>
              </w:rPr>
            </w:pPr>
          </w:p>
        </w:tc>
        <w:tc>
          <w:tcPr>
            <w:tcW w:w="20" w:type="dxa"/>
            <w:vAlign w:val="bottom"/>
            <w:tcBorders>
              <w:top w:val="single" w:sz="8" w:color="0000EE"/>
              <w:bottom w:val="single" w:sz="8" w:color="auto"/>
            </w:tcBorders>
          </w:tcPr>
          <w:p>
            <w:pPr>
              <w:spacing w:after="0"/>
              <w:rPr>
                <w:sz w:val="19"/>
                <w:szCs w:val="19"/>
                <w:color w:val="auto"/>
              </w:rPr>
            </w:pPr>
          </w:p>
        </w:tc>
        <w:tc>
          <w:tcPr>
            <w:tcW w:w="20" w:type="dxa"/>
            <w:vAlign w:val="bottom"/>
            <w:tcBorders>
              <w:top w:val="single" w:sz="8" w:color="0000EE"/>
              <w:bottom w:val="single" w:sz="8" w:color="auto"/>
            </w:tcBorders>
          </w:tcPr>
          <w:p>
            <w:pPr>
              <w:spacing w:after="0"/>
              <w:rPr>
                <w:sz w:val="19"/>
                <w:szCs w:val="19"/>
                <w:color w:val="auto"/>
              </w:rPr>
            </w:pPr>
          </w:p>
        </w:tc>
        <w:tc>
          <w:tcPr>
            <w:tcW w:w="40" w:type="dxa"/>
            <w:vAlign w:val="bottom"/>
            <w:tcBorders>
              <w:top w:val="single" w:sz="8" w:color="0000EE"/>
              <w:bottom w:val="single" w:sz="8" w:color="auto"/>
            </w:tcBorders>
          </w:tcPr>
          <w:p>
            <w:pPr>
              <w:spacing w:after="0"/>
              <w:rPr>
                <w:sz w:val="19"/>
                <w:szCs w:val="19"/>
                <w:color w:val="auto"/>
              </w:rPr>
            </w:pPr>
          </w:p>
        </w:tc>
        <w:tc>
          <w:tcPr>
            <w:tcW w:w="20" w:type="dxa"/>
            <w:vAlign w:val="bottom"/>
            <w:tcBorders>
              <w:top w:val="single" w:sz="8" w:color="0000EE"/>
              <w:bottom w:val="single" w:sz="8" w:color="auto"/>
            </w:tcBorders>
          </w:tcPr>
          <w:p>
            <w:pPr>
              <w:spacing w:after="0"/>
              <w:rPr>
                <w:sz w:val="19"/>
                <w:szCs w:val="19"/>
                <w:color w:val="auto"/>
              </w:rPr>
            </w:pPr>
          </w:p>
        </w:tc>
        <w:tc>
          <w:tcPr>
            <w:tcW w:w="160" w:type="dxa"/>
            <w:vAlign w:val="bottom"/>
            <w:tcBorders>
              <w:top w:val="single" w:sz="8" w:color="0000EE"/>
              <w:bottom w:val="single" w:sz="8" w:color="auto"/>
            </w:tcBorders>
          </w:tcPr>
          <w:p>
            <w:pPr>
              <w:spacing w:after="0"/>
              <w:rPr>
                <w:sz w:val="19"/>
                <w:szCs w:val="19"/>
                <w:color w:val="auto"/>
              </w:rPr>
            </w:pPr>
          </w:p>
        </w:tc>
        <w:tc>
          <w:tcPr>
            <w:tcW w:w="340" w:type="dxa"/>
            <w:vAlign w:val="bottom"/>
            <w:tcBorders>
              <w:top w:val="single" w:sz="8" w:color="0000EE"/>
              <w:bottom w:val="single" w:sz="8" w:color="auto"/>
            </w:tcBorders>
          </w:tcPr>
          <w:p>
            <w:pPr>
              <w:spacing w:after="0"/>
              <w:rPr>
                <w:sz w:val="19"/>
                <w:szCs w:val="19"/>
                <w:color w:val="auto"/>
              </w:rPr>
            </w:pPr>
          </w:p>
        </w:tc>
        <w:tc>
          <w:tcPr>
            <w:tcW w:w="140" w:type="dxa"/>
            <w:vAlign w:val="bottom"/>
            <w:tcBorders>
              <w:top w:val="single" w:sz="8" w:color="0000EE"/>
              <w:bottom w:val="single" w:sz="8" w:color="auto"/>
            </w:tcBorders>
          </w:tcPr>
          <w:p>
            <w:pPr>
              <w:spacing w:after="0"/>
              <w:rPr>
                <w:sz w:val="19"/>
                <w:szCs w:val="19"/>
                <w:color w:val="auto"/>
              </w:rPr>
            </w:pPr>
          </w:p>
        </w:tc>
        <w:tc>
          <w:tcPr>
            <w:tcW w:w="20" w:type="dxa"/>
            <w:vAlign w:val="bottom"/>
            <w:tcBorders>
              <w:top w:val="single" w:sz="8" w:color="0000EE"/>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80" w:type="dxa"/>
            <w:vAlign w:val="bottom"/>
            <w:tcBorders>
              <w:bottom w:val="single" w:sz="8" w:color="E8F0F8"/>
            </w:tcBorders>
            <w:gridSpan w:val="2"/>
            <w:vMerge w:val="restart"/>
            <w:shd w:val="clear" w:color="auto" w:fill="E8F0F8"/>
          </w:tcPr>
          <w:p>
            <w:pPr>
              <w:jc w:val="right"/>
              <w:ind w:right="119"/>
              <w:spacing w:after="0" w:line="176" w:lineRule="exact"/>
              <w:rPr>
                <w:sz w:val="20"/>
                <w:szCs w:val="20"/>
                <w:color w:val="auto"/>
              </w:rPr>
            </w:pPr>
            <w:r>
              <w:rPr>
                <w:rFonts w:ascii="Arial" w:cs="Arial" w:eastAsia="Arial" w:hAnsi="Arial"/>
                <w:sz w:val="20"/>
                <w:szCs w:val="20"/>
                <w:color w:val="1A6DBB"/>
              </w:rPr>
              <w:t>4</w:t>
            </w:r>
          </w:p>
        </w:tc>
        <w:tc>
          <w:tcPr>
            <w:tcW w:w="40" w:type="dxa"/>
            <w:vAlign w:val="bottom"/>
            <w:tcBorders>
              <w:bottom w:val="single" w:sz="8" w:color="E8F0F8"/>
            </w:tcBorders>
            <w:shd w:val="clear" w:color="auto" w:fill="E8F0F8"/>
          </w:tcPr>
          <w:p>
            <w:pPr>
              <w:spacing w:after="0"/>
              <w:rPr>
                <w:sz w:val="15"/>
                <w:szCs w:val="15"/>
                <w:color w:val="auto"/>
              </w:rPr>
            </w:pPr>
          </w:p>
        </w:tc>
        <w:tc>
          <w:tcPr>
            <w:tcW w:w="3100" w:type="dxa"/>
            <w:vAlign w:val="bottom"/>
            <w:tcBorders>
              <w:bottom w:val="single" w:sz="8" w:color="E8F0F8"/>
            </w:tcBorders>
            <w:gridSpan w:val="10"/>
            <w:vMerge w:val="restart"/>
            <w:shd w:val="clear" w:color="auto" w:fill="E8F0F8"/>
          </w:tcPr>
          <w:p>
            <w:pPr>
              <w:ind w:left="20"/>
              <w:spacing w:after="0" w:line="216" w:lineRule="exact"/>
              <w:rPr>
                <w:rFonts w:ascii="Arial" w:cs="Arial" w:eastAsia="Arial" w:hAnsi="Arial"/>
                <w:sz w:val="25"/>
                <w:szCs w:val="25"/>
                <w:color w:val="0000EE"/>
              </w:rPr>
            </w:pPr>
            <w:hyperlink w:anchor="page41">
              <w:r>
                <w:rPr>
                  <w:rFonts w:ascii="Arial" w:cs="Arial" w:eastAsia="Arial" w:hAnsi="Arial"/>
                  <w:sz w:val="25"/>
                  <w:szCs w:val="25"/>
                  <w:color w:val="0000EE"/>
                </w:rPr>
                <w:t>Audit Committee</w:t>
              </w:r>
            </w:hyperlink>
          </w:p>
        </w:tc>
        <w:tc>
          <w:tcPr>
            <w:tcW w:w="320" w:type="dxa"/>
            <w:vAlign w:val="bottom"/>
          </w:tcPr>
          <w:p>
            <w:pPr>
              <w:spacing w:after="0"/>
              <w:rPr>
                <w:sz w:val="15"/>
                <w:szCs w:val="15"/>
                <w:color w:val="auto"/>
              </w:rPr>
            </w:pPr>
          </w:p>
        </w:tc>
        <w:tc>
          <w:tcPr>
            <w:tcW w:w="120" w:type="dxa"/>
            <w:vAlign w:val="bottom"/>
            <w:tcBorders>
              <w:bottom w:val="single" w:sz="8" w:color="0000EE"/>
            </w:tcBorders>
          </w:tcPr>
          <w:p>
            <w:pPr>
              <w:spacing w:after="0"/>
              <w:rPr>
                <w:sz w:val="15"/>
                <w:szCs w:val="15"/>
                <w:color w:val="auto"/>
              </w:rPr>
            </w:pPr>
          </w:p>
        </w:tc>
        <w:tc>
          <w:tcPr>
            <w:tcW w:w="980" w:type="dxa"/>
            <w:vAlign w:val="bottom"/>
            <w:tcBorders>
              <w:bottom w:val="single" w:sz="8" w:color="0000EE"/>
            </w:tcBorders>
          </w:tcPr>
          <w:p>
            <w:pPr>
              <w:spacing w:after="0"/>
              <w:rPr>
                <w:sz w:val="15"/>
                <w:szCs w:val="15"/>
                <w:color w:val="auto"/>
              </w:rPr>
            </w:pPr>
          </w:p>
        </w:tc>
        <w:tc>
          <w:tcPr>
            <w:tcW w:w="38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60" w:type="dxa"/>
            <w:vAlign w:val="bottom"/>
            <w:tcBorders>
              <w:bottom w:val="single" w:sz="8" w:color="0000EE"/>
            </w:tcBorders>
          </w:tcPr>
          <w:p>
            <w:pPr>
              <w:spacing w:after="0"/>
              <w:rPr>
                <w:sz w:val="15"/>
                <w:szCs w:val="15"/>
                <w:color w:val="auto"/>
              </w:rPr>
            </w:pPr>
          </w:p>
        </w:tc>
        <w:tc>
          <w:tcPr>
            <w:tcW w:w="340" w:type="dxa"/>
            <w:vAlign w:val="bottom"/>
            <w:tcBorders>
              <w:bottom w:val="single" w:sz="8" w:color="0000EE"/>
            </w:tcBorders>
          </w:tcPr>
          <w:p>
            <w:pPr>
              <w:spacing w:after="0"/>
              <w:rPr>
                <w:sz w:val="15"/>
                <w:szCs w:val="15"/>
                <w:color w:val="auto"/>
              </w:rPr>
            </w:pPr>
          </w:p>
        </w:tc>
        <w:tc>
          <w:tcPr>
            <w:tcW w:w="14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tcBorders>
              <w:bottom w:val="single" w:sz="8" w:color="0000EE"/>
            </w:tcBorders>
          </w:tcPr>
          <w:p>
            <w:pPr>
              <w:spacing w:after="0"/>
              <w:rPr>
                <w:sz w:val="15"/>
                <w:szCs w:val="15"/>
                <w:color w:val="auto"/>
              </w:rPr>
            </w:pPr>
          </w:p>
        </w:tc>
        <w:tc>
          <w:tcPr>
            <w:tcW w:w="180" w:type="dxa"/>
            <w:vAlign w:val="bottom"/>
            <w:tcBorders>
              <w:bottom w:val="single" w:sz="8" w:color="0000EE"/>
            </w:tcBorders>
          </w:tcPr>
          <w:p>
            <w:pPr>
              <w:spacing w:after="0"/>
              <w:rPr>
                <w:sz w:val="15"/>
                <w:szCs w:val="15"/>
                <w:color w:val="auto"/>
              </w:rPr>
            </w:pPr>
          </w:p>
        </w:tc>
        <w:tc>
          <w:tcPr>
            <w:tcW w:w="380" w:type="dxa"/>
            <w:vAlign w:val="bottom"/>
            <w:tcBorders>
              <w:bottom w:val="single" w:sz="8" w:color="0000EE"/>
            </w:tcBorders>
          </w:tcPr>
          <w:p>
            <w:pPr>
              <w:spacing w:after="0"/>
              <w:rPr>
                <w:sz w:val="15"/>
                <w:szCs w:val="15"/>
                <w:color w:val="auto"/>
              </w:rPr>
            </w:pPr>
          </w:p>
        </w:tc>
        <w:tc>
          <w:tcPr>
            <w:tcW w:w="440" w:type="dxa"/>
            <w:vAlign w:val="bottom"/>
            <w:tcBorders>
              <w:bottom w:val="single" w:sz="8" w:color="0000EE"/>
            </w:tcBorders>
          </w:tcPr>
          <w:p>
            <w:pPr>
              <w:spacing w:after="0"/>
              <w:rPr>
                <w:sz w:val="15"/>
                <w:szCs w:val="15"/>
                <w:color w:val="auto"/>
              </w:rPr>
            </w:pPr>
          </w:p>
        </w:tc>
        <w:tc>
          <w:tcPr>
            <w:tcW w:w="46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tcBorders>
              <w:bottom w:val="single" w:sz="8" w:color="0000EE"/>
            </w:tcBorders>
          </w:tcPr>
          <w:p>
            <w:pPr>
              <w:spacing w:after="0"/>
              <w:rPr>
                <w:sz w:val="15"/>
                <w:szCs w:val="15"/>
                <w:color w:val="auto"/>
              </w:rPr>
            </w:pPr>
          </w:p>
        </w:tc>
        <w:tc>
          <w:tcPr>
            <w:tcW w:w="1720" w:type="dxa"/>
            <w:vAlign w:val="bottom"/>
            <w:tcBorders>
              <w:bottom w:val="single" w:sz="8" w:color="0000EE"/>
            </w:tcBorders>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
        </w:trPr>
        <w:tc>
          <w:tcPr>
            <w:tcW w:w="1180" w:type="dxa"/>
            <w:vAlign w:val="bottom"/>
            <w:tcBorders>
              <w:bottom w:val="single" w:sz="8" w:color="E8F0F8"/>
            </w:tcBorders>
            <w:gridSpan w:val="2"/>
            <w:vMerge w:val="continue"/>
            <w:shd w:val="clear" w:color="auto" w:fill="E8F0F8"/>
          </w:tcPr>
          <w:p>
            <w:pPr>
              <w:spacing w:after="0"/>
              <w:rPr>
                <w:sz w:val="7"/>
                <w:szCs w:val="7"/>
                <w:color w:val="auto"/>
              </w:rPr>
            </w:pPr>
          </w:p>
        </w:tc>
        <w:tc>
          <w:tcPr>
            <w:tcW w:w="40" w:type="dxa"/>
            <w:vAlign w:val="bottom"/>
            <w:tcBorders>
              <w:bottom w:val="single" w:sz="8" w:color="E8F0F8"/>
            </w:tcBorders>
            <w:shd w:val="clear" w:color="auto" w:fill="E8F0F8"/>
          </w:tcPr>
          <w:p>
            <w:pPr>
              <w:spacing w:after="0"/>
              <w:rPr>
                <w:sz w:val="7"/>
                <w:szCs w:val="7"/>
                <w:color w:val="auto"/>
              </w:rPr>
            </w:pPr>
          </w:p>
        </w:tc>
        <w:tc>
          <w:tcPr>
            <w:tcW w:w="3100" w:type="dxa"/>
            <w:vAlign w:val="bottom"/>
            <w:tcBorders>
              <w:bottom w:val="single" w:sz="8" w:color="E8F0F8"/>
            </w:tcBorders>
            <w:gridSpan w:val="10"/>
            <w:vMerge w:val="continue"/>
            <w:shd w:val="clear" w:color="auto" w:fill="E8F0F8"/>
          </w:tcPr>
          <w:p>
            <w:pPr>
              <w:spacing w:after="0"/>
              <w:rPr>
                <w:sz w:val="7"/>
                <w:szCs w:val="7"/>
                <w:color w:val="auto"/>
              </w:rPr>
            </w:pPr>
          </w:p>
        </w:tc>
        <w:tc>
          <w:tcPr>
            <w:tcW w:w="5980" w:type="dxa"/>
            <w:vAlign w:val="bottom"/>
            <w:gridSpan w:val="22"/>
          </w:tcPr>
          <w:p>
            <w:pPr>
              <w:ind w:left="260"/>
              <w:spacing w:after="0" w:line="20" w:lineRule="exact"/>
              <w:rPr>
                <w:rFonts w:ascii="Arial" w:cs="Arial" w:eastAsia="Arial" w:hAnsi="Arial"/>
                <w:sz w:val="2"/>
                <w:szCs w:val="2"/>
                <w:color w:val="0000EE"/>
              </w:rPr>
            </w:pPr>
            <w:hyperlink w:anchor="page41">
              <w:r>
                <w:rPr>
                  <w:rFonts w:ascii="Arial" w:cs="Arial" w:eastAsia="Arial" w:hAnsi="Arial"/>
                  <w:sz w:val="2"/>
                  <w:szCs w:val="2"/>
                  <w:color w:val="0000EE"/>
                </w:rPr>
                <w:t>Proposal 2 – Ratification of the Selection of Our Independent Registered Public</w:t>
              </w:r>
            </w:hyperlink>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20" w:type="dxa"/>
            <w:vAlign w:val="bottom"/>
            <w:tcBorders>
              <w:top w:val="single" w:sz="8" w:color="E8F0F8"/>
            </w:tcBorders>
            <w:shd w:val="clear" w:color="auto" w:fill="E8F0F8"/>
          </w:tcPr>
          <w:p>
            <w:pPr>
              <w:spacing w:after="0"/>
              <w:rPr>
                <w:sz w:val="5"/>
                <w:szCs w:val="5"/>
                <w:color w:val="auto"/>
              </w:rPr>
            </w:pPr>
          </w:p>
        </w:tc>
        <w:tc>
          <w:tcPr>
            <w:tcW w:w="1060" w:type="dxa"/>
            <w:vAlign w:val="bottom"/>
            <w:tcBorders>
              <w:top w:val="single" w:sz="8" w:color="E8F0F8"/>
            </w:tcBorders>
            <w:shd w:val="clear" w:color="auto" w:fill="E8F0F8"/>
          </w:tcPr>
          <w:p>
            <w:pPr>
              <w:spacing w:after="0"/>
              <w:rPr>
                <w:sz w:val="5"/>
                <w:szCs w:val="5"/>
                <w:color w:val="auto"/>
              </w:rPr>
            </w:pPr>
          </w:p>
        </w:tc>
        <w:tc>
          <w:tcPr>
            <w:tcW w:w="40" w:type="dxa"/>
            <w:vAlign w:val="bottom"/>
            <w:tcBorders>
              <w:top w:val="single" w:sz="8" w:color="E8F0F8"/>
            </w:tcBorders>
            <w:shd w:val="clear" w:color="auto" w:fill="E8F0F8"/>
          </w:tcPr>
          <w:p>
            <w:pPr>
              <w:spacing w:after="0"/>
              <w:rPr>
                <w:sz w:val="5"/>
                <w:szCs w:val="5"/>
                <w:color w:val="auto"/>
              </w:rPr>
            </w:pPr>
          </w:p>
        </w:tc>
        <w:tc>
          <w:tcPr>
            <w:tcW w:w="2140" w:type="dxa"/>
            <w:vAlign w:val="bottom"/>
            <w:tcBorders>
              <w:top w:val="single" w:sz="8" w:color="0000EE"/>
            </w:tcBorders>
            <w:gridSpan w:val="6"/>
            <w:vMerge w:val="restart"/>
            <w:shd w:val="clear" w:color="auto" w:fill="E8F0F8"/>
          </w:tcPr>
          <w:p>
            <w:pPr>
              <w:ind w:left="20"/>
              <w:spacing w:after="0" w:line="263" w:lineRule="exact"/>
              <w:rPr>
                <w:rFonts w:ascii="Arial" w:cs="Arial" w:eastAsia="Arial" w:hAnsi="Arial"/>
                <w:sz w:val="29"/>
                <w:szCs w:val="29"/>
                <w:color w:val="0000EE"/>
              </w:rPr>
            </w:pPr>
            <w:hyperlink w:anchor="page41">
              <w:r>
                <w:rPr>
                  <w:rFonts w:ascii="Arial" w:cs="Arial" w:eastAsia="Arial" w:hAnsi="Arial"/>
                  <w:sz w:val="29"/>
                  <w:szCs w:val="29"/>
                  <w:color w:val="0000EE"/>
                </w:rPr>
                <w:t>Matters</w:t>
              </w:r>
            </w:hyperlink>
          </w:p>
        </w:tc>
        <w:tc>
          <w:tcPr>
            <w:tcW w:w="960" w:type="dxa"/>
            <w:vAlign w:val="bottom"/>
            <w:tcBorders>
              <w:top w:val="single" w:sz="8" w:color="E8F0F8"/>
            </w:tcBorders>
            <w:gridSpan w:val="4"/>
            <w:vMerge w:val="restart"/>
            <w:shd w:val="clear" w:color="auto" w:fill="E8F0F8"/>
          </w:tcPr>
          <w:p>
            <w:pPr>
              <w:spacing w:after="0"/>
              <w:rPr>
                <w:sz w:val="5"/>
                <w:szCs w:val="5"/>
                <w:color w:val="auto"/>
              </w:rPr>
            </w:pPr>
          </w:p>
        </w:tc>
        <w:tc>
          <w:tcPr>
            <w:tcW w:w="5980" w:type="dxa"/>
            <w:vAlign w:val="bottom"/>
            <w:gridSpan w:val="22"/>
          </w:tcPr>
          <w:p>
            <w:pPr>
              <w:ind w:left="260"/>
              <w:spacing w:after="0" w:line="68" w:lineRule="exact"/>
              <w:rPr>
                <w:rFonts w:ascii="Arial" w:cs="Arial" w:eastAsia="Arial" w:hAnsi="Arial"/>
                <w:sz w:val="7"/>
                <w:szCs w:val="7"/>
                <w:color w:val="0000EE"/>
              </w:rPr>
            </w:pPr>
            <w:hyperlink w:anchor="page41">
              <w:r>
                <w:rPr>
                  <w:rFonts w:ascii="Arial" w:cs="Arial" w:eastAsia="Arial" w:hAnsi="Arial"/>
                  <w:sz w:val="7"/>
                  <w:szCs w:val="7"/>
                  <w:color w:val="0000EE"/>
                </w:rPr>
                <w:t>Accounting Firm</w:t>
              </w:r>
            </w:hyperlink>
          </w:p>
        </w:tc>
        <w:tc>
          <w:tcPr>
            <w:tcW w:w="720" w:type="dxa"/>
            <w:vAlign w:val="bottom"/>
          </w:tcPr>
          <w:p>
            <w:pPr>
              <w:jc w:val="right"/>
              <w:spacing w:after="0" w:line="68" w:lineRule="exact"/>
              <w:rPr>
                <w:sz w:val="20"/>
                <w:szCs w:val="20"/>
                <w:color w:val="auto"/>
              </w:rPr>
            </w:pPr>
            <w:r>
              <w:rPr>
                <w:rFonts w:ascii="Arial" w:cs="Arial" w:eastAsia="Arial" w:hAnsi="Arial"/>
                <w:sz w:val="7"/>
                <w:szCs w:val="7"/>
                <w:color w:val="1A6DBB"/>
              </w:rPr>
              <w:t>27</w:t>
            </w:r>
          </w:p>
        </w:tc>
        <w:tc>
          <w:tcPr>
            <w:tcW w:w="0" w:type="dxa"/>
            <w:vAlign w:val="bottom"/>
          </w:tcPr>
          <w:p>
            <w:pPr>
              <w:spacing w:after="0"/>
              <w:rPr>
                <w:sz w:val="1"/>
                <w:szCs w:val="1"/>
                <w:color w:val="auto"/>
              </w:rPr>
            </w:pPr>
          </w:p>
        </w:tc>
      </w:tr>
      <w:tr>
        <w:trPr>
          <w:trHeight w:val="20"/>
        </w:trPr>
        <w:tc>
          <w:tcPr>
            <w:tcW w:w="120" w:type="dxa"/>
            <w:vAlign w:val="bottom"/>
            <w:shd w:val="clear" w:color="auto" w:fill="E8F0F8"/>
          </w:tcPr>
          <w:p>
            <w:pPr>
              <w:spacing w:after="0" w:line="20" w:lineRule="exact"/>
              <w:rPr>
                <w:sz w:val="1"/>
                <w:szCs w:val="1"/>
                <w:color w:val="auto"/>
              </w:rPr>
            </w:pPr>
          </w:p>
        </w:tc>
        <w:tc>
          <w:tcPr>
            <w:tcW w:w="1060" w:type="dxa"/>
            <w:vAlign w:val="bottom"/>
            <w:shd w:val="clear" w:color="auto" w:fill="E8F0F8"/>
          </w:tcPr>
          <w:p>
            <w:pPr>
              <w:spacing w:after="0" w:line="20" w:lineRule="exact"/>
              <w:rPr>
                <w:sz w:val="1"/>
                <w:szCs w:val="1"/>
                <w:color w:val="auto"/>
              </w:rPr>
            </w:pPr>
          </w:p>
        </w:tc>
        <w:tc>
          <w:tcPr>
            <w:tcW w:w="40" w:type="dxa"/>
            <w:vAlign w:val="bottom"/>
            <w:shd w:val="clear" w:color="auto" w:fill="E8F0F8"/>
          </w:tcPr>
          <w:p>
            <w:pPr>
              <w:spacing w:after="0" w:line="20" w:lineRule="exact"/>
              <w:rPr>
                <w:sz w:val="1"/>
                <w:szCs w:val="1"/>
                <w:color w:val="auto"/>
              </w:rPr>
            </w:pPr>
          </w:p>
        </w:tc>
        <w:tc>
          <w:tcPr>
            <w:tcW w:w="2140" w:type="dxa"/>
            <w:vAlign w:val="bottom"/>
            <w:gridSpan w:val="6"/>
            <w:vMerge w:val="continue"/>
            <w:shd w:val="clear" w:color="auto" w:fill="E8F0F8"/>
          </w:tcPr>
          <w:p>
            <w:pPr>
              <w:spacing w:after="0" w:line="20" w:lineRule="exact"/>
              <w:rPr>
                <w:sz w:val="1"/>
                <w:szCs w:val="1"/>
                <w:color w:val="auto"/>
              </w:rPr>
            </w:pPr>
          </w:p>
        </w:tc>
        <w:tc>
          <w:tcPr>
            <w:tcW w:w="960" w:type="dxa"/>
            <w:vAlign w:val="bottom"/>
            <w:gridSpan w:val="4"/>
            <w:vMerge w:val="continue"/>
            <w:shd w:val="clear" w:color="auto" w:fill="E8F0F8"/>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260" w:type="dxa"/>
            <w:vAlign w:val="bottom"/>
            <w:gridSpan w:val="11"/>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Borders>
              <w:bottom w:val="single" w:sz="8" w:color="E8F0F8"/>
            </w:tcBorders>
            <w:shd w:val="clear" w:color="auto" w:fill="E8F0F8"/>
          </w:tcPr>
          <w:p>
            <w:pPr>
              <w:spacing w:after="0"/>
              <w:rPr>
                <w:sz w:val="20"/>
                <w:szCs w:val="20"/>
                <w:color w:val="auto"/>
              </w:rPr>
            </w:pPr>
          </w:p>
        </w:tc>
        <w:tc>
          <w:tcPr>
            <w:tcW w:w="1060" w:type="dxa"/>
            <w:vAlign w:val="bottom"/>
            <w:tcBorders>
              <w:bottom w:val="single" w:sz="8" w:color="E8F0F8"/>
            </w:tcBorders>
            <w:shd w:val="clear" w:color="auto" w:fill="E8F0F8"/>
          </w:tcPr>
          <w:p>
            <w:pPr>
              <w:spacing w:after="0"/>
              <w:rPr>
                <w:sz w:val="20"/>
                <w:szCs w:val="20"/>
                <w:color w:val="auto"/>
              </w:rPr>
            </w:pPr>
          </w:p>
        </w:tc>
        <w:tc>
          <w:tcPr>
            <w:tcW w:w="40" w:type="dxa"/>
            <w:vAlign w:val="bottom"/>
            <w:tcBorders>
              <w:bottom w:val="single" w:sz="8" w:color="E8F0F8"/>
            </w:tcBorders>
            <w:shd w:val="clear" w:color="auto" w:fill="E8F0F8"/>
          </w:tcPr>
          <w:p>
            <w:pPr>
              <w:spacing w:after="0"/>
              <w:rPr>
                <w:sz w:val="20"/>
                <w:szCs w:val="20"/>
                <w:color w:val="auto"/>
              </w:rPr>
            </w:pPr>
          </w:p>
        </w:tc>
        <w:tc>
          <w:tcPr>
            <w:tcW w:w="2140" w:type="dxa"/>
            <w:vAlign w:val="bottom"/>
            <w:tcBorders>
              <w:bottom w:val="single" w:sz="8" w:color="0000EE"/>
            </w:tcBorders>
            <w:gridSpan w:val="6"/>
            <w:vMerge w:val="continue"/>
            <w:shd w:val="clear" w:color="auto" w:fill="E8F0F8"/>
          </w:tcPr>
          <w:p>
            <w:pPr>
              <w:spacing w:after="0"/>
              <w:rPr>
                <w:sz w:val="20"/>
                <w:szCs w:val="20"/>
                <w:color w:val="auto"/>
              </w:rPr>
            </w:pPr>
          </w:p>
        </w:tc>
        <w:tc>
          <w:tcPr>
            <w:tcW w:w="960" w:type="dxa"/>
            <w:vAlign w:val="bottom"/>
            <w:tcBorders>
              <w:bottom w:val="single" w:sz="8" w:color="E8F0F8"/>
            </w:tcBorders>
            <w:gridSpan w:val="4"/>
            <w:vMerge w:val="continue"/>
            <w:shd w:val="clear" w:color="auto" w:fill="E8F0F8"/>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Borders>
              <w:bottom w:val="single" w:sz="8" w:color="0000EE"/>
            </w:tcBorders>
            <w:gridSpan w:val="9"/>
          </w:tcPr>
          <w:p>
            <w:pPr>
              <w:spacing w:after="0" w:line="169" w:lineRule="exact"/>
              <w:rPr>
                <w:rFonts w:ascii="Arial" w:cs="Arial" w:eastAsia="Arial" w:hAnsi="Arial"/>
                <w:sz w:val="16"/>
                <w:szCs w:val="16"/>
                <w:color w:val="0000EE"/>
                <w:w w:val="97"/>
              </w:rPr>
            </w:pPr>
            <w:hyperlink w:anchor="page42">
              <w:r>
                <w:rPr>
                  <w:rFonts w:ascii="Arial" w:cs="Arial" w:eastAsia="Arial" w:hAnsi="Arial"/>
                  <w:sz w:val="16"/>
                  <w:szCs w:val="16"/>
                  <w:color w:val="0000EE"/>
                  <w:w w:val="97"/>
                </w:rPr>
                <w:t>Audit Committee Report</w:t>
              </w:r>
            </w:hyperlink>
          </w:p>
        </w:tc>
        <w:tc>
          <w:tcPr>
            <w:tcW w:w="2260" w:type="dxa"/>
            <w:vAlign w:val="bottom"/>
            <w:gridSpan w:val="11"/>
          </w:tcPr>
          <w:p>
            <w:pPr>
              <w:spacing w:after="0"/>
              <w:rPr>
                <w:sz w:val="20"/>
                <w:szCs w:val="20"/>
                <w:color w:val="auto"/>
              </w:rPr>
            </w:pPr>
          </w:p>
        </w:tc>
        <w:tc>
          <w:tcPr>
            <w:tcW w:w="1720" w:type="dxa"/>
            <w:vAlign w:val="bottom"/>
          </w:tcPr>
          <w:p>
            <w:pPr>
              <w:spacing w:after="0"/>
              <w:rPr>
                <w:sz w:val="20"/>
                <w:szCs w:val="20"/>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35"/>
        </w:trPr>
        <w:tc>
          <w:tcPr>
            <w:tcW w:w="120" w:type="dxa"/>
            <w:vAlign w:val="bottom"/>
            <w:tcBorders>
              <w:bottom w:val="single" w:sz="8" w:color="E8F0F8"/>
            </w:tcBorders>
            <w:shd w:val="clear" w:color="auto" w:fill="E8F0F8"/>
          </w:tcPr>
          <w:p>
            <w:pPr>
              <w:spacing w:after="0"/>
              <w:rPr>
                <w:sz w:val="11"/>
                <w:szCs w:val="11"/>
                <w:color w:val="auto"/>
              </w:rPr>
            </w:pPr>
          </w:p>
        </w:tc>
        <w:tc>
          <w:tcPr>
            <w:tcW w:w="1060" w:type="dxa"/>
            <w:vAlign w:val="bottom"/>
            <w:tcBorders>
              <w:bottom w:val="single" w:sz="8" w:color="E8F0F8"/>
            </w:tcBorders>
            <w:shd w:val="clear" w:color="auto" w:fill="E8F0F8"/>
          </w:tcPr>
          <w:p>
            <w:pPr>
              <w:spacing w:after="0"/>
              <w:rPr>
                <w:sz w:val="11"/>
                <w:szCs w:val="11"/>
                <w:color w:val="auto"/>
              </w:rPr>
            </w:pPr>
          </w:p>
        </w:tc>
        <w:tc>
          <w:tcPr>
            <w:tcW w:w="40" w:type="dxa"/>
            <w:vAlign w:val="bottom"/>
            <w:tcBorders>
              <w:bottom w:val="single" w:sz="8" w:color="E8F0F8"/>
            </w:tcBorders>
            <w:shd w:val="clear" w:color="auto" w:fill="E8F0F8"/>
          </w:tcPr>
          <w:p>
            <w:pPr>
              <w:spacing w:after="0"/>
              <w:rPr>
                <w:sz w:val="11"/>
                <w:szCs w:val="11"/>
                <w:color w:val="auto"/>
              </w:rPr>
            </w:pPr>
          </w:p>
        </w:tc>
        <w:tc>
          <w:tcPr>
            <w:tcW w:w="840" w:type="dxa"/>
            <w:vAlign w:val="bottom"/>
            <w:tcBorders>
              <w:bottom w:val="single" w:sz="8" w:color="E8F0F8"/>
            </w:tcBorders>
            <w:shd w:val="clear" w:color="auto" w:fill="E8F0F8"/>
          </w:tcPr>
          <w:p>
            <w:pPr>
              <w:spacing w:after="0"/>
              <w:rPr>
                <w:sz w:val="11"/>
                <w:szCs w:val="11"/>
                <w:color w:val="auto"/>
              </w:rPr>
            </w:pPr>
          </w:p>
        </w:tc>
        <w:tc>
          <w:tcPr>
            <w:tcW w:w="60" w:type="dxa"/>
            <w:vAlign w:val="bottom"/>
            <w:tcBorders>
              <w:bottom w:val="single" w:sz="8" w:color="E8F0F8"/>
            </w:tcBorders>
            <w:shd w:val="clear" w:color="auto" w:fill="E8F0F8"/>
          </w:tcPr>
          <w:p>
            <w:pPr>
              <w:spacing w:after="0"/>
              <w:rPr>
                <w:sz w:val="11"/>
                <w:szCs w:val="11"/>
                <w:color w:val="auto"/>
              </w:rPr>
            </w:pPr>
          </w:p>
        </w:tc>
        <w:tc>
          <w:tcPr>
            <w:tcW w:w="60" w:type="dxa"/>
            <w:vAlign w:val="bottom"/>
            <w:tcBorders>
              <w:bottom w:val="single" w:sz="8" w:color="E8F0F8"/>
            </w:tcBorders>
            <w:shd w:val="clear" w:color="auto" w:fill="E8F0F8"/>
          </w:tcPr>
          <w:p>
            <w:pPr>
              <w:spacing w:after="0"/>
              <w:rPr>
                <w:sz w:val="11"/>
                <w:szCs w:val="11"/>
                <w:color w:val="auto"/>
              </w:rPr>
            </w:pPr>
          </w:p>
        </w:tc>
        <w:tc>
          <w:tcPr>
            <w:tcW w:w="320" w:type="dxa"/>
            <w:vAlign w:val="bottom"/>
            <w:tcBorders>
              <w:bottom w:val="single" w:sz="8" w:color="E8F0F8"/>
            </w:tcBorders>
            <w:shd w:val="clear" w:color="auto" w:fill="E8F0F8"/>
          </w:tcPr>
          <w:p>
            <w:pPr>
              <w:spacing w:after="0"/>
              <w:rPr>
                <w:sz w:val="11"/>
                <w:szCs w:val="11"/>
                <w:color w:val="auto"/>
              </w:rPr>
            </w:pPr>
          </w:p>
        </w:tc>
        <w:tc>
          <w:tcPr>
            <w:tcW w:w="620" w:type="dxa"/>
            <w:vAlign w:val="bottom"/>
            <w:tcBorders>
              <w:bottom w:val="single" w:sz="8" w:color="E8F0F8"/>
            </w:tcBorders>
            <w:shd w:val="clear" w:color="auto" w:fill="E8F0F8"/>
          </w:tcPr>
          <w:p>
            <w:pPr>
              <w:spacing w:after="0"/>
              <w:rPr>
                <w:sz w:val="11"/>
                <w:szCs w:val="11"/>
                <w:color w:val="auto"/>
              </w:rPr>
            </w:pPr>
          </w:p>
        </w:tc>
        <w:tc>
          <w:tcPr>
            <w:tcW w:w="240" w:type="dxa"/>
            <w:vAlign w:val="bottom"/>
            <w:tcBorders>
              <w:bottom w:val="single" w:sz="8" w:color="E8F0F8"/>
            </w:tcBorders>
            <w:shd w:val="clear" w:color="auto" w:fill="E8F0F8"/>
          </w:tcPr>
          <w:p>
            <w:pPr>
              <w:spacing w:after="0"/>
              <w:rPr>
                <w:sz w:val="11"/>
                <w:szCs w:val="11"/>
                <w:color w:val="auto"/>
              </w:rPr>
            </w:pPr>
          </w:p>
        </w:tc>
        <w:tc>
          <w:tcPr>
            <w:tcW w:w="180" w:type="dxa"/>
            <w:vAlign w:val="bottom"/>
            <w:tcBorders>
              <w:bottom w:val="single" w:sz="8" w:color="E8F0F8"/>
            </w:tcBorders>
            <w:shd w:val="clear" w:color="auto" w:fill="E8F0F8"/>
          </w:tcPr>
          <w:p>
            <w:pPr>
              <w:spacing w:after="0"/>
              <w:rPr>
                <w:sz w:val="11"/>
                <w:szCs w:val="11"/>
                <w:color w:val="auto"/>
              </w:rPr>
            </w:pPr>
          </w:p>
        </w:tc>
        <w:tc>
          <w:tcPr>
            <w:tcW w:w="20" w:type="dxa"/>
            <w:vAlign w:val="bottom"/>
            <w:tcBorders>
              <w:bottom w:val="single" w:sz="8" w:color="E8F0F8"/>
            </w:tcBorders>
            <w:shd w:val="clear" w:color="auto" w:fill="E8F0F8"/>
          </w:tcPr>
          <w:p>
            <w:pPr>
              <w:spacing w:after="0"/>
              <w:rPr>
                <w:sz w:val="11"/>
                <w:szCs w:val="11"/>
                <w:color w:val="auto"/>
              </w:rPr>
            </w:pPr>
          </w:p>
        </w:tc>
        <w:tc>
          <w:tcPr>
            <w:tcW w:w="220" w:type="dxa"/>
            <w:vAlign w:val="bottom"/>
            <w:tcBorders>
              <w:bottom w:val="single" w:sz="8" w:color="E8F0F8"/>
            </w:tcBorders>
            <w:shd w:val="clear" w:color="auto" w:fill="E8F0F8"/>
          </w:tcPr>
          <w:p>
            <w:pPr>
              <w:spacing w:after="0"/>
              <w:rPr>
                <w:sz w:val="11"/>
                <w:szCs w:val="11"/>
                <w:color w:val="auto"/>
              </w:rPr>
            </w:pPr>
          </w:p>
        </w:tc>
        <w:tc>
          <w:tcPr>
            <w:tcW w:w="540" w:type="dxa"/>
            <w:vAlign w:val="bottom"/>
            <w:tcBorders>
              <w:bottom w:val="single" w:sz="8" w:color="E8F0F8"/>
            </w:tcBorders>
            <w:shd w:val="clear" w:color="auto" w:fill="E8F0F8"/>
          </w:tcPr>
          <w:p>
            <w:pPr>
              <w:spacing w:after="0"/>
              <w:rPr>
                <w:sz w:val="11"/>
                <w:szCs w:val="11"/>
                <w:color w:val="auto"/>
              </w:rPr>
            </w:pPr>
          </w:p>
        </w:tc>
        <w:tc>
          <w:tcPr>
            <w:tcW w:w="320" w:type="dxa"/>
            <w:vAlign w:val="bottom"/>
          </w:tcPr>
          <w:p>
            <w:pPr>
              <w:spacing w:after="0"/>
              <w:rPr>
                <w:sz w:val="11"/>
                <w:szCs w:val="11"/>
                <w:color w:val="auto"/>
              </w:rPr>
            </w:pPr>
          </w:p>
        </w:tc>
        <w:tc>
          <w:tcPr>
            <w:tcW w:w="1500" w:type="dxa"/>
            <w:vAlign w:val="bottom"/>
            <w:tcBorders>
              <w:bottom w:val="single" w:sz="8" w:color="0000EE"/>
            </w:tcBorders>
            <w:gridSpan w:val="4"/>
          </w:tcPr>
          <w:p>
            <w:pPr>
              <w:spacing w:after="0" w:line="135" w:lineRule="exact"/>
              <w:rPr>
                <w:rFonts w:ascii="Arial" w:cs="Arial" w:eastAsia="Arial" w:hAnsi="Arial"/>
                <w:sz w:val="15"/>
                <w:szCs w:val="15"/>
                <w:color w:val="0000EE"/>
              </w:rPr>
            </w:pPr>
            <w:hyperlink w:anchor="page43">
              <w:r>
                <w:rPr>
                  <w:rFonts w:ascii="Arial" w:cs="Arial" w:eastAsia="Arial" w:hAnsi="Arial"/>
                  <w:sz w:val="15"/>
                  <w:szCs w:val="15"/>
                  <w:color w:val="0000EE"/>
                </w:rPr>
                <w:t>Audit and Other Fees</w:t>
              </w:r>
            </w:hyperlink>
          </w:p>
        </w:tc>
        <w:tc>
          <w:tcPr>
            <w:tcW w:w="4160" w:type="dxa"/>
            <w:vAlign w:val="bottom"/>
            <w:gridSpan w:val="17"/>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183"/>
        </w:trPr>
        <w:tc>
          <w:tcPr>
            <w:tcW w:w="120" w:type="dxa"/>
            <w:vAlign w:val="bottom"/>
            <w:shd w:val="clear" w:color="auto" w:fill="E8F0F8"/>
          </w:tcPr>
          <w:p>
            <w:pPr>
              <w:spacing w:after="0"/>
              <w:rPr>
                <w:sz w:val="15"/>
                <w:szCs w:val="15"/>
                <w:color w:val="auto"/>
              </w:rPr>
            </w:pPr>
          </w:p>
        </w:tc>
        <w:tc>
          <w:tcPr>
            <w:tcW w:w="1060" w:type="dxa"/>
            <w:vAlign w:val="bottom"/>
            <w:shd w:val="clear" w:color="auto" w:fill="E8F0F8"/>
          </w:tcPr>
          <w:p>
            <w:pPr>
              <w:spacing w:after="0"/>
              <w:rPr>
                <w:sz w:val="15"/>
                <w:szCs w:val="15"/>
                <w:color w:val="auto"/>
              </w:rPr>
            </w:pPr>
          </w:p>
        </w:tc>
        <w:tc>
          <w:tcPr>
            <w:tcW w:w="40" w:type="dxa"/>
            <w:vAlign w:val="bottom"/>
            <w:shd w:val="clear" w:color="auto" w:fill="E8F0F8"/>
          </w:tcPr>
          <w:p>
            <w:pPr>
              <w:spacing w:after="0"/>
              <w:rPr>
                <w:sz w:val="15"/>
                <w:szCs w:val="15"/>
                <w:color w:val="auto"/>
              </w:rPr>
            </w:pPr>
          </w:p>
        </w:tc>
        <w:tc>
          <w:tcPr>
            <w:tcW w:w="840" w:type="dxa"/>
            <w:vAlign w:val="bottom"/>
            <w:shd w:val="clear" w:color="auto" w:fill="E8F0F8"/>
          </w:tcPr>
          <w:p>
            <w:pPr>
              <w:spacing w:after="0"/>
              <w:rPr>
                <w:sz w:val="15"/>
                <w:szCs w:val="15"/>
                <w:color w:val="auto"/>
              </w:rPr>
            </w:pPr>
          </w:p>
        </w:tc>
        <w:tc>
          <w:tcPr>
            <w:tcW w:w="60" w:type="dxa"/>
            <w:vAlign w:val="bottom"/>
            <w:shd w:val="clear" w:color="auto" w:fill="E8F0F8"/>
          </w:tcPr>
          <w:p>
            <w:pPr>
              <w:spacing w:after="0"/>
              <w:rPr>
                <w:sz w:val="15"/>
                <w:szCs w:val="15"/>
                <w:color w:val="auto"/>
              </w:rPr>
            </w:pPr>
          </w:p>
        </w:tc>
        <w:tc>
          <w:tcPr>
            <w:tcW w:w="60" w:type="dxa"/>
            <w:vAlign w:val="bottom"/>
            <w:shd w:val="clear" w:color="auto" w:fill="E8F0F8"/>
          </w:tcPr>
          <w:p>
            <w:pPr>
              <w:spacing w:after="0"/>
              <w:rPr>
                <w:sz w:val="15"/>
                <w:szCs w:val="15"/>
                <w:color w:val="auto"/>
              </w:rPr>
            </w:pPr>
          </w:p>
        </w:tc>
        <w:tc>
          <w:tcPr>
            <w:tcW w:w="320" w:type="dxa"/>
            <w:vAlign w:val="bottom"/>
            <w:shd w:val="clear" w:color="auto" w:fill="E8F0F8"/>
          </w:tcPr>
          <w:p>
            <w:pPr>
              <w:spacing w:after="0"/>
              <w:rPr>
                <w:sz w:val="15"/>
                <w:szCs w:val="15"/>
                <w:color w:val="auto"/>
              </w:rPr>
            </w:pPr>
          </w:p>
        </w:tc>
        <w:tc>
          <w:tcPr>
            <w:tcW w:w="620" w:type="dxa"/>
            <w:vAlign w:val="bottom"/>
            <w:shd w:val="clear" w:color="auto" w:fill="E8F0F8"/>
          </w:tcPr>
          <w:p>
            <w:pPr>
              <w:spacing w:after="0"/>
              <w:rPr>
                <w:sz w:val="15"/>
                <w:szCs w:val="15"/>
                <w:color w:val="auto"/>
              </w:rPr>
            </w:pPr>
          </w:p>
        </w:tc>
        <w:tc>
          <w:tcPr>
            <w:tcW w:w="240" w:type="dxa"/>
            <w:vAlign w:val="bottom"/>
            <w:shd w:val="clear" w:color="auto" w:fill="E8F0F8"/>
          </w:tcPr>
          <w:p>
            <w:pPr>
              <w:spacing w:after="0"/>
              <w:rPr>
                <w:sz w:val="15"/>
                <w:szCs w:val="15"/>
                <w:color w:val="auto"/>
              </w:rPr>
            </w:pPr>
          </w:p>
        </w:tc>
        <w:tc>
          <w:tcPr>
            <w:tcW w:w="180" w:type="dxa"/>
            <w:vAlign w:val="bottom"/>
            <w:shd w:val="clear" w:color="auto" w:fill="E8F0F8"/>
          </w:tcPr>
          <w:p>
            <w:pPr>
              <w:spacing w:after="0"/>
              <w:rPr>
                <w:sz w:val="15"/>
                <w:szCs w:val="15"/>
                <w:color w:val="auto"/>
              </w:rPr>
            </w:pPr>
          </w:p>
        </w:tc>
        <w:tc>
          <w:tcPr>
            <w:tcW w:w="20" w:type="dxa"/>
            <w:vAlign w:val="bottom"/>
            <w:shd w:val="clear" w:color="auto" w:fill="E8F0F8"/>
          </w:tcPr>
          <w:p>
            <w:pPr>
              <w:spacing w:after="0"/>
              <w:rPr>
                <w:sz w:val="15"/>
                <w:szCs w:val="15"/>
                <w:color w:val="auto"/>
              </w:rPr>
            </w:pPr>
          </w:p>
        </w:tc>
        <w:tc>
          <w:tcPr>
            <w:tcW w:w="220" w:type="dxa"/>
            <w:vAlign w:val="bottom"/>
            <w:shd w:val="clear" w:color="auto" w:fill="E8F0F8"/>
          </w:tcPr>
          <w:p>
            <w:pPr>
              <w:spacing w:after="0"/>
              <w:rPr>
                <w:sz w:val="15"/>
                <w:szCs w:val="15"/>
                <w:color w:val="auto"/>
              </w:rPr>
            </w:pPr>
          </w:p>
        </w:tc>
        <w:tc>
          <w:tcPr>
            <w:tcW w:w="540" w:type="dxa"/>
            <w:vAlign w:val="bottom"/>
            <w:shd w:val="clear" w:color="auto" w:fill="E8F0F8"/>
          </w:tcPr>
          <w:p>
            <w:pPr>
              <w:spacing w:after="0"/>
              <w:rPr>
                <w:sz w:val="15"/>
                <w:szCs w:val="15"/>
                <w:color w:val="auto"/>
              </w:rPr>
            </w:pPr>
          </w:p>
        </w:tc>
        <w:tc>
          <w:tcPr>
            <w:tcW w:w="320" w:type="dxa"/>
            <w:vAlign w:val="bottom"/>
          </w:tcPr>
          <w:p>
            <w:pPr>
              <w:spacing w:after="0"/>
              <w:rPr>
                <w:sz w:val="15"/>
                <w:szCs w:val="15"/>
                <w:color w:val="auto"/>
              </w:rPr>
            </w:pPr>
          </w:p>
        </w:tc>
        <w:tc>
          <w:tcPr>
            <w:tcW w:w="5660" w:type="dxa"/>
            <w:vAlign w:val="bottom"/>
            <w:gridSpan w:val="21"/>
          </w:tcPr>
          <w:p>
            <w:pPr>
              <w:spacing w:after="0" w:line="183" w:lineRule="exact"/>
              <w:rPr>
                <w:rFonts w:ascii="Arial" w:cs="Arial" w:eastAsia="Arial" w:hAnsi="Arial"/>
                <w:sz w:val="16"/>
                <w:szCs w:val="16"/>
                <w:color w:val="0000EE"/>
              </w:rPr>
            </w:pPr>
            <w:hyperlink w:anchor="page43">
              <w:r>
                <w:rPr>
                  <w:rFonts w:ascii="Arial" w:cs="Arial" w:eastAsia="Arial" w:hAnsi="Arial"/>
                  <w:sz w:val="16"/>
                  <w:szCs w:val="16"/>
                  <w:color w:val="0000EE"/>
                </w:rPr>
                <w:t>Policy on Pre-Approval of Audit and Non-Audit Services</w:t>
              </w:r>
            </w:hyperlink>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750"/>
        </w:trPr>
        <w:tc>
          <w:tcPr>
            <w:tcW w:w="120" w:type="dxa"/>
            <w:vAlign w:val="bottom"/>
            <w:tcBorders>
              <w:top w:val="single" w:sz="8" w:color="E8F0F8"/>
              <w:bottom w:val="single" w:sz="8" w:color="auto"/>
            </w:tcBorders>
            <w:shd w:val="clear" w:color="auto" w:fill="E8F0F8"/>
          </w:tcPr>
          <w:p>
            <w:pPr>
              <w:spacing w:after="0"/>
              <w:rPr>
                <w:sz w:val="24"/>
                <w:szCs w:val="24"/>
                <w:color w:val="auto"/>
              </w:rPr>
            </w:pPr>
          </w:p>
        </w:tc>
        <w:tc>
          <w:tcPr>
            <w:tcW w:w="1060" w:type="dxa"/>
            <w:vAlign w:val="bottom"/>
            <w:tcBorders>
              <w:top w:val="single" w:sz="8" w:color="E8F0F8"/>
              <w:bottom w:val="single" w:sz="8" w:color="auto"/>
            </w:tcBorders>
            <w:shd w:val="clear" w:color="auto" w:fill="E8F0F8"/>
          </w:tcPr>
          <w:p>
            <w:pPr>
              <w:spacing w:after="0"/>
              <w:rPr>
                <w:sz w:val="24"/>
                <w:szCs w:val="24"/>
                <w:color w:val="auto"/>
              </w:rPr>
            </w:pPr>
          </w:p>
        </w:tc>
        <w:tc>
          <w:tcPr>
            <w:tcW w:w="40" w:type="dxa"/>
            <w:vAlign w:val="bottom"/>
            <w:tcBorders>
              <w:top w:val="single" w:sz="8" w:color="E8F0F8"/>
              <w:bottom w:val="single" w:sz="8" w:color="auto"/>
            </w:tcBorders>
            <w:shd w:val="clear" w:color="auto" w:fill="E8F0F8"/>
          </w:tcPr>
          <w:p>
            <w:pPr>
              <w:spacing w:after="0"/>
              <w:rPr>
                <w:sz w:val="24"/>
                <w:szCs w:val="24"/>
                <w:color w:val="auto"/>
              </w:rPr>
            </w:pPr>
          </w:p>
        </w:tc>
        <w:tc>
          <w:tcPr>
            <w:tcW w:w="840" w:type="dxa"/>
            <w:vAlign w:val="bottom"/>
            <w:tcBorders>
              <w:top w:val="single" w:sz="8" w:color="E8F0F8"/>
              <w:bottom w:val="single" w:sz="8" w:color="auto"/>
            </w:tcBorders>
            <w:shd w:val="clear" w:color="auto" w:fill="E8F0F8"/>
          </w:tcPr>
          <w:p>
            <w:pPr>
              <w:spacing w:after="0"/>
              <w:rPr>
                <w:sz w:val="24"/>
                <w:szCs w:val="24"/>
                <w:color w:val="auto"/>
              </w:rPr>
            </w:pPr>
          </w:p>
        </w:tc>
        <w:tc>
          <w:tcPr>
            <w:tcW w:w="60" w:type="dxa"/>
            <w:vAlign w:val="bottom"/>
            <w:tcBorders>
              <w:top w:val="single" w:sz="8" w:color="E8F0F8"/>
              <w:bottom w:val="single" w:sz="8" w:color="auto"/>
            </w:tcBorders>
            <w:shd w:val="clear" w:color="auto" w:fill="E8F0F8"/>
          </w:tcPr>
          <w:p>
            <w:pPr>
              <w:spacing w:after="0"/>
              <w:rPr>
                <w:sz w:val="24"/>
                <w:szCs w:val="24"/>
                <w:color w:val="auto"/>
              </w:rPr>
            </w:pPr>
          </w:p>
        </w:tc>
        <w:tc>
          <w:tcPr>
            <w:tcW w:w="60" w:type="dxa"/>
            <w:vAlign w:val="bottom"/>
            <w:tcBorders>
              <w:top w:val="single" w:sz="8" w:color="E8F0F8"/>
              <w:bottom w:val="single" w:sz="8" w:color="auto"/>
            </w:tcBorders>
            <w:shd w:val="clear" w:color="auto" w:fill="E8F0F8"/>
          </w:tcPr>
          <w:p>
            <w:pPr>
              <w:spacing w:after="0"/>
              <w:rPr>
                <w:sz w:val="24"/>
                <w:szCs w:val="24"/>
                <w:color w:val="auto"/>
              </w:rPr>
            </w:pPr>
          </w:p>
        </w:tc>
        <w:tc>
          <w:tcPr>
            <w:tcW w:w="320" w:type="dxa"/>
            <w:vAlign w:val="bottom"/>
            <w:tcBorders>
              <w:top w:val="single" w:sz="8" w:color="E8F0F8"/>
              <w:bottom w:val="single" w:sz="8" w:color="auto"/>
            </w:tcBorders>
            <w:shd w:val="clear" w:color="auto" w:fill="E8F0F8"/>
          </w:tcPr>
          <w:p>
            <w:pPr>
              <w:spacing w:after="0"/>
              <w:rPr>
                <w:sz w:val="24"/>
                <w:szCs w:val="24"/>
                <w:color w:val="auto"/>
              </w:rPr>
            </w:pPr>
          </w:p>
        </w:tc>
        <w:tc>
          <w:tcPr>
            <w:tcW w:w="620" w:type="dxa"/>
            <w:vAlign w:val="bottom"/>
            <w:tcBorders>
              <w:top w:val="single" w:sz="8" w:color="E8F0F8"/>
              <w:bottom w:val="single" w:sz="8" w:color="auto"/>
            </w:tcBorders>
            <w:shd w:val="clear" w:color="auto" w:fill="E8F0F8"/>
          </w:tcPr>
          <w:p>
            <w:pPr>
              <w:spacing w:after="0"/>
              <w:rPr>
                <w:sz w:val="24"/>
                <w:szCs w:val="24"/>
                <w:color w:val="auto"/>
              </w:rPr>
            </w:pPr>
          </w:p>
        </w:tc>
        <w:tc>
          <w:tcPr>
            <w:tcW w:w="240" w:type="dxa"/>
            <w:vAlign w:val="bottom"/>
            <w:tcBorders>
              <w:top w:val="single" w:sz="8" w:color="E8F0F8"/>
              <w:bottom w:val="single" w:sz="8" w:color="auto"/>
            </w:tcBorders>
            <w:shd w:val="clear" w:color="auto" w:fill="E8F0F8"/>
          </w:tcPr>
          <w:p>
            <w:pPr>
              <w:spacing w:after="0"/>
              <w:rPr>
                <w:sz w:val="24"/>
                <w:szCs w:val="24"/>
                <w:color w:val="auto"/>
              </w:rPr>
            </w:pPr>
          </w:p>
        </w:tc>
        <w:tc>
          <w:tcPr>
            <w:tcW w:w="180" w:type="dxa"/>
            <w:vAlign w:val="bottom"/>
            <w:tcBorders>
              <w:top w:val="single" w:sz="8" w:color="E8F0F8"/>
              <w:bottom w:val="single" w:sz="8" w:color="auto"/>
            </w:tcBorders>
            <w:shd w:val="clear" w:color="auto" w:fill="E8F0F8"/>
          </w:tcPr>
          <w:p>
            <w:pPr>
              <w:spacing w:after="0"/>
              <w:rPr>
                <w:sz w:val="24"/>
                <w:szCs w:val="24"/>
                <w:color w:val="auto"/>
              </w:rPr>
            </w:pPr>
          </w:p>
        </w:tc>
        <w:tc>
          <w:tcPr>
            <w:tcW w:w="20" w:type="dxa"/>
            <w:vAlign w:val="bottom"/>
            <w:tcBorders>
              <w:top w:val="single" w:sz="8" w:color="E8F0F8"/>
              <w:bottom w:val="single" w:sz="8" w:color="auto"/>
            </w:tcBorders>
            <w:shd w:val="clear" w:color="auto" w:fill="E8F0F8"/>
          </w:tcPr>
          <w:p>
            <w:pPr>
              <w:spacing w:after="0"/>
              <w:rPr>
                <w:sz w:val="24"/>
                <w:szCs w:val="24"/>
                <w:color w:val="auto"/>
              </w:rPr>
            </w:pPr>
          </w:p>
        </w:tc>
        <w:tc>
          <w:tcPr>
            <w:tcW w:w="220" w:type="dxa"/>
            <w:vAlign w:val="bottom"/>
            <w:tcBorders>
              <w:top w:val="single" w:sz="8" w:color="E8F0F8"/>
              <w:bottom w:val="single" w:sz="8" w:color="auto"/>
            </w:tcBorders>
            <w:shd w:val="clear" w:color="auto" w:fill="E8F0F8"/>
          </w:tcPr>
          <w:p>
            <w:pPr>
              <w:spacing w:after="0"/>
              <w:rPr>
                <w:sz w:val="24"/>
                <w:szCs w:val="24"/>
                <w:color w:val="auto"/>
              </w:rPr>
            </w:pPr>
          </w:p>
        </w:tc>
        <w:tc>
          <w:tcPr>
            <w:tcW w:w="540" w:type="dxa"/>
            <w:vAlign w:val="bottom"/>
            <w:tcBorders>
              <w:top w:val="single" w:sz="8" w:color="E8F0F8"/>
              <w:bottom w:val="single" w:sz="8" w:color="auto"/>
            </w:tcBorders>
            <w:shd w:val="clear" w:color="auto" w:fill="E8F0F8"/>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85725</wp:posOffset>
            </wp:positionV>
            <wp:extent cx="179705" cy="213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9705" cy="213995"/>
                    </a:xfrm>
                    <a:prstGeom prst="rect">
                      <a:avLst/>
                    </a:prstGeom>
                    <a:noFill/>
                  </pic:spPr>
                </pic:pic>
              </a:graphicData>
            </a:graphic>
          </wp:anchor>
        </w:drawing>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2"/>
          <w:szCs w:val="12"/>
          <w:color w:val="1A6DB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-78105</wp:posOffset>
            </wp:positionV>
            <wp:extent cx="42037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0370" cy="13716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2"/>
          <w:szCs w:val="12"/>
          <w:color w:val="1A6DBB"/>
        </w:rPr>
        <w:t>i-</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0"/>
        <w:spacing w:after="0"/>
        <w:rPr>
          <w:sz w:val="20"/>
          <w:szCs w:val="20"/>
          <w:color w:val="auto"/>
        </w:rPr>
      </w:pPr>
      <w:r>
        <w:rPr>
          <w:rFonts w:ascii="Arial" w:cs="Arial" w:eastAsia="Arial" w:hAnsi="Arial"/>
          <w:sz w:val="41"/>
          <w:szCs w:val="41"/>
          <w:color w:val="1A6DBB"/>
        </w:rPr>
        <w:t xml:space="preserve">Proxy Statement Table of Contents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25400</wp:posOffset>
            </wp:positionV>
            <wp:extent cx="6997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8" w:lineRule="exact"/>
        <w:rPr>
          <w:sz w:val="20"/>
          <w:szCs w:val="20"/>
          <w:color w:val="auto"/>
        </w:rPr>
      </w:pPr>
    </w:p>
    <w:tbl>
      <w:tblPr>
        <w:tblLayout w:type="fixed"/>
        <w:tblInd w:w="220" w:type="dxa"/>
        <w:tblCellMar>
          <w:top w:w="0" w:type="dxa"/>
          <w:left w:w="0" w:type="dxa"/>
          <w:bottom w:w="0" w:type="dxa"/>
          <w:right w:w="0" w:type="dxa"/>
        </w:tblCellMar>
      </w:tblPr>
      <w:tr>
        <w:trPr>
          <w:trHeight w:val="15"/>
        </w:trPr>
        <w:tc>
          <w:tcPr>
            <w:tcW w:w="1080" w:type="dxa"/>
            <w:vAlign w:val="bottom"/>
            <w:tcBorders>
              <w:top w:val="single" w:sz="8" w:color="1A6DBB"/>
            </w:tcBorders>
            <w:gridSpan w:val="2"/>
            <w:vMerge w:val="restart"/>
            <w:shd w:val="clear" w:color="auto" w:fill="E8F0F8"/>
          </w:tcPr>
          <w:p>
            <w:pPr>
              <w:ind w:left="140"/>
              <w:spacing w:after="0" w:line="1498" w:lineRule="exact"/>
              <w:rPr>
                <w:sz w:val="20"/>
                <w:szCs w:val="20"/>
                <w:color w:val="auto"/>
              </w:rPr>
            </w:pPr>
            <w:r>
              <w:rPr>
                <w:rFonts w:ascii="Arial" w:cs="Arial" w:eastAsia="Arial" w:hAnsi="Arial"/>
                <w:sz w:val="144"/>
                <w:szCs w:val="144"/>
                <w:color w:val="1A6DBB"/>
              </w:rPr>
              <w:t>5</w:t>
            </w:r>
          </w:p>
        </w:tc>
        <w:tc>
          <w:tcPr>
            <w:tcW w:w="60" w:type="dxa"/>
            <w:vAlign w:val="bottom"/>
            <w:tcBorders>
              <w:top w:val="single" w:sz="8" w:color="1A6DBB"/>
            </w:tcBorders>
            <w:shd w:val="clear" w:color="auto" w:fill="E8F0F8"/>
          </w:tcPr>
          <w:p>
            <w:pPr>
              <w:spacing w:after="0" w:line="20" w:lineRule="exact"/>
              <w:rPr>
                <w:sz w:val="1"/>
                <w:szCs w:val="1"/>
                <w:color w:val="auto"/>
              </w:rPr>
            </w:pPr>
          </w:p>
        </w:tc>
        <w:tc>
          <w:tcPr>
            <w:tcW w:w="4220" w:type="dxa"/>
            <w:vAlign w:val="bottom"/>
            <w:tcBorders>
              <w:top w:val="single" w:sz="8" w:color="1A6DBB"/>
              <w:right w:val="single" w:sz="8" w:color="E8F0F8"/>
            </w:tcBorders>
            <w:gridSpan w:val="2"/>
            <w:shd w:val="clear" w:color="auto" w:fill="E8F0F8"/>
          </w:tcPr>
          <w:p>
            <w:pPr>
              <w:spacing w:after="0"/>
              <w:rPr>
                <w:sz w:val="20"/>
                <w:szCs w:val="20"/>
                <w:color w:val="auto"/>
              </w:rPr>
            </w:pPr>
            <w:r>
              <w:rPr>
                <w:rFonts w:ascii="Arial" w:cs="Arial" w:eastAsia="Arial" w:hAnsi="Arial"/>
                <w:sz w:val="1"/>
                <w:szCs w:val="1"/>
                <w:color w:val="0000EE"/>
              </w:rPr>
              <w:t>Executive Compensation Matters</w:t>
            </w:r>
          </w:p>
        </w:tc>
        <w:tc>
          <w:tcPr>
            <w:tcW w:w="320" w:type="dxa"/>
            <w:vAlign w:val="bottom"/>
            <w:tcBorders>
              <w:top w:val="single" w:sz="8" w:color="1A6DBB"/>
            </w:tcBorders>
          </w:tcPr>
          <w:p>
            <w:pPr>
              <w:spacing w:after="0" w:line="20" w:lineRule="exact"/>
              <w:rPr>
                <w:sz w:val="1"/>
                <w:szCs w:val="1"/>
                <w:color w:val="auto"/>
              </w:rPr>
            </w:pPr>
          </w:p>
        </w:tc>
        <w:tc>
          <w:tcPr>
            <w:tcW w:w="4360" w:type="dxa"/>
            <w:vAlign w:val="bottom"/>
            <w:tcBorders>
              <w:top w:val="single" w:sz="8" w:color="1A6DBB"/>
            </w:tcBorders>
            <w:gridSpan w:val="36"/>
          </w:tcPr>
          <w:p>
            <w:pPr>
              <w:spacing w:after="0"/>
              <w:rPr>
                <w:sz w:val="20"/>
                <w:szCs w:val="20"/>
                <w:color w:val="auto"/>
              </w:rPr>
            </w:pPr>
            <w:r>
              <w:rPr>
                <w:rFonts w:ascii="Arial" w:cs="Arial" w:eastAsia="Arial" w:hAnsi="Arial"/>
                <w:sz w:val="1"/>
                <w:szCs w:val="1"/>
                <w:color w:val="0000EE"/>
              </w:rPr>
              <w:t>Compensation Discussion and Analysis</w:t>
            </w:r>
          </w:p>
        </w:tc>
        <w:tc>
          <w:tcPr>
            <w:tcW w:w="980" w:type="dxa"/>
            <w:vAlign w:val="bottom"/>
            <w:tcBorders>
              <w:top w:val="single" w:sz="8" w:color="1A6DBB"/>
            </w:tcBorders>
          </w:tcPr>
          <w:p>
            <w:pPr>
              <w:jc w:val="right"/>
              <w:ind w:right="2"/>
              <w:spacing w:after="0"/>
              <w:rPr>
                <w:sz w:val="20"/>
                <w:szCs w:val="20"/>
                <w:color w:val="auto"/>
              </w:rPr>
            </w:pPr>
            <w:r>
              <w:rPr>
                <w:rFonts w:ascii="Arial" w:cs="Arial" w:eastAsia="Arial" w:hAnsi="Arial"/>
                <w:sz w:val="1"/>
                <w:szCs w:val="1"/>
                <w:color w:val="auto"/>
              </w:rPr>
              <w:t>31</w:t>
            </w:r>
          </w:p>
        </w:tc>
        <w:tc>
          <w:tcPr>
            <w:tcW w:w="0" w:type="dxa"/>
            <w:vAlign w:val="bottom"/>
          </w:tcPr>
          <w:p>
            <w:pPr>
              <w:spacing w:after="0" w:line="20" w:lineRule="exact"/>
              <w:rPr>
                <w:sz w:val="1"/>
                <w:szCs w:val="1"/>
                <w:color w:val="auto"/>
              </w:rPr>
            </w:pPr>
          </w:p>
        </w:tc>
      </w:tr>
      <w:tr>
        <w:trPr>
          <w:trHeight w:val="160"/>
        </w:trPr>
        <w:tc>
          <w:tcPr>
            <w:tcW w:w="1080" w:type="dxa"/>
            <w:vAlign w:val="bottom"/>
            <w:gridSpan w:val="2"/>
            <w:vMerge w:val="continue"/>
            <w:shd w:val="clear" w:color="auto" w:fill="E8F0F8"/>
          </w:tcPr>
          <w:p>
            <w:pPr>
              <w:spacing w:after="0"/>
              <w:rPr>
                <w:sz w:val="13"/>
                <w:szCs w:val="13"/>
                <w:color w:val="auto"/>
              </w:rPr>
            </w:pPr>
          </w:p>
        </w:tc>
        <w:tc>
          <w:tcPr>
            <w:tcW w:w="60" w:type="dxa"/>
            <w:vAlign w:val="bottom"/>
            <w:shd w:val="clear" w:color="auto" w:fill="E8F0F8"/>
          </w:tcPr>
          <w:p>
            <w:pPr>
              <w:spacing w:after="0"/>
              <w:rPr>
                <w:sz w:val="13"/>
                <w:szCs w:val="13"/>
                <w:color w:val="auto"/>
              </w:rPr>
            </w:pPr>
          </w:p>
        </w:tc>
        <w:tc>
          <w:tcPr>
            <w:tcW w:w="2780" w:type="dxa"/>
            <w:vAlign w:val="bottom"/>
            <w:shd w:val="clear" w:color="auto" w:fill="E8F0F8"/>
          </w:tcPr>
          <w:p>
            <w:pPr>
              <w:spacing w:after="0"/>
              <w:rPr>
                <w:sz w:val="13"/>
                <w:szCs w:val="13"/>
                <w:color w:val="auto"/>
              </w:rPr>
            </w:pPr>
          </w:p>
        </w:tc>
        <w:tc>
          <w:tcPr>
            <w:tcW w:w="1440" w:type="dxa"/>
            <w:vAlign w:val="bottom"/>
            <w:tcBorders>
              <w:right w:val="single" w:sz="8" w:color="E8F0F8"/>
            </w:tcBorders>
            <w:shd w:val="clear" w:color="auto" w:fill="E8F0F8"/>
          </w:tcPr>
          <w:p>
            <w:pPr>
              <w:spacing w:after="0"/>
              <w:rPr>
                <w:sz w:val="13"/>
                <w:szCs w:val="13"/>
                <w:color w:val="auto"/>
              </w:rPr>
            </w:pPr>
          </w:p>
        </w:tc>
        <w:tc>
          <w:tcPr>
            <w:tcW w:w="320" w:type="dxa"/>
            <w:vAlign w:val="bottom"/>
          </w:tcPr>
          <w:p>
            <w:pPr>
              <w:spacing w:after="0"/>
              <w:rPr>
                <w:sz w:val="13"/>
                <w:szCs w:val="13"/>
                <w:color w:val="auto"/>
              </w:rPr>
            </w:pPr>
          </w:p>
        </w:tc>
        <w:tc>
          <w:tcPr>
            <w:tcW w:w="4360" w:type="dxa"/>
            <w:vAlign w:val="bottom"/>
            <w:gridSpan w:val="36"/>
          </w:tcPr>
          <w:p>
            <w:pPr>
              <w:spacing w:after="0" w:line="160" w:lineRule="exact"/>
              <w:rPr>
                <w:rFonts w:ascii="Arial" w:cs="Arial" w:eastAsia="Arial" w:hAnsi="Arial"/>
                <w:sz w:val="16"/>
                <w:szCs w:val="16"/>
                <w:color w:val="0000EE"/>
              </w:rPr>
            </w:pPr>
            <w:hyperlink w:anchor="page44">
              <w:r>
                <w:rPr>
                  <w:rFonts w:ascii="Arial" w:cs="Arial" w:eastAsia="Arial" w:hAnsi="Arial"/>
                  <w:sz w:val="16"/>
                  <w:szCs w:val="16"/>
                  <w:color w:val="0000EE"/>
                </w:rPr>
                <w:t>Proposal 3 – Advisory Vote on Executive Compensation</w:t>
              </w:r>
            </w:hyperlink>
          </w:p>
        </w:tc>
        <w:tc>
          <w:tcPr>
            <w:tcW w:w="980" w:type="dxa"/>
            <w:vAlign w:val="bottom"/>
          </w:tcPr>
          <w:p>
            <w:pPr>
              <w:jc w:val="right"/>
              <w:ind w:right="2"/>
              <w:spacing w:after="0" w:line="160" w:lineRule="exact"/>
              <w:rPr>
                <w:sz w:val="20"/>
                <w:szCs w:val="20"/>
                <w:color w:val="auto"/>
              </w:rPr>
            </w:pPr>
            <w:r>
              <w:rPr>
                <w:rFonts w:ascii="Arial" w:cs="Arial" w:eastAsia="Arial" w:hAnsi="Arial"/>
                <w:sz w:val="16"/>
                <w:szCs w:val="16"/>
                <w:color w:val="1A6DBB"/>
              </w:rPr>
              <w:t>30</w:t>
            </w:r>
          </w:p>
        </w:tc>
        <w:tc>
          <w:tcPr>
            <w:tcW w:w="0" w:type="dxa"/>
            <w:vAlign w:val="bottom"/>
          </w:tcPr>
          <w:p>
            <w:pPr>
              <w:spacing w:after="0"/>
              <w:rPr>
                <w:sz w:val="1"/>
                <w:szCs w:val="1"/>
                <w:color w:val="auto"/>
              </w:rPr>
            </w:pPr>
          </w:p>
        </w:tc>
      </w:tr>
      <w:tr>
        <w:trPr>
          <w:trHeight w:val="109"/>
        </w:trPr>
        <w:tc>
          <w:tcPr>
            <w:tcW w:w="1080" w:type="dxa"/>
            <w:vAlign w:val="bottom"/>
            <w:tcBorders>
              <w:top w:val="single" w:sz="8" w:color="1A6DBB"/>
              <w:bottom w:val="single" w:sz="8" w:color="1A6DBB"/>
            </w:tcBorders>
            <w:gridSpan w:val="2"/>
            <w:vMerge w:val="continue"/>
            <w:shd w:val="clear" w:color="auto" w:fill="E8F0F8"/>
          </w:tcPr>
          <w:p>
            <w:pPr>
              <w:spacing w:after="0"/>
              <w:rPr>
                <w:sz w:val="9"/>
                <w:szCs w:val="9"/>
                <w:color w:val="auto"/>
              </w:rPr>
            </w:pPr>
          </w:p>
        </w:tc>
        <w:tc>
          <w:tcPr>
            <w:tcW w:w="60" w:type="dxa"/>
            <w:vAlign w:val="bottom"/>
            <w:tcBorders>
              <w:top w:val="single" w:sz="8" w:color="E8F0F8"/>
              <w:bottom w:val="single" w:sz="8" w:color="E8F0F8"/>
            </w:tcBorders>
            <w:shd w:val="clear" w:color="auto" w:fill="E8F0F8"/>
          </w:tcPr>
          <w:p>
            <w:pPr>
              <w:spacing w:after="0"/>
              <w:rPr>
                <w:sz w:val="9"/>
                <w:szCs w:val="9"/>
                <w:color w:val="auto"/>
              </w:rPr>
            </w:pPr>
          </w:p>
        </w:tc>
        <w:tc>
          <w:tcPr>
            <w:tcW w:w="2780" w:type="dxa"/>
            <w:vAlign w:val="bottom"/>
            <w:tcBorders>
              <w:top w:val="single" w:sz="8" w:color="E8F0F8"/>
              <w:bottom w:val="single" w:sz="8" w:color="0000EE"/>
            </w:tcBorders>
            <w:shd w:val="clear" w:color="auto" w:fill="E8F0F8"/>
          </w:tcPr>
          <w:p>
            <w:pPr>
              <w:spacing w:after="0"/>
              <w:rPr>
                <w:sz w:val="9"/>
                <w:szCs w:val="9"/>
                <w:color w:val="auto"/>
              </w:rPr>
            </w:pPr>
          </w:p>
        </w:tc>
        <w:tc>
          <w:tcPr>
            <w:tcW w:w="1440" w:type="dxa"/>
            <w:vAlign w:val="bottom"/>
            <w:tcBorders>
              <w:top w:val="single" w:sz="8" w:color="E8F0F8"/>
              <w:bottom w:val="single" w:sz="8" w:color="0000EE"/>
              <w:right w:val="single" w:sz="8" w:color="E8F0F8"/>
            </w:tcBorders>
            <w:shd w:val="clear" w:color="auto" w:fill="E8F0F8"/>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top w:val="single" w:sz="8" w:color="0000EE"/>
            </w:tcBorders>
          </w:tcPr>
          <w:p>
            <w:pPr>
              <w:spacing w:after="0"/>
              <w:rPr>
                <w:sz w:val="9"/>
                <w:szCs w:val="9"/>
                <w:color w:val="auto"/>
              </w:rPr>
            </w:pPr>
          </w:p>
        </w:tc>
        <w:tc>
          <w:tcPr>
            <w:tcW w:w="820" w:type="dxa"/>
            <w:vAlign w:val="bottom"/>
            <w:tcBorders>
              <w:top w:val="single" w:sz="8" w:color="0000EE"/>
            </w:tcBorders>
          </w:tcPr>
          <w:p>
            <w:pPr>
              <w:spacing w:after="0"/>
              <w:rPr>
                <w:sz w:val="9"/>
                <w:szCs w:val="9"/>
                <w:color w:val="auto"/>
              </w:rPr>
            </w:pPr>
          </w:p>
        </w:tc>
        <w:tc>
          <w:tcPr>
            <w:tcW w:w="18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40" w:type="dxa"/>
            <w:vAlign w:val="bottom"/>
            <w:tcBorders>
              <w:top w:val="single" w:sz="8" w:color="0000EE"/>
            </w:tcBorders>
          </w:tcPr>
          <w:p>
            <w:pPr>
              <w:spacing w:after="0"/>
              <w:rPr>
                <w:sz w:val="9"/>
                <w:szCs w:val="9"/>
                <w:color w:val="auto"/>
              </w:rPr>
            </w:pPr>
          </w:p>
        </w:tc>
        <w:tc>
          <w:tcPr>
            <w:tcW w:w="160" w:type="dxa"/>
            <w:vAlign w:val="bottom"/>
            <w:tcBorders>
              <w:top w:val="single" w:sz="8" w:color="0000EE"/>
            </w:tcBorders>
          </w:tcPr>
          <w:p>
            <w:pPr>
              <w:spacing w:after="0"/>
              <w:rPr>
                <w:sz w:val="9"/>
                <w:szCs w:val="9"/>
                <w:color w:val="auto"/>
              </w:rPr>
            </w:pPr>
          </w:p>
        </w:tc>
        <w:tc>
          <w:tcPr>
            <w:tcW w:w="80" w:type="dxa"/>
            <w:vAlign w:val="bottom"/>
            <w:tcBorders>
              <w:top w:val="single" w:sz="8" w:color="0000EE"/>
            </w:tcBorders>
          </w:tcPr>
          <w:p>
            <w:pPr>
              <w:spacing w:after="0"/>
              <w:rPr>
                <w:sz w:val="9"/>
                <w:szCs w:val="9"/>
                <w:color w:val="auto"/>
              </w:rPr>
            </w:pPr>
          </w:p>
        </w:tc>
        <w:tc>
          <w:tcPr>
            <w:tcW w:w="100" w:type="dxa"/>
            <w:vAlign w:val="bottom"/>
            <w:tcBorders>
              <w:top w:val="single" w:sz="8" w:color="0000EE"/>
            </w:tcBorders>
          </w:tcPr>
          <w:p>
            <w:pPr>
              <w:spacing w:after="0"/>
              <w:rPr>
                <w:sz w:val="9"/>
                <w:szCs w:val="9"/>
                <w:color w:val="auto"/>
              </w:rPr>
            </w:pPr>
          </w:p>
        </w:tc>
        <w:tc>
          <w:tcPr>
            <w:tcW w:w="100" w:type="dxa"/>
            <w:vAlign w:val="bottom"/>
            <w:tcBorders>
              <w:top w:val="single" w:sz="8" w:color="0000EE"/>
            </w:tcBorders>
          </w:tcPr>
          <w:p>
            <w:pPr>
              <w:spacing w:after="0"/>
              <w:rPr>
                <w:sz w:val="9"/>
                <w:szCs w:val="9"/>
                <w:color w:val="auto"/>
              </w:rPr>
            </w:pPr>
          </w:p>
        </w:tc>
        <w:tc>
          <w:tcPr>
            <w:tcW w:w="80" w:type="dxa"/>
            <w:vAlign w:val="bottom"/>
            <w:tcBorders>
              <w:top w:val="single" w:sz="8" w:color="0000EE"/>
            </w:tcBorders>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60" w:type="dxa"/>
            <w:vAlign w:val="bottom"/>
            <w:tcBorders>
              <w:top w:val="single" w:sz="8" w:color="0000EE"/>
            </w:tcBorders>
          </w:tcPr>
          <w:p>
            <w:pPr>
              <w:spacing w:after="0"/>
              <w:rPr>
                <w:sz w:val="9"/>
                <w:szCs w:val="9"/>
                <w:color w:val="auto"/>
              </w:rPr>
            </w:pPr>
          </w:p>
        </w:tc>
        <w:tc>
          <w:tcPr>
            <w:tcW w:w="80" w:type="dxa"/>
            <w:vAlign w:val="bottom"/>
            <w:tcBorders>
              <w:top w:val="single" w:sz="8" w:color="0000EE"/>
            </w:tcBorders>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40" w:type="dxa"/>
            <w:vAlign w:val="bottom"/>
            <w:tcBorders>
              <w:top w:val="single" w:sz="8" w:color="0000EE"/>
            </w:tcBorders>
          </w:tcPr>
          <w:p>
            <w:pPr>
              <w:spacing w:after="0"/>
              <w:rPr>
                <w:sz w:val="9"/>
                <w:szCs w:val="9"/>
                <w:color w:val="auto"/>
              </w:rPr>
            </w:pPr>
          </w:p>
        </w:tc>
        <w:tc>
          <w:tcPr>
            <w:tcW w:w="180" w:type="dxa"/>
            <w:vAlign w:val="bottom"/>
            <w:tcBorders>
              <w:top w:val="single" w:sz="8" w:color="0000EE"/>
            </w:tcBorders>
          </w:tcPr>
          <w:p>
            <w:pPr>
              <w:spacing w:after="0"/>
              <w:rPr>
                <w:sz w:val="9"/>
                <w:szCs w:val="9"/>
                <w:color w:val="auto"/>
              </w:rPr>
            </w:pPr>
          </w:p>
        </w:tc>
        <w:tc>
          <w:tcPr>
            <w:tcW w:w="40" w:type="dxa"/>
            <w:vAlign w:val="bottom"/>
            <w:tcBorders>
              <w:top w:val="single" w:sz="8" w:color="0000EE"/>
            </w:tcBorders>
          </w:tcPr>
          <w:p>
            <w:pPr>
              <w:spacing w:after="0"/>
              <w:rPr>
                <w:sz w:val="9"/>
                <w:szCs w:val="9"/>
                <w:color w:val="auto"/>
              </w:rPr>
            </w:pPr>
          </w:p>
        </w:tc>
        <w:tc>
          <w:tcPr>
            <w:tcW w:w="10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40" w:type="dxa"/>
            <w:vAlign w:val="bottom"/>
            <w:tcBorders>
              <w:top w:val="single" w:sz="8" w:color="0000EE"/>
            </w:tcBorders>
          </w:tcPr>
          <w:p>
            <w:pPr>
              <w:spacing w:after="0"/>
              <w:rPr>
                <w:sz w:val="9"/>
                <w:szCs w:val="9"/>
                <w:color w:val="auto"/>
              </w:rPr>
            </w:pPr>
          </w:p>
        </w:tc>
        <w:tc>
          <w:tcPr>
            <w:tcW w:w="8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240" w:type="dxa"/>
            <w:vAlign w:val="bottom"/>
            <w:tcBorders>
              <w:top w:val="single" w:sz="8" w:color="0000EE"/>
            </w:tcBorders>
          </w:tcPr>
          <w:p>
            <w:pPr>
              <w:spacing w:after="0"/>
              <w:rPr>
                <w:sz w:val="9"/>
                <w:szCs w:val="9"/>
                <w:color w:val="auto"/>
              </w:rPr>
            </w:pPr>
          </w:p>
        </w:tc>
        <w:tc>
          <w:tcPr>
            <w:tcW w:w="260" w:type="dxa"/>
            <w:vAlign w:val="bottom"/>
            <w:tcBorders>
              <w:top w:val="single" w:sz="8" w:color="0000EE"/>
            </w:tcBorders>
          </w:tcPr>
          <w:p>
            <w:pPr>
              <w:spacing w:after="0"/>
              <w:rPr>
                <w:sz w:val="9"/>
                <w:szCs w:val="9"/>
                <w:color w:val="auto"/>
              </w:rPr>
            </w:pPr>
          </w:p>
        </w:tc>
        <w:tc>
          <w:tcPr>
            <w:tcW w:w="40" w:type="dxa"/>
            <w:vAlign w:val="bottom"/>
            <w:tcBorders>
              <w:top w:val="single" w:sz="8" w:color="0000EE"/>
            </w:tcBorders>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160" w:type="dxa"/>
            <w:vAlign w:val="bottom"/>
            <w:tcBorders>
              <w:top w:val="single" w:sz="8" w:color="0000EE"/>
            </w:tcBorders>
          </w:tcPr>
          <w:p>
            <w:pPr>
              <w:spacing w:after="0"/>
              <w:rPr>
                <w:sz w:val="9"/>
                <w:szCs w:val="9"/>
                <w:color w:val="auto"/>
              </w:rPr>
            </w:pPr>
          </w:p>
        </w:tc>
        <w:tc>
          <w:tcPr>
            <w:tcW w:w="40" w:type="dxa"/>
            <w:vAlign w:val="bottom"/>
            <w:tcBorders>
              <w:top w:val="single" w:sz="8" w:color="0000EE"/>
            </w:tcBorders>
          </w:tcPr>
          <w:p>
            <w:pPr>
              <w:spacing w:after="0"/>
              <w:rPr>
                <w:sz w:val="9"/>
                <w:szCs w:val="9"/>
                <w:color w:val="auto"/>
              </w:rPr>
            </w:pPr>
          </w:p>
        </w:tc>
        <w:tc>
          <w:tcPr>
            <w:tcW w:w="16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60" w:type="dxa"/>
            <w:vAlign w:val="bottom"/>
            <w:tcBorders>
              <w:top w:val="single" w:sz="8" w:color="0000EE"/>
            </w:tcBorders>
          </w:tcPr>
          <w:p>
            <w:pPr>
              <w:spacing w:after="0"/>
              <w:rPr>
                <w:sz w:val="9"/>
                <w:szCs w:val="9"/>
                <w:color w:val="auto"/>
              </w:rPr>
            </w:pPr>
          </w:p>
        </w:tc>
        <w:tc>
          <w:tcPr>
            <w:tcW w:w="60" w:type="dxa"/>
            <w:vAlign w:val="bottom"/>
            <w:tcBorders>
              <w:top w:val="single" w:sz="8" w:color="0000EE"/>
            </w:tcBorders>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80" w:type="dxa"/>
            <w:vAlign w:val="bottom"/>
            <w:tcBorders>
              <w:bottom w:val="single" w:sz="8" w:color="1A6DBB"/>
            </w:tcBorders>
            <w:gridSpan w:val="2"/>
            <w:vMerge w:val="continue"/>
            <w:shd w:val="clear" w:color="auto" w:fill="E8F0F8"/>
          </w:tcPr>
          <w:p>
            <w:pPr>
              <w:spacing w:after="0"/>
              <w:rPr>
                <w:sz w:val="3"/>
                <w:szCs w:val="3"/>
                <w:color w:val="auto"/>
              </w:rPr>
            </w:pPr>
          </w:p>
        </w:tc>
        <w:tc>
          <w:tcPr>
            <w:tcW w:w="60" w:type="dxa"/>
            <w:vAlign w:val="bottom"/>
            <w:tcBorders>
              <w:bottom w:val="single" w:sz="8" w:color="E8F0F8"/>
            </w:tcBorders>
            <w:shd w:val="clear" w:color="auto" w:fill="E8F0F8"/>
          </w:tcPr>
          <w:p>
            <w:pPr>
              <w:spacing w:after="0"/>
              <w:rPr>
                <w:sz w:val="3"/>
                <w:szCs w:val="3"/>
                <w:color w:val="auto"/>
              </w:rPr>
            </w:pPr>
          </w:p>
        </w:tc>
        <w:tc>
          <w:tcPr>
            <w:tcW w:w="2780" w:type="dxa"/>
            <w:vAlign w:val="bottom"/>
            <w:tcBorders>
              <w:bottom w:val="single" w:sz="8" w:color="E8F0F8"/>
            </w:tcBorders>
            <w:shd w:val="clear" w:color="auto" w:fill="E8F0F8"/>
          </w:tcPr>
          <w:p>
            <w:pPr>
              <w:spacing w:after="0"/>
              <w:rPr>
                <w:sz w:val="3"/>
                <w:szCs w:val="3"/>
                <w:color w:val="auto"/>
              </w:rPr>
            </w:pPr>
          </w:p>
        </w:tc>
        <w:tc>
          <w:tcPr>
            <w:tcW w:w="1440" w:type="dxa"/>
            <w:vAlign w:val="bottom"/>
            <w:tcBorders>
              <w:bottom w:val="single" w:sz="8" w:color="E8F0F8"/>
              <w:right w:val="single" w:sz="8" w:color="E8F0F8"/>
            </w:tcBorders>
            <w:shd w:val="clear" w:color="auto" w:fill="E8F0F8"/>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Borders>
              <w:bottom w:val="single" w:sz="8" w:color="0000EE"/>
            </w:tcBorders>
          </w:tcPr>
          <w:p>
            <w:pPr>
              <w:spacing w:after="0"/>
              <w:rPr>
                <w:sz w:val="3"/>
                <w:szCs w:val="3"/>
                <w:color w:val="auto"/>
              </w:rPr>
            </w:pPr>
          </w:p>
        </w:tc>
        <w:tc>
          <w:tcPr>
            <w:tcW w:w="820" w:type="dxa"/>
            <w:vAlign w:val="bottom"/>
            <w:tcBorders>
              <w:bottom w:val="single" w:sz="8" w:color="0000EE"/>
            </w:tcBorders>
          </w:tcPr>
          <w:p>
            <w:pPr>
              <w:spacing w:after="0"/>
              <w:rPr>
                <w:sz w:val="3"/>
                <w:szCs w:val="3"/>
                <w:color w:val="auto"/>
              </w:rPr>
            </w:pPr>
          </w:p>
        </w:tc>
        <w:tc>
          <w:tcPr>
            <w:tcW w:w="180" w:type="dxa"/>
            <w:vAlign w:val="bottom"/>
            <w:tcBorders>
              <w:bottom w:val="single" w:sz="8" w:color="0000EE"/>
            </w:tcBorders>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40" w:type="dxa"/>
            <w:vAlign w:val="bottom"/>
            <w:tcBorders>
              <w:bottom w:val="single" w:sz="8" w:color="0000EE"/>
            </w:tcBorders>
          </w:tcPr>
          <w:p>
            <w:pPr>
              <w:spacing w:after="0"/>
              <w:rPr>
                <w:sz w:val="3"/>
                <w:szCs w:val="3"/>
                <w:color w:val="auto"/>
              </w:rPr>
            </w:pPr>
          </w:p>
        </w:tc>
        <w:tc>
          <w:tcPr>
            <w:tcW w:w="160" w:type="dxa"/>
            <w:vAlign w:val="bottom"/>
            <w:tcBorders>
              <w:bottom w:val="single" w:sz="8" w:color="0000EE"/>
            </w:tcBorders>
          </w:tcPr>
          <w:p>
            <w:pPr>
              <w:spacing w:after="0"/>
              <w:rPr>
                <w:sz w:val="3"/>
                <w:szCs w:val="3"/>
                <w:color w:val="auto"/>
              </w:rPr>
            </w:pPr>
          </w:p>
        </w:tc>
        <w:tc>
          <w:tcPr>
            <w:tcW w:w="80" w:type="dxa"/>
            <w:vAlign w:val="bottom"/>
            <w:tcBorders>
              <w:bottom w:val="single" w:sz="8" w:color="0000EE"/>
            </w:tcBorders>
          </w:tcPr>
          <w:p>
            <w:pPr>
              <w:spacing w:after="0"/>
              <w:rPr>
                <w:sz w:val="3"/>
                <w:szCs w:val="3"/>
                <w:color w:val="auto"/>
              </w:rPr>
            </w:pPr>
          </w:p>
        </w:tc>
        <w:tc>
          <w:tcPr>
            <w:tcW w:w="100" w:type="dxa"/>
            <w:vAlign w:val="bottom"/>
            <w:tcBorders>
              <w:bottom w:val="single" w:sz="8" w:color="0000EE"/>
            </w:tcBorders>
          </w:tcPr>
          <w:p>
            <w:pPr>
              <w:spacing w:after="0"/>
              <w:rPr>
                <w:sz w:val="3"/>
                <w:szCs w:val="3"/>
                <w:color w:val="auto"/>
              </w:rPr>
            </w:pPr>
          </w:p>
        </w:tc>
        <w:tc>
          <w:tcPr>
            <w:tcW w:w="100" w:type="dxa"/>
            <w:vAlign w:val="bottom"/>
            <w:tcBorders>
              <w:bottom w:val="single" w:sz="8" w:color="0000EE"/>
            </w:tcBorders>
          </w:tcPr>
          <w:p>
            <w:pPr>
              <w:spacing w:after="0"/>
              <w:rPr>
                <w:sz w:val="3"/>
                <w:szCs w:val="3"/>
                <w:color w:val="auto"/>
              </w:rPr>
            </w:pPr>
          </w:p>
        </w:tc>
        <w:tc>
          <w:tcPr>
            <w:tcW w:w="80" w:type="dxa"/>
            <w:vAlign w:val="bottom"/>
            <w:tcBorders>
              <w:bottom w:val="single" w:sz="8" w:color="0000EE"/>
            </w:tcBorders>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60" w:type="dxa"/>
            <w:vAlign w:val="bottom"/>
            <w:tcBorders>
              <w:bottom w:val="single" w:sz="8" w:color="0000EE"/>
            </w:tcBorders>
          </w:tcPr>
          <w:p>
            <w:pPr>
              <w:spacing w:after="0"/>
              <w:rPr>
                <w:sz w:val="3"/>
                <w:szCs w:val="3"/>
                <w:color w:val="auto"/>
              </w:rPr>
            </w:pPr>
          </w:p>
        </w:tc>
        <w:tc>
          <w:tcPr>
            <w:tcW w:w="80" w:type="dxa"/>
            <w:vAlign w:val="bottom"/>
            <w:tcBorders>
              <w:bottom w:val="single" w:sz="8" w:color="0000EE"/>
            </w:tcBorders>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40" w:type="dxa"/>
            <w:vAlign w:val="bottom"/>
            <w:tcBorders>
              <w:bottom w:val="single" w:sz="8" w:color="0000EE"/>
            </w:tcBorders>
          </w:tcPr>
          <w:p>
            <w:pPr>
              <w:spacing w:after="0"/>
              <w:rPr>
                <w:sz w:val="3"/>
                <w:szCs w:val="3"/>
                <w:color w:val="auto"/>
              </w:rPr>
            </w:pPr>
          </w:p>
        </w:tc>
        <w:tc>
          <w:tcPr>
            <w:tcW w:w="180" w:type="dxa"/>
            <w:vAlign w:val="bottom"/>
            <w:tcBorders>
              <w:bottom w:val="single" w:sz="8" w:color="0000EE"/>
            </w:tcBorders>
          </w:tcPr>
          <w:p>
            <w:pPr>
              <w:spacing w:after="0"/>
              <w:rPr>
                <w:sz w:val="3"/>
                <w:szCs w:val="3"/>
                <w:color w:val="auto"/>
              </w:rPr>
            </w:pPr>
          </w:p>
        </w:tc>
        <w:tc>
          <w:tcPr>
            <w:tcW w:w="40" w:type="dxa"/>
            <w:vAlign w:val="bottom"/>
            <w:tcBorders>
              <w:bottom w:val="single" w:sz="8" w:color="0000EE"/>
            </w:tcBorders>
          </w:tcPr>
          <w:p>
            <w:pPr>
              <w:spacing w:after="0"/>
              <w:rPr>
                <w:sz w:val="3"/>
                <w:szCs w:val="3"/>
                <w:color w:val="auto"/>
              </w:rPr>
            </w:pPr>
          </w:p>
        </w:tc>
        <w:tc>
          <w:tcPr>
            <w:tcW w:w="100" w:type="dxa"/>
            <w:vAlign w:val="bottom"/>
            <w:tcBorders>
              <w:bottom w:val="single" w:sz="8" w:color="0000EE"/>
            </w:tcBorders>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40" w:type="dxa"/>
            <w:vAlign w:val="bottom"/>
            <w:tcBorders>
              <w:bottom w:val="single" w:sz="8" w:color="0000EE"/>
            </w:tcBorders>
          </w:tcPr>
          <w:p>
            <w:pPr>
              <w:spacing w:after="0"/>
              <w:rPr>
                <w:sz w:val="3"/>
                <w:szCs w:val="3"/>
                <w:color w:val="auto"/>
              </w:rPr>
            </w:pPr>
          </w:p>
        </w:tc>
        <w:tc>
          <w:tcPr>
            <w:tcW w:w="80" w:type="dxa"/>
            <w:vAlign w:val="bottom"/>
            <w:tcBorders>
              <w:bottom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080" w:type="dxa"/>
            <w:vAlign w:val="bottom"/>
            <w:tcBorders>
              <w:bottom w:val="single" w:sz="8" w:color="1A6DBB"/>
            </w:tcBorders>
            <w:gridSpan w:val="2"/>
            <w:vMerge w:val="continue"/>
            <w:shd w:val="clear" w:color="auto" w:fill="E8F0F8"/>
          </w:tcPr>
          <w:p>
            <w:pPr>
              <w:spacing w:after="0"/>
              <w:rPr>
                <w:sz w:val="14"/>
                <w:szCs w:val="14"/>
                <w:color w:val="auto"/>
              </w:rPr>
            </w:pPr>
          </w:p>
        </w:tc>
        <w:tc>
          <w:tcPr>
            <w:tcW w:w="60" w:type="dxa"/>
            <w:vAlign w:val="bottom"/>
            <w:tcBorders>
              <w:bottom w:val="single" w:sz="8" w:color="E8F0F8"/>
            </w:tcBorders>
            <w:shd w:val="clear" w:color="auto" w:fill="E8F0F8"/>
          </w:tcPr>
          <w:p>
            <w:pPr>
              <w:spacing w:after="0"/>
              <w:rPr>
                <w:sz w:val="14"/>
                <w:szCs w:val="14"/>
                <w:color w:val="auto"/>
              </w:rPr>
            </w:pPr>
          </w:p>
        </w:tc>
        <w:tc>
          <w:tcPr>
            <w:tcW w:w="2780" w:type="dxa"/>
            <w:vAlign w:val="bottom"/>
            <w:tcBorders>
              <w:bottom w:val="single" w:sz="8" w:color="E8F0F8"/>
            </w:tcBorders>
            <w:shd w:val="clear" w:color="auto" w:fill="E8F0F8"/>
          </w:tcPr>
          <w:p>
            <w:pPr>
              <w:spacing w:after="0"/>
              <w:rPr>
                <w:sz w:val="14"/>
                <w:szCs w:val="14"/>
                <w:color w:val="auto"/>
              </w:rPr>
            </w:pPr>
          </w:p>
        </w:tc>
        <w:tc>
          <w:tcPr>
            <w:tcW w:w="1440" w:type="dxa"/>
            <w:vAlign w:val="bottom"/>
            <w:tcBorders>
              <w:bottom w:val="single" w:sz="8" w:color="E8F0F8"/>
              <w:right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Borders>
              <w:bottom w:val="single" w:sz="8" w:color="0000EE"/>
            </w:tcBorders>
            <w:gridSpan w:val="7"/>
          </w:tcPr>
          <w:p>
            <w:pPr>
              <w:spacing w:after="0" w:line="169" w:lineRule="exact"/>
              <w:rPr>
                <w:rFonts w:ascii="Arial" w:cs="Arial" w:eastAsia="Arial" w:hAnsi="Arial"/>
                <w:sz w:val="16"/>
                <w:szCs w:val="16"/>
                <w:color w:val="0000EE"/>
                <w:w w:val="96"/>
              </w:rPr>
            </w:pPr>
            <w:hyperlink w:anchor="page45">
              <w:r>
                <w:rPr>
                  <w:rFonts w:ascii="Arial" w:cs="Arial" w:eastAsia="Arial" w:hAnsi="Arial"/>
                  <w:sz w:val="16"/>
                  <w:szCs w:val="16"/>
                  <w:color w:val="0000EE"/>
                  <w:w w:val="96"/>
                </w:rPr>
                <w:t>Executive Summary</w:t>
              </w:r>
            </w:hyperlink>
          </w:p>
        </w:tc>
        <w:tc>
          <w:tcPr>
            <w:tcW w:w="2800" w:type="dxa"/>
            <w:vAlign w:val="bottom"/>
            <w:gridSpan w:val="28"/>
          </w:tcPr>
          <w:p>
            <w:pPr>
              <w:spacing w:after="0"/>
              <w:rPr>
                <w:sz w:val="14"/>
                <w:szCs w:val="14"/>
                <w:color w:val="auto"/>
              </w:rPr>
            </w:pPr>
          </w:p>
        </w:tc>
        <w:tc>
          <w:tcPr>
            <w:tcW w:w="980" w:type="dxa"/>
            <w:vAlign w:val="bottom"/>
          </w:tcPr>
          <w:p>
            <w:pPr>
              <w:jc w:val="right"/>
              <w:ind w:right="2"/>
              <w:spacing w:after="0" w:line="169"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69"/>
        </w:trPr>
        <w:tc>
          <w:tcPr>
            <w:tcW w:w="1080" w:type="dxa"/>
            <w:vAlign w:val="bottom"/>
            <w:tcBorders>
              <w:bottom w:val="single" w:sz="8" w:color="1A6DBB"/>
            </w:tcBorders>
            <w:gridSpan w:val="2"/>
            <w:vMerge w:val="continue"/>
            <w:shd w:val="clear" w:color="auto" w:fill="E8F0F8"/>
          </w:tcPr>
          <w:p>
            <w:pPr>
              <w:spacing w:after="0"/>
              <w:rPr>
                <w:sz w:val="14"/>
                <w:szCs w:val="14"/>
                <w:color w:val="auto"/>
              </w:rPr>
            </w:pPr>
          </w:p>
        </w:tc>
        <w:tc>
          <w:tcPr>
            <w:tcW w:w="60" w:type="dxa"/>
            <w:vAlign w:val="bottom"/>
            <w:tcBorders>
              <w:bottom w:val="single" w:sz="8" w:color="E8F0F8"/>
            </w:tcBorders>
            <w:shd w:val="clear" w:color="auto" w:fill="E8F0F8"/>
          </w:tcPr>
          <w:p>
            <w:pPr>
              <w:spacing w:after="0"/>
              <w:rPr>
                <w:sz w:val="14"/>
                <w:szCs w:val="14"/>
                <w:color w:val="auto"/>
              </w:rPr>
            </w:pPr>
          </w:p>
        </w:tc>
        <w:tc>
          <w:tcPr>
            <w:tcW w:w="2780" w:type="dxa"/>
            <w:vAlign w:val="bottom"/>
            <w:tcBorders>
              <w:bottom w:val="single" w:sz="8" w:color="E8F0F8"/>
            </w:tcBorders>
            <w:shd w:val="clear" w:color="auto" w:fill="E8F0F8"/>
          </w:tcPr>
          <w:p>
            <w:pPr>
              <w:spacing w:after="0"/>
              <w:rPr>
                <w:sz w:val="14"/>
                <w:szCs w:val="14"/>
                <w:color w:val="auto"/>
              </w:rPr>
            </w:pPr>
          </w:p>
        </w:tc>
        <w:tc>
          <w:tcPr>
            <w:tcW w:w="1440" w:type="dxa"/>
            <w:vAlign w:val="bottom"/>
            <w:tcBorders>
              <w:bottom w:val="single" w:sz="8" w:color="E8F0F8"/>
              <w:right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tcBorders>
              <w:bottom w:val="single" w:sz="8" w:color="0000EE"/>
            </w:tcBorders>
            <w:gridSpan w:val="11"/>
          </w:tcPr>
          <w:p>
            <w:pPr>
              <w:spacing w:after="0" w:line="169" w:lineRule="exact"/>
              <w:rPr>
                <w:rFonts w:ascii="Arial" w:cs="Arial" w:eastAsia="Arial" w:hAnsi="Arial"/>
                <w:sz w:val="16"/>
                <w:szCs w:val="16"/>
                <w:color w:val="0000EE"/>
                <w:w w:val="98"/>
              </w:rPr>
            </w:pPr>
            <w:hyperlink w:anchor="page51">
              <w:r>
                <w:rPr>
                  <w:rFonts w:ascii="Arial" w:cs="Arial" w:eastAsia="Arial" w:hAnsi="Arial"/>
                  <w:sz w:val="16"/>
                  <w:szCs w:val="16"/>
                  <w:color w:val="0000EE"/>
                  <w:w w:val="98"/>
                </w:rPr>
                <w:t>Roles and Responsibilities</w:t>
              </w:r>
            </w:hyperlink>
          </w:p>
        </w:tc>
        <w:tc>
          <w:tcPr>
            <w:tcW w:w="2340" w:type="dxa"/>
            <w:vAlign w:val="bottom"/>
            <w:gridSpan w:val="24"/>
          </w:tcPr>
          <w:p>
            <w:pPr>
              <w:spacing w:after="0"/>
              <w:rPr>
                <w:sz w:val="14"/>
                <w:szCs w:val="14"/>
                <w:color w:val="auto"/>
              </w:rPr>
            </w:pPr>
          </w:p>
        </w:tc>
        <w:tc>
          <w:tcPr>
            <w:tcW w:w="980" w:type="dxa"/>
            <w:vAlign w:val="bottom"/>
          </w:tcPr>
          <w:p>
            <w:pPr>
              <w:jc w:val="right"/>
              <w:ind w:right="2"/>
              <w:spacing w:after="0" w:line="169"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69"/>
        </w:trPr>
        <w:tc>
          <w:tcPr>
            <w:tcW w:w="1080" w:type="dxa"/>
            <w:vAlign w:val="bottom"/>
            <w:gridSpan w:val="2"/>
            <w:vMerge w:val="continue"/>
            <w:shd w:val="clear" w:color="auto" w:fill="E8F0F8"/>
          </w:tcPr>
          <w:p>
            <w:pPr>
              <w:spacing w:after="0"/>
              <w:rPr>
                <w:sz w:val="14"/>
                <w:szCs w:val="14"/>
                <w:color w:val="auto"/>
              </w:rPr>
            </w:pPr>
          </w:p>
        </w:tc>
        <w:tc>
          <w:tcPr>
            <w:tcW w:w="60" w:type="dxa"/>
            <w:vAlign w:val="bottom"/>
            <w:shd w:val="clear" w:color="auto" w:fill="E8F0F8"/>
          </w:tcPr>
          <w:p>
            <w:pPr>
              <w:spacing w:after="0"/>
              <w:rPr>
                <w:sz w:val="14"/>
                <w:szCs w:val="14"/>
                <w:color w:val="auto"/>
              </w:rPr>
            </w:pPr>
          </w:p>
        </w:tc>
        <w:tc>
          <w:tcPr>
            <w:tcW w:w="2780" w:type="dxa"/>
            <w:vAlign w:val="bottom"/>
            <w:shd w:val="clear" w:color="auto" w:fill="E8F0F8"/>
          </w:tcPr>
          <w:p>
            <w:pPr>
              <w:spacing w:after="0"/>
              <w:rPr>
                <w:sz w:val="14"/>
                <w:szCs w:val="14"/>
                <w:color w:val="auto"/>
              </w:rPr>
            </w:pPr>
          </w:p>
        </w:tc>
        <w:tc>
          <w:tcPr>
            <w:tcW w:w="1440" w:type="dxa"/>
            <w:vAlign w:val="bottom"/>
            <w:tcBorders>
              <w:right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0" w:type="dxa"/>
            <w:vAlign w:val="bottom"/>
            <w:gridSpan w:val="35"/>
          </w:tcPr>
          <w:p>
            <w:pPr>
              <w:spacing w:after="0" w:line="169" w:lineRule="exact"/>
              <w:rPr>
                <w:rFonts w:ascii="Arial" w:cs="Arial" w:eastAsia="Arial" w:hAnsi="Arial"/>
                <w:sz w:val="16"/>
                <w:szCs w:val="16"/>
                <w:color w:val="0000EE"/>
              </w:rPr>
            </w:pPr>
            <w:hyperlink w:anchor="page52">
              <w:r>
                <w:rPr>
                  <w:rFonts w:ascii="Arial" w:cs="Arial" w:eastAsia="Arial" w:hAnsi="Arial"/>
                  <w:sz w:val="16"/>
                  <w:szCs w:val="16"/>
                  <w:color w:val="0000EE"/>
                </w:rPr>
                <w:t>Executive Compensation Philosophy and Objectives</w:t>
              </w:r>
            </w:hyperlink>
          </w:p>
        </w:tc>
        <w:tc>
          <w:tcPr>
            <w:tcW w:w="980" w:type="dxa"/>
            <w:vAlign w:val="bottom"/>
          </w:tcPr>
          <w:p>
            <w:pPr>
              <w:jc w:val="right"/>
              <w:ind w:right="2"/>
              <w:spacing w:after="0" w:line="169" w:lineRule="exact"/>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69"/>
        </w:trPr>
        <w:tc>
          <w:tcPr>
            <w:tcW w:w="1080" w:type="dxa"/>
            <w:vAlign w:val="bottom"/>
            <w:tcBorders>
              <w:top w:val="single" w:sz="8" w:color="1A6DBB"/>
              <w:bottom w:val="single" w:sz="8" w:color="1A6DBB"/>
            </w:tcBorders>
            <w:gridSpan w:val="2"/>
            <w:vMerge w:val="continue"/>
            <w:shd w:val="clear" w:color="auto" w:fill="E8F0F8"/>
          </w:tcPr>
          <w:p>
            <w:pPr>
              <w:spacing w:after="0"/>
              <w:rPr>
                <w:sz w:val="14"/>
                <w:szCs w:val="14"/>
                <w:color w:val="auto"/>
              </w:rPr>
            </w:pPr>
          </w:p>
        </w:tc>
        <w:tc>
          <w:tcPr>
            <w:tcW w:w="60" w:type="dxa"/>
            <w:vAlign w:val="bottom"/>
            <w:tcBorders>
              <w:top w:val="single" w:sz="8" w:color="E8F0F8"/>
              <w:bottom w:val="single" w:sz="8" w:color="E8F0F8"/>
            </w:tcBorders>
            <w:shd w:val="clear" w:color="auto" w:fill="E8F0F8"/>
          </w:tcPr>
          <w:p>
            <w:pPr>
              <w:spacing w:after="0"/>
              <w:rPr>
                <w:sz w:val="14"/>
                <w:szCs w:val="14"/>
                <w:color w:val="auto"/>
              </w:rPr>
            </w:pPr>
          </w:p>
        </w:tc>
        <w:tc>
          <w:tcPr>
            <w:tcW w:w="2780" w:type="dxa"/>
            <w:vAlign w:val="bottom"/>
            <w:tcBorders>
              <w:top w:val="single" w:sz="8" w:color="E8F0F8"/>
              <w:bottom w:val="single" w:sz="8" w:color="E8F0F8"/>
            </w:tcBorders>
            <w:shd w:val="clear" w:color="auto" w:fill="E8F0F8"/>
          </w:tcPr>
          <w:p>
            <w:pPr>
              <w:spacing w:after="0"/>
              <w:rPr>
                <w:sz w:val="14"/>
                <w:szCs w:val="14"/>
                <w:color w:val="auto"/>
              </w:rPr>
            </w:pPr>
          </w:p>
        </w:tc>
        <w:tc>
          <w:tcPr>
            <w:tcW w:w="1440" w:type="dxa"/>
            <w:vAlign w:val="bottom"/>
            <w:tcBorders>
              <w:top w:val="single" w:sz="8" w:color="E8F0F8"/>
              <w:bottom w:val="single" w:sz="8" w:color="E8F0F8"/>
              <w:right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40" w:type="dxa"/>
            <w:vAlign w:val="bottom"/>
            <w:tcBorders>
              <w:top w:val="single" w:sz="8" w:color="0000EE"/>
              <w:bottom w:val="single" w:sz="8" w:color="0000EE"/>
            </w:tcBorders>
            <w:gridSpan w:val="28"/>
          </w:tcPr>
          <w:p>
            <w:pPr>
              <w:spacing w:after="0" w:line="169" w:lineRule="exact"/>
              <w:rPr>
                <w:rFonts w:ascii="Arial" w:cs="Arial" w:eastAsia="Arial" w:hAnsi="Arial"/>
                <w:sz w:val="16"/>
                <w:szCs w:val="16"/>
                <w:color w:val="0000EE"/>
                <w:w w:val="99"/>
              </w:rPr>
            </w:pPr>
            <w:hyperlink w:anchor="page52">
              <w:r>
                <w:rPr>
                  <w:rFonts w:ascii="Arial" w:cs="Arial" w:eastAsia="Arial" w:hAnsi="Arial"/>
                  <w:sz w:val="16"/>
                  <w:szCs w:val="16"/>
                  <w:color w:val="0000EE"/>
                  <w:w w:val="99"/>
                </w:rPr>
                <w:t>External Market Competitiveness and Peer Group</w:t>
              </w:r>
            </w:hyperlink>
          </w:p>
        </w:tc>
        <w:tc>
          <w:tcPr>
            <w:tcW w:w="160" w:type="dxa"/>
            <w:vAlign w:val="bottom"/>
            <w:tcBorders>
              <w:top w:val="single" w:sz="8" w:color="0000EE"/>
            </w:tcBorders>
          </w:tcPr>
          <w:p>
            <w:pPr>
              <w:spacing w:after="0"/>
              <w:rPr>
                <w:sz w:val="14"/>
                <w:szCs w:val="14"/>
                <w:color w:val="auto"/>
              </w:rPr>
            </w:pPr>
          </w:p>
        </w:tc>
        <w:tc>
          <w:tcPr>
            <w:tcW w:w="500" w:type="dxa"/>
            <w:vAlign w:val="bottom"/>
            <w:gridSpan w:val="6"/>
          </w:tcPr>
          <w:p>
            <w:pPr>
              <w:spacing w:after="0"/>
              <w:rPr>
                <w:sz w:val="14"/>
                <w:szCs w:val="14"/>
                <w:color w:val="auto"/>
              </w:rPr>
            </w:pPr>
          </w:p>
        </w:tc>
        <w:tc>
          <w:tcPr>
            <w:tcW w:w="980" w:type="dxa"/>
            <w:vAlign w:val="bottom"/>
          </w:tcPr>
          <w:p>
            <w:pPr>
              <w:jc w:val="right"/>
              <w:ind w:right="2"/>
              <w:spacing w:after="0" w:line="169" w:lineRule="exact"/>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69"/>
        </w:trPr>
        <w:tc>
          <w:tcPr>
            <w:tcW w:w="1080" w:type="dxa"/>
            <w:vAlign w:val="bottom"/>
            <w:gridSpan w:val="2"/>
            <w:vMerge w:val="continue"/>
            <w:shd w:val="clear" w:color="auto" w:fill="E8F0F8"/>
          </w:tcPr>
          <w:p>
            <w:pPr>
              <w:spacing w:after="0"/>
              <w:rPr>
                <w:sz w:val="14"/>
                <w:szCs w:val="14"/>
                <w:color w:val="auto"/>
              </w:rPr>
            </w:pPr>
          </w:p>
        </w:tc>
        <w:tc>
          <w:tcPr>
            <w:tcW w:w="60" w:type="dxa"/>
            <w:vAlign w:val="bottom"/>
            <w:shd w:val="clear" w:color="auto" w:fill="E8F0F8"/>
          </w:tcPr>
          <w:p>
            <w:pPr>
              <w:spacing w:after="0"/>
              <w:rPr>
                <w:sz w:val="14"/>
                <w:szCs w:val="14"/>
                <w:color w:val="auto"/>
              </w:rPr>
            </w:pPr>
          </w:p>
        </w:tc>
        <w:tc>
          <w:tcPr>
            <w:tcW w:w="2780" w:type="dxa"/>
            <w:vAlign w:val="bottom"/>
            <w:shd w:val="clear" w:color="auto" w:fill="E8F0F8"/>
          </w:tcPr>
          <w:p>
            <w:pPr>
              <w:spacing w:after="0"/>
              <w:rPr>
                <w:sz w:val="14"/>
                <w:szCs w:val="14"/>
                <w:color w:val="auto"/>
              </w:rPr>
            </w:pPr>
          </w:p>
        </w:tc>
        <w:tc>
          <w:tcPr>
            <w:tcW w:w="1440" w:type="dxa"/>
            <w:vAlign w:val="bottom"/>
            <w:tcBorders>
              <w:right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0" w:type="dxa"/>
            <w:vAlign w:val="bottom"/>
            <w:gridSpan w:val="35"/>
          </w:tcPr>
          <w:p>
            <w:pPr>
              <w:spacing w:after="0" w:line="169" w:lineRule="exact"/>
              <w:rPr>
                <w:rFonts w:ascii="Arial" w:cs="Arial" w:eastAsia="Arial" w:hAnsi="Arial"/>
                <w:sz w:val="16"/>
                <w:szCs w:val="16"/>
                <w:color w:val="0000EE"/>
              </w:rPr>
            </w:pPr>
            <w:hyperlink w:anchor="page53">
              <w:r>
                <w:rPr>
                  <w:rFonts w:ascii="Arial" w:cs="Arial" w:eastAsia="Arial" w:hAnsi="Arial"/>
                  <w:sz w:val="16"/>
                  <w:szCs w:val="16"/>
                  <w:color w:val="0000EE"/>
                </w:rPr>
                <w:t>Compensation Elements</w:t>
              </w:r>
            </w:hyperlink>
          </w:p>
        </w:tc>
        <w:tc>
          <w:tcPr>
            <w:tcW w:w="980" w:type="dxa"/>
            <w:vAlign w:val="bottom"/>
          </w:tcPr>
          <w:p>
            <w:pPr>
              <w:jc w:val="right"/>
              <w:ind w:right="2"/>
              <w:spacing w:after="0" w:line="169"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69"/>
        </w:trPr>
        <w:tc>
          <w:tcPr>
            <w:tcW w:w="1080" w:type="dxa"/>
            <w:vAlign w:val="bottom"/>
            <w:tcBorders>
              <w:top w:val="single" w:sz="8" w:color="1A6DBB"/>
              <w:bottom w:val="single" w:sz="8" w:color="E8F0F8"/>
            </w:tcBorders>
            <w:gridSpan w:val="2"/>
            <w:vMerge w:val="continue"/>
            <w:shd w:val="clear" w:color="auto" w:fill="E8F0F8"/>
          </w:tcPr>
          <w:p>
            <w:pPr>
              <w:spacing w:after="0"/>
              <w:rPr>
                <w:sz w:val="14"/>
                <w:szCs w:val="14"/>
                <w:color w:val="auto"/>
              </w:rPr>
            </w:pPr>
          </w:p>
        </w:tc>
        <w:tc>
          <w:tcPr>
            <w:tcW w:w="60" w:type="dxa"/>
            <w:vAlign w:val="bottom"/>
            <w:tcBorders>
              <w:top w:val="single" w:sz="8" w:color="E8F0F8"/>
              <w:bottom w:val="single" w:sz="8" w:color="E8F0F8"/>
            </w:tcBorders>
            <w:shd w:val="clear" w:color="auto" w:fill="E8F0F8"/>
          </w:tcPr>
          <w:p>
            <w:pPr>
              <w:spacing w:after="0"/>
              <w:rPr>
                <w:sz w:val="14"/>
                <w:szCs w:val="14"/>
                <w:color w:val="auto"/>
              </w:rPr>
            </w:pPr>
          </w:p>
        </w:tc>
        <w:tc>
          <w:tcPr>
            <w:tcW w:w="2780" w:type="dxa"/>
            <w:vAlign w:val="bottom"/>
            <w:tcBorders>
              <w:top w:val="single" w:sz="8" w:color="E8F0F8"/>
              <w:bottom w:val="single" w:sz="8" w:color="E8F0F8"/>
            </w:tcBorders>
            <w:shd w:val="clear" w:color="auto" w:fill="E8F0F8"/>
          </w:tcPr>
          <w:p>
            <w:pPr>
              <w:spacing w:after="0"/>
              <w:rPr>
                <w:sz w:val="14"/>
                <w:szCs w:val="14"/>
                <w:color w:val="auto"/>
              </w:rPr>
            </w:pPr>
          </w:p>
        </w:tc>
        <w:tc>
          <w:tcPr>
            <w:tcW w:w="1440" w:type="dxa"/>
            <w:vAlign w:val="bottom"/>
            <w:tcBorders>
              <w:top w:val="single" w:sz="8" w:color="E8F0F8"/>
              <w:bottom w:val="single" w:sz="8" w:color="E8F0F8"/>
              <w:right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top w:val="single" w:sz="8" w:color="0000EE"/>
              <w:bottom w:val="single" w:sz="8" w:color="0000EE"/>
            </w:tcBorders>
            <w:gridSpan w:val="6"/>
          </w:tcPr>
          <w:p>
            <w:pPr>
              <w:spacing w:after="0" w:line="169" w:lineRule="exact"/>
              <w:rPr>
                <w:rFonts w:ascii="Arial" w:cs="Arial" w:eastAsia="Arial" w:hAnsi="Arial"/>
                <w:sz w:val="16"/>
                <w:szCs w:val="16"/>
                <w:color w:val="0000EE"/>
                <w:w w:val="96"/>
              </w:rPr>
            </w:pPr>
            <w:hyperlink w:anchor="page53">
              <w:r>
                <w:rPr>
                  <w:rFonts w:ascii="Arial" w:cs="Arial" w:eastAsia="Arial" w:hAnsi="Arial"/>
                  <w:sz w:val="16"/>
                  <w:szCs w:val="16"/>
                  <w:color w:val="0000EE"/>
                  <w:w w:val="96"/>
                </w:rPr>
                <w:t>Compensation Mix</w:t>
              </w:r>
            </w:hyperlink>
          </w:p>
        </w:tc>
        <w:tc>
          <w:tcPr>
            <w:tcW w:w="420" w:type="dxa"/>
            <w:vAlign w:val="bottom"/>
            <w:tcBorders>
              <w:top w:val="single" w:sz="8" w:color="0000EE"/>
            </w:tcBorders>
            <w:gridSpan w:val="4"/>
          </w:tcPr>
          <w:p>
            <w:pPr>
              <w:spacing w:after="0"/>
              <w:rPr>
                <w:sz w:val="14"/>
                <w:szCs w:val="14"/>
                <w:color w:val="auto"/>
              </w:rPr>
            </w:pPr>
          </w:p>
        </w:tc>
        <w:tc>
          <w:tcPr>
            <w:tcW w:w="2480" w:type="dxa"/>
            <w:vAlign w:val="bottom"/>
            <w:gridSpan w:val="25"/>
          </w:tcPr>
          <w:p>
            <w:pPr>
              <w:spacing w:after="0"/>
              <w:rPr>
                <w:sz w:val="14"/>
                <w:szCs w:val="14"/>
                <w:color w:val="auto"/>
              </w:rPr>
            </w:pPr>
          </w:p>
        </w:tc>
        <w:tc>
          <w:tcPr>
            <w:tcW w:w="980" w:type="dxa"/>
            <w:vAlign w:val="bottom"/>
          </w:tcPr>
          <w:p>
            <w:pPr>
              <w:jc w:val="right"/>
              <w:ind w:right="2"/>
              <w:spacing w:after="0" w:line="169"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69"/>
        </w:trPr>
        <w:tc>
          <w:tcPr>
            <w:tcW w:w="120" w:type="dxa"/>
            <w:vAlign w:val="bottom"/>
            <w:shd w:val="clear" w:color="auto" w:fill="E8F0F8"/>
          </w:tcPr>
          <w:p>
            <w:pPr>
              <w:spacing w:after="0"/>
              <w:rPr>
                <w:sz w:val="14"/>
                <w:szCs w:val="14"/>
                <w:color w:val="auto"/>
              </w:rPr>
            </w:pPr>
          </w:p>
        </w:tc>
        <w:tc>
          <w:tcPr>
            <w:tcW w:w="960" w:type="dxa"/>
            <w:vAlign w:val="bottom"/>
            <w:shd w:val="clear" w:color="auto" w:fill="E8F0F8"/>
          </w:tcPr>
          <w:p>
            <w:pPr>
              <w:spacing w:after="0"/>
              <w:rPr>
                <w:sz w:val="14"/>
                <w:szCs w:val="14"/>
                <w:color w:val="auto"/>
              </w:rPr>
            </w:pPr>
          </w:p>
        </w:tc>
        <w:tc>
          <w:tcPr>
            <w:tcW w:w="60" w:type="dxa"/>
            <w:vAlign w:val="bottom"/>
            <w:shd w:val="clear" w:color="auto" w:fill="E8F0F8"/>
          </w:tcPr>
          <w:p>
            <w:pPr>
              <w:spacing w:after="0"/>
              <w:rPr>
                <w:sz w:val="14"/>
                <w:szCs w:val="14"/>
                <w:color w:val="auto"/>
              </w:rPr>
            </w:pPr>
          </w:p>
        </w:tc>
        <w:tc>
          <w:tcPr>
            <w:tcW w:w="2780" w:type="dxa"/>
            <w:vAlign w:val="bottom"/>
            <w:shd w:val="clear" w:color="auto" w:fill="E8F0F8"/>
          </w:tcPr>
          <w:p>
            <w:pPr>
              <w:spacing w:after="0"/>
              <w:rPr>
                <w:sz w:val="14"/>
                <w:szCs w:val="14"/>
                <w:color w:val="auto"/>
              </w:rPr>
            </w:pPr>
          </w:p>
        </w:tc>
        <w:tc>
          <w:tcPr>
            <w:tcW w:w="1440" w:type="dxa"/>
            <w:vAlign w:val="bottom"/>
            <w:tcBorders>
              <w:right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0" w:type="dxa"/>
            <w:vAlign w:val="bottom"/>
            <w:gridSpan w:val="35"/>
          </w:tcPr>
          <w:p>
            <w:pPr>
              <w:spacing w:after="0" w:line="169" w:lineRule="exact"/>
              <w:rPr>
                <w:rFonts w:ascii="Arial" w:cs="Arial" w:eastAsia="Arial" w:hAnsi="Arial"/>
                <w:sz w:val="16"/>
                <w:szCs w:val="16"/>
                <w:color w:val="0000EE"/>
              </w:rPr>
            </w:pPr>
            <w:hyperlink w:anchor="page54">
              <w:r>
                <w:rPr>
                  <w:rFonts w:ascii="Arial" w:cs="Arial" w:eastAsia="Arial" w:hAnsi="Arial"/>
                  <w:sz w:val="16"/>
                  <w:szCs w:val="16"/>
                  <w:color w:val="0000EE"/>
                </w:rPr>
                <w:t>Performance Goals and Target Setting Process</w:t>
              </w:r>
            </w:hyperlink>
          </w:p>
        </w:tc>
        <w:tc>
          <w:tcPr>
            <w:tcW w:w="980" w:type="dxa"/>
            <w:vAlign w:val="bottom"/>
          </w:tcPr>
          <w:p>
            <w:pPr>
              <w:jc w:val="right"/>
              <w:ind w:right="2"/>
              <w:spacing w:after="0" w:line="169"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
        </w:trPr>
        <w:tc>
          <w:tcPr>
            <w:tcW w:w="120" w:type="dxa"/>
            <w:vAlign w:val="bottom"/>
            <w:shd w:val="clear" w:color="auto" w:fill="E8F0F8"/>
          </w:tcPr>
          <w:p>
            <w:pPr>
              <w:spacing w:after="0" w:line="20" w:lineRule="exact"/>
              <w:rPr>
                <w:sz w:val="1"/>
                <w:szCs w:val="1"/>
                <w:color w:val="auto"/>
              </w:rPr>
            </w:pPr>
          </w:p>
        </w:tc>
        <w:tc>
          <w:tcPr>
            <w:tcW w:w="960" w:type="dxa"/>
            <w:vAlign w:val="bottom"/>
            <w:shd w:val="clear" w:color="auto" w:fill="E8F0F8"/>
          </w:tcPr>
          <w:p>
            <w:pPr>
              <w:spacing w:after="0" w:line="20" w:lineRule="exact"/>
              <w:rPr>
                <w:sz w:val="1"/>
                <w:szCs w:val="1"/>
                <w:color w:val="auto"/>
              </w:rPr>
            </w:pPr>
          </w:p>
        </w:tc>
        <w:tc>
          <w:tcPr>
            <w:tcW w:w="60" w:type="dxa"/>
            <w:vAlign w:val="bottom"/>
            <w:shd w:val="clear" w:color="auto" w:fill="E8F0F8"/>
          </w:tcPr>
          <w:p>
            <w:pPr>
              <w:spacing w:after="0" w:line="20" w:lineRule="exact"/>
              <w:rPr>
                <w:sz w:val="1"/>
                <w:szCs w:val="1"/>
                <w:color w:val="auto"/>
              </w:rPr>
            </w:pPr>
          </w:p>
        </w:tc>
        <w:tc>
          <w:tcPr>
            <w:tcW w:w="2780" w:type="dxa"/>
            <w:vAlign w:val="bottom"/>
            <w:shd w:val="clear" w:color="auto" w:fill="E8F0F8"/>
          </w:tcPr>
          <w:p>
            <w:pPr>
              <w:spacing w:after="0" w:line="20" w:lineRule="exact"/>
              <w:rPr>
                <w:sz w:val="1"/>
                <w:szCs w:val="1"/>
                <w:color w:val="auto"/>
              </w:rPr>
            </w:pPr>
          </w:p>
        </w:tc>
        <w:tc>
          <w:tcPr>
            <w:tcW w:w="1440" w:type="dxa"/>
            <w:vAlign w:val="bottom"/>
            <w:tcBorders>
              <w:right w:val="single" w:sz="8" w:color="E8F0F8"/>
            </w:tcBorders>
            <w:shd w:val="clear" w:color="auto" w:fill="E8F0F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 w:type="dxa"/>
            <w:vAlign w:val="bottom"/>
            <w:shd w:val="clear" w:color="auto" w:fill="E8F0F8"/>
          </w:tcPr>
          <w:p>
            <w:pPr>
              <w:spacing w:after="0"/>
              <w:rPr>
                <w:sz w:val="14"/>
                <w:szCs w:val="14"/>
                <w:color w:val="auto"/>
              </w:rPr>
            </w:pPr>
          </w:p>
        </w:tc>
        <w:tc>
          <w:tcPr>
            <w:tcW w:w="960" w:type="dxa"/>
            <w:vAlign w:val="bottom"/>
            <w:shd w:val="clear" w:color="auto" w:fill="E8F0F8"/>
          </w:tcPr>
          <w:p>
            <w:pPr>
              <w:spacing w:after="0"/>
              <w:rPr>
                <w:sz w:val="14"/>
                <w:szCs w:val="14"/>
                <w:color w:val="auto"/>
              </w:rPr>
            </w:pPr>
          </w:p>
        </w:tc>
        <w:tc>
          <w:tcPr>
            <w:tcW w:w="60" w:type="dxa"/>
            <w:vAlign w:val="bottom"/>
            <w:shd w:val="clear" w:color="auto" w:fill="E8F0F8"/>
          </w:tcPr>
          <w:p>
            <w:pPr>
              <w:spacing w:after="0"/>
              <w:rPr>
                <w:sz w:val="14"/>
                <w:szCs w:val="14"/>
                <w:color w:val="auto"/>
              </w:rPr>
            </w:pPr>
          </w:p>
        </w:tc>
        <w:tc>
          <w:tcPr>
            <w:tcW w:w="2780" w:type="dxa"/>
            <w:vAlign w:val="bottom"/>
            <w:shd w:val="clear" w:color="auto" w:fill="E8F0F8"/>
          </w:tcPr>
          <w:p>
            <w:pPr>
              <w:spacing w:after="0"/>
              <w:rPr>
                <w:sz w:val="14"/>
                <w:szCs w:val="14"/>
                <w:color w:val="auto"/>
              </w:rPr>
            </w:pPr>
          </w:p>
        </w:tc>
        <w:tc>
          <w:tcPr>
            <w:tcW w:w="1440" w:type="dxa"/>
            <w:vAlign w:val="bottom"/>
            <w:tcBorders>
              <w:right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4360" w:type="dxa"/>
            <w:vAlign w:val="bottom"/>
            <w:gridSpan w:val="36"/>
          </w:tcPr>
          <w:p>
            <w:pPr>
              <w:ind w:left="100"/>
              <w:spacing w:after="0" w:line="169" w:lineRule="exact"/>
              <w:rPr>
                <w:rFonts w:ascii="Arial" w:cs="Arial" w:eastAsia="Arial" w:hAnsi="Arial"/>
                <w:sz w:val="16"/>
                <w:szCs w:val="16"/>
                <w:color w:val="0000EE"/>
              </w:rPr>
            </w:pPr>
            <w:hyperlink w:anchor="page56">
              <w:r>
                <w:rPr>
                  <w:rFonts w:ascii="Arial" w:cs="Arial" w:eastAsia="Arial" w:hAnsi="Arial"/>
                  <w:sz w:val="16"/>
                  <w:szCs w:val="16"/>
                  <w:color w:val="0000EE"/>
                </w:rPr>
                <w:t>2018 Base Salary</w:t>
              </w:r>
            </w:hyperlink>
          </w:p>
        </w:tc>
        <w:tc>
          <w:tcPr>
            <w:tcW w:w="980" w:type="dxa"/>
            <w:vAlign w:val="bottom"/>
          </w:tcPr>
          <w:p>
            <w:pPr>
              <w:jc w:val="right"/>
              <w:ind w:right="2"/>
              <w:spacing w:after="0" w:line="169"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120" w:type="dxa"/>
            <w:vAlign w:val="bottom"/>
            <w:shd w:val="clear" w:color="auto" w:fill="E8F0F8"/>
          </w:tcPr>
          <w:p>
            <w:pPr>
              <w:spacing w:after="0" w:line="20" w:lineRule="exact"/>
              <w:rPr>
                <w:sz w:val="1"/>
                <w:szCs w:val="1"/>
                <w:color w:val="auto"/>
              </w:rPr>
            </w:pPr>
          </w:p>
        </w:tc>
        <w:tc>
          <w:tcPr>
            <w:tcW w:w="960" w:type="dxa"/>
            <w:vAlign w:val="bottom"/>
            <w:shd w:val="clear" w:color="auto" w:fill="E8F0F8"/>
          </w:tcPr>
          <w:p>
            <w:pPr>
              <w:spacing w:after="0" w:line="20" w:lineRule="exact"/>
              <w:rPr>
                <w:sz w:val="1"/>
                <w:szCs w:val="1"/>
                <w:color w:val="auto"/>
              </w:rPr>
            </w:pPr>
          </w:p>
        </w:tc>
        <w:tc>
          <w:tcPr>
            <w:tcW w:w="60" w:type="dxa"/>
            <w:vAlign w:val="bottom"/>
            <w:shd w:val="clear" w:color="auto" w:fill="E8F0F8"/>
          </w:tcPr>
          <w:p>
            <w:pPr>
              <w:spacing w:after="0" w:line="20" w:lineRule="exact"/>
              <w:rPr>
                <w:sz w:val="1"/>
                <w:szCs w:val="1"/>
                <w:color w:val="auto"/>
              </w:rPr>
            </w:pPr>
          </w:p>
        </w:tc>
        <w:tc>
          <w:tcPr>
            <w:tcW w:w="2780" w:type="dxa"/>
            <w:vAlign w:val="bottom"/>
            <w:shd w:val="clear" w:color="auto" w:fill="E8F0F8"/>
          </w:tcPr>
          <w:p>
            <w:pPr>
              <w:spacing w:after="0" w:line="20" w:lineRule="exact"/>
              <w:rPr>
                <w:sz w:val="1"/>
                <w:szCs w:val="1"/>
                <w:color w:val="auto"/>
              </w:rPr>
            </w:pPr>
          </w:p>
        </w:tc>
        <w:tc>
          <w:tcPr>
            <w:tcW w:w="1440" w:type="dxa"/>
            <w:vAlign w:val="bottom"/>
            <w:tcBorders>
              <w:right w:val="single" w:sz="8" w:color="E8F0F8"/>
            </w:tcBorders>
            <w:shd w:val="clear" w:color="auto" w:fill="E8F0F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 w:type="dxa"/>
            <w:vAlign w:val="bottom"/>
            <w:shd w:val="clear" w:color="auto" w:fill="E8F0F8"/>
          </w:tcPr>
          <w:p>
            <w:pPr>
              <w:spacing w:after="0"/>
              <w:rPr>
                <w:sz w:val="14"/>
                <w:szCs w:val="14"/>
                <w:color w:val="auto"/>
              </w:rPr>
            </w:pPr>
          </w:p>
        </w:tc>
        <w:tc>
          <w:tcPr>
            <w:tcW w:w="960" w:type="dxa"/>
            <w:vAlign w:val="bottom"/>
            <w:shd w:val="clear" w:color="auto" w:fill="E8F0F8"/>
          </w:tcPr>
          <w:p>
            <w:pPr>
              <w:spacing w:after="0"/>
              <w:rPr>
                <w:sz w:val="14"/>
                <w:szCs w:val="14"/>
                <w:color w:val="auto"/>
              </w:rPr>
            </w:pPr>
          </w:p>
        </w:tc>
        <w:tc>
          <w:tcPr>
            <w:tcW w:w="60" w:type="dxa"/>
            <w:vAlign w:val="bottom"/>
            <w:shd w:val="clear" w:color="auto" w:fill="E8F0F8"/>
          </w:tcPr>
          <w:p>
            <w:pPr>
              <w:spacing w:after="0"/>
              <w:rPr>
                <w:sz w:val="14"/>
                <w:szCs w:val="14"/>
                <w:color w:val="auto"/>
              </w:rPr>
            </w:pPr>
          </w:p>
        </w:tc>
        <w:tc>
          <w:tcPr>
            <w:tcW w:w="2780" w:type="dxa"/>
            <w:vAlign w:val="bottom"/>
            <w:shd w:val="clear" w:color="auto" w:fill="E8F0F8"/>
          </w:tcPr>
          <w:p>
            <w:pPr>
              <w:spacing w:after="0"/>
              <w:rPr>
                <w:sz w:val="14"/>
                <w:szCs w:val="14"/>
                <w:color w:val="auto"/>
              </w:rPr>
            </w:pPr>
          </w:p>
        </w:tc>
        <w:tc>
          <w:tcPr>
            <w:tcW w:w="1440" w:type="dxa"/>
            <w:vAlign w:val="bottom"/>
            <w:tcBorders>
              <w:right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0" w:type="dxa"/>
            <w:vAlign w:val="bottom"/>
            <w:gridSpan w:val="35"/>
          </w:tcPr>
          <w:p>
            <w:pPr>
              <w:spacing w:after="0" w:line="169" w:lineRule="exact"/>
              <w:rPr>
                <w:rFonts w:ascii="Arial" w:cs="Arial" w:eastAsia="Arial" w:hAnsi="Arial"/>
                <w:sz w:val="16"/>
                <w:szCs w:val="16"/>
                <w:color w:val="0000EE"/>
              </w:rPr>
            </w:pPr>
            <w:hyperlink w:anchor="page56">
              <w:r>
                <w:rPr>
                  <w:rFonts w:ascii="Arial" w:cs="Arial" w:eastAsia="Arial" w:hAnsi="Arial"/>
                  <w:sz w:val="16"/>
                  <w:szCs w:val="16"/>
                  <w:color w:val="0000EE"/>
                </w:rPr>
                <w:t>2018 Performance-Based Plans and Goal Setting</w:t>
              </w:r>
            </w:hyperlink>
          </w:p>
        </w:tc>
        <w:tc>
          <w:tcPr>
            <w:tcW w:w="980" w:type="dxa"/>
            <w:vAlign w:val="bottom"/>
          </w:tcPr>
          <w:p>
            <w:pPr>
              <w:jc w:val="right"/>
              <w:ind w:right="2"/>
              <w:spacing w:after="0" w:line="169"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69"/>
        </w:trPr>
        <w:tc>
          <w:tcPr>
            <w:tcW w:w="120" w:type="dxa"/>
            <w:vAlign w:val="bottom"/>
            <w:tcBorders>
              <w:top w:val="single" w:sz="8" w:color="E8F0F8"/>
            </w:tcBorders>
            <w:shd w:val="clear" w:color="auto" w:fill="E8F0F8"/>
          </w:tcPr>
          <w:p>
            <w:pPr>
              <w:spacing w:after="0"/>
              <w:rPr>
                <w:sz w:val="14"/>
                <w:szCs w:val="14"/>
                <w:color w:val="auto"/>
              </w:rPr>
            </w:pPr>
          </w:p>
        </w:tc>
        <w:tc>
          <w:tcPr>
            <w:tcW w:w="960" w:type="dxa"/>
            <w:vAlign w:val="bottom"/>
            <w:tcBorders>
              <w:top w:val="single" w:sz="8" w:color="E8F0F8"/>
            </w:tcBorders>
            <w:shd w:val="clear" w:color="auto" w:fill="E8F0F8"/>
          </w:tcPr>
          <w:p>
            <w:pPr>
              <w:spacing w:after="0"/>
              <w:rPr>
                <w:sz w:val="14"/>
                <w:szCs w:val="14"/>
                <w:color w:val="auto"/>
              </w:rPr>
            </w:pPr>
          </w:p>
        </w:tc>
        <w:tc>
          <w:tcPr>
            <w:tcW w:w="60" w:type="dxa"/>
            <w:vAlign w:val="bottom"/>
            <w:tcBorders>
              <w:top w:val="single" w:sz="8" w:color="E8F0F8"/>
            </w:tcBorders>
            <w:shd w:val="clear" w:color="auto" w:fill="E8F0F8"/>
          </w:tcPr>
          <w:p>
            <w:pPr>
              <w:spacing w:after="0"/>
              <w:rPr>
                <w:sz w:val="14"/>
                <w:szCs w:val="14"/>
                <w:color w:val="auto"/>
              </w:rPr>
            </w:pPr>
          </w:p>
        </w:tc>
        <w:tc>
          <w:tcPr>
            <w:tcW w:w="2780" w:type="dxa"/>
            <w:vAlign w:val="bottom"/>
            <w:tcBorders>
              <w:top w:val="single" w:sz="8" w:color="E8F0F8"/>
            </w:tcBorders>
            <w:shd w:val="clear" w:color="auto" w:fill="E8F0F8"/>
          </w:tcPr>
          <w:p>
            <w:pPr>
              <w:spacing w:after="0"/>
              <w:rPr>
                <w:sz w:val="14"/>
                <w:szCs w:val="14"/>
                <w:color w:val="auto"/>
              </w:rPr>
            </w:pPr>
          </w:p>
        </w:tc>
        <w:tc>
          <w:tcPr>
            <w:tcW w:w="1440" w:type="dxa"/>
            <w:vAlign w:val="bottom"/>
            <w:tcBorders>
              <w:top w:val="single" w:sz="8" w:color="E8F0F8"/>
              <w:right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00" w:type="dxa"/>
            <w:vAlign w:val="bottom"/>
            <w:tcBorders>
              <w:top w:val="single" w:sz="8" w:color="0000EE"/>
            </w:tcBorders>
            <w:gridSpan w:val="27"/>
          </w:tcPr>
          <w:p>
            <w:pPr>
              <w:spacing w:after="0" w:line="169" w:lineRule="exact"/>
              <w:rPr>
                <w:rFonts w:ascii="Arial" w:cs="Arial" w:eastAsia="Arial" w:hAnsi="Arial"/>
                <w:sz w:val="16"/>
                <w:szCs w:val="16"/>
                <w:color w:val="0000EE"/>
              </w:rPr>
            </w:pPr>
            <w:hyperlink w:anchor="page60">
              <w:r>
                <w:rPr>
                  <w:rFonts w:ascii="Arial" w:cs="Arial" w:eastAsia="Arial" w:hAnsi="Arial"/>
                  <w:sz w:val="16"/>
                  <w:szCs w:val="16"/>
                  <w:color w:val="0000EE"/>
                </w:rPr>
                <w:t>Long-Term Incentives</w:t>
              </w:r>
            </w:hyperlink>
          </w:p>
        </w:tc>
        <w:tc>
          <w:tcPr>
            <w:tcW w:w="700" w:type="dxa"/>
            <w:vAlign w:val="bottom"/>
            <w:gridSpan w:val="8"/>
          </w:tcPr>
          <w:p>
            <w:pPr>
              <w:spacing w:after="0"/>
              <w:rPr>
                <w:sz w:val="14"/>
                <w:szCs w:val="14"/>
                <w:color w:val="auto"/>
              </w:rPr>
            </w:pPr>
          </w:p>
        </w:tc>
        <w:tc>
          <w:tcPr>
            <w:tcW w:w="980" w:type="dxa"/>
            <w:vAlign w:val="bottom"/>
          </w:tcPr>
          <w:p>
            <w:pPr>
              <w:jc w:val="right"/>
              <w:ind w:right="2"/>
              <w:spacing w:after="0" w:line="169" w:lineRule="exact"/>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69"/>
        </w:trPr>
        <w:tc>
          <w:tcPr>
            <w:tcW w:w="120" w:type="dxa"/>
            <w:vAlign w:val="bottom"/>
            <w:tcBorders>
              <w:top w:val="single" w:sz="8" w:color="E8F0F8"/>
              <w:bottom w:val="single" w:sz="8" w:color="E8F0F8"/>
            </w:tcBorders>
            <w:shd w:val="clear" w:color="auto" w:fill="E8F0F8"/>
          </w:tcPr>
          <w:p>
            <w:pPr>
              <w:spacing w:after="0"/>
              <w:rPr>
                <w:sz w:val="14"/>
                <w:szCs w:val="14"/>
                <w:color w:val="auto"/>
              </w:rPr>
            </w:pPr>
          </w:p>
        </w:tc>
        <w:tc>
          <w:tcPr>
            <w:tcW w:w="960" w:type="dxa"/>
            <w:vAlign w:val="bottom"/>
            <w:tcBorders>
              <w:top w:val="single" w:sz="8" w:color="E8F0F8"/>
              <w:bottom w:val="single" w:sz="8" w:color="E8F0F8"/>
            </w:tcBorders>
            <w:shd w:val="clear" w:color="auto" w:fill="E8F0F8"/>
          </w:tcPr>
          <w:p>
            <w:pPr>
              <w:spacing w:after="0"/>
              <w:rPr>
                <w:sz w:val="14"/>
                <w:szCs w:val="14"/>
                <w:color w:val="auto"/>
              </w:rPr>
            </w:pPr>
          </w:p>
        </w:tc>
        <w:tc>
          <w:tcPr>
            <w:tcW w:w="60" w:type="dxa"/>
            <w:vAlign w:val="bottom"/>
            <w:tcBorders>
              <w:top w:val="single" w:sz="8" w:color="E8F0F8"/>
              <w:bottom w:val="single" w:sz="8" w:color="E8F0F8"/>
            </w:tcBorders>
            <w:shd w:val="clear" w:color="auto" w:fill="E8F0F8"/>
          </w:tcPr>
          <w:p>
            <w:pPr>
              <w:spacing w:after="0"/>
              <w:rPr>
                <w:sz w:val="14"/>
                <w:szCs w:val="14"/>
                <w:color w:val="auto"/>
              </w:rPr>
            </w:pPr>
          </w:p>
        </w:tc>
        <w:tc>
          <w:tcPr>
            <w:tcW w:w="2780" w:type="dxa"/>
            <w:vAlign w:val="bottom"/>
            <w:tcBorders>
              <w:top w:val="single" w:sz="8" w:color="E8F0F8"/>
              <w:bottom w:val="single" w:sz="8" w:color="E8F0F8"/>
            </w:tcBorders>
            <w:shd w:val="clear" w:color="auto" w:fill="E8F0F8"/>
          </w:tcPr>
          <w:p>
            <w:pPr>
              <w:spacing w:after="0"/>
              <w:rPr>
                <w:sz w:val="14"/>
                <w:szCs w:val="14"/>
                <w:color w:val="auto"/>
              </w:rPr>
            </w:pPr>
          </w:p>
        </w:tc>
        <w:tc>
          <w:tcPr>
            <w:tcW w:w="1440" w:type="dxa"/>
            <w:vAlign w:val="bottom"/>
            <w:tcBorders>
              <w:top w:val="single" w:sz="8" w:color="E8F0F8"/>
              <w:bottom w:val="single" w:sz="8" w:color="E8F0F8"/>
              <w:right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w w:val="96"/>
              </w:rPr>
            </w:pPr>
            <w:hyperlink w:anchor="page63">
              <w:r>
                <w:rPr>
                  <w:rFonts w:ascii="Arial" w:cs="Arial" w:eastAsia="Arial" w:hAnsi="Arial"/>
                  <w:sz w:val="16"/>
                  <w:szCs w:val="16"/>
                  <w:color w:val="0000EE"/>
                  <w:w w:val="96"/>
                </w:rPr>
                <w:t>Retirement Plans</w:t>
              </w:r>
            </w:hyperlink>
          </w:p>
        </w:tc>
        <w:tc>
          <w:tcPr>
            <w:tcW w:w="280" w:type="dxa"/>
            <w:vAlign w:val="bottom"/>
            <w:tcBorders>
              <w:top w:val="single" w:sz="8" w:color="0000EE"/>
            </w:tcBorders>
            <w:gridSpan w:val="3"/>
          </w:tcPr>
          <w:p>
            <w:pPr>
              <w:spacing w:after="0"/>
              <w:rPr>
                <w:sz w:val="14"/>
                <w:szCs w:val="14"/>
                <w:color w:val="auto"/>
              </w:rPr>
            </w:pPr>
          </w:p>
        </w:tc>
        <w:tc>
          <w:tcPr>
            <w:tcW w:w="2700" w:type="dxa"/>
            <w:vAlign w:val="bottom"/>
            <w:gridSpan w:val="27"/>
          </w:tcPr>
          <w:p>
            <w:pPr>
              <w:spacing w:after="0"/>
              <w:rPr>
                <w:sz w:val="14"/>
                <w:szCs w:val="14"/>
                <w:color w:val="auto"/>
              </w:rPr>
            </w:pPr>
          </w:p>
        </w:tc>
        <w:tc>
          <w:tcPr>
            <w:tcW w:w="980" w:type="dxa"/>
            <w:vAlign w:val="bottom"/>
          </w:tcPr>
          <w:p>
            <w:pPr>
              <w:jc w:val="right"/>
              <w:ind w:right="2"/>
              <w:spacing w:after="0" w:line="169"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69"/>
        </w:trPr>
        <w:tc>
          <w:tcPr>
            <w:tcW w:w="120" w:type="dxa"/>
            <w:vAlign w:val="bottom"/>
            <w:tcBorders>
              <w:bottom w:val="single" w:sz="8" w:color="E8F0F8"/>
            </w:tcBorders>
            <w:shd w:val="clear" w:color="auto" w:fill="E8F0F8"/>
          </w:tcPr>
          <w:p>
            <w:pPr>
              <w:spacing w:after="0"/>
              <w:rPr>
                <w:sz w:val="14"/>
                <w:szCs w:val="14"/>
                <w:color w:val="auto"/>
              </w:rPr>
            </w:pPr>
          </w:p>
        </w:tc>
        <w:tc>
          <w:tcPr>
            <w:tcW w:w="960" w:type="dxa"/>
            <w:vAlign w:val="bottom"/>
            <w:tcBorders>
              <w:bottom w:val="single" w:sz="8" w:color="E8F0F8"/>
            </w:tcBorders>
            <w:shd w:val="clear" w:color="auto" w:fill="E8F0F8"/>
          </w:tcPr>
          <w:p>
            <w:pPr>
              <w:spacing w:after="0"/>
              <w:rPr>
                <w:sz w:val="14"/>
                <w:szCs w:val="14"/>
                <w:color w:val="auto"/>
              </w:rPr>
            </w:pPr>
          </w:p>
        </w:tc>
        <w:tc>
          <w:tcPr>
            <w:tcW w:w="60" w:type="dxa"/>
            <w:vAlign w:val="bottom"/>
            <w:tcBorders>
              <w:bottom w:val="single" w:sz="8" w:color="E8F0F8"/>
            </w:tcBorders>
            <w:shd w:val="clear" w:color="auto" w:fill="E8F0F8"/>
          </w:tcPr>
          <w:p>
            <w:pPr>
              <w:spacing w:after="0"/>
              <w:rPr>
                <w:sz w:val="14"/>
                <w:szCs w:val="14"/>
                <w:color w:val="auto"/>
              </w:rPr>
            </w:pPr>
          </w:p>
        </w:tc>
        <w:tc>
          <w:tcPr>
            <w:tcW w:w="2780" w:type="dxa"/>
            <w:vAlign w:val="bottom"/>
            <w:tcBorders>
              <w:bottom w:val="single" w:sz="8" w:color="E8F0F8"/>
            </w:tcBorders>
            <w:shd w:val="clear" w:color="auto" w:fill="E8F0F8"/>
          </w:tcPr>
          <w:p>
            <w:pPr>
              <w:spacing w:after="0"/>
              <w:rPr>
                <w:sz w:val="14"/>
                <w:szCs w:val="14"/>
                <w:color w:val="auto"/>
              </w:rPr>
            </w:pPr>
          </w:p>
        </w:tc>
        <w:tc>
          <w:tcPr>
            <w:tcW w:w="1440" w:type="dxa"/>
            <w:vAlign w:val="bottom"/>
            <w:tcBorders>
              <w:bottom w:val="single" w:sz="8" w:color="E8F0F8"/>
              <w:right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0000EE"/>
            </w:tcBorders>
            <w:gridSpan w:val="2"/>
          </w:tcPr>
          <w:p>
            <w:pPr>
              <w:spacing w:after="0" w:line="169" w:lineRule="exact"/>
              <w:rPr>
                <w:rFonts w:ascii="Arial" w:cs="Arial" w:eastAsia="Arial" w:hAnsi="Arial"/>
                <w:sz w:val="16"/>
                <w:szCs w:val="16"/>
                <w:color w:val="0000EE"/>
                <w:w w:val="95"/>
              </w:rPr>
            </w:pPr>
            <w:hyperlink w:anchor="page64">
              <w:r>
                <w:rPr>
                  <w:rFonts w:ascii="Arial" w:cs="Arial" w:eastAsia="Arial" w:hAnsi="Arial"/>
                  <w:sz w:val="16"/>
                  <w:szCs w:val="16"/>
                  <w:color w:val="0000EE"/>
                  <w:w w:val="95"/>
                </w:rPr>
                <w:t>Other Benefits</w:t>
              </w:r>
            </w:hyperlink>
          </w:p>
        </w:tc>
        <w:tc>
          <w:tcPr>
            <w:tcW w:w="3200" w:type="dxa"/>
            <w:vAlign w:val="bottom"/>
            <w:gridSpan w:val="33"/>
          </w:tcPr>
          <w:p>
            <w:pPr>
              <w:spacing w:after="0"/>
              <w:rPr>
                <w:sz w:val="14"/>
                <w:szCs w:val="14"/>
                <w:color w:val="auto"/>
              </w:rPr>
            </w:pPr>
          </w:p>
        </w:tc>
        <w:tc>
          <w:tcPr>
            <w:tcW w:w="980" w:type="dxa"/>
            <w:vAlign w:val="bottom"/>
          </w:tcPr>
          <w:p>
            <w:pPr>
              <w:jc w:val="right"/>
              <w:ind w:right="2"/>
              <w:spacing w:after="0" w:line="169"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69"/>
        </w:trPr>
        <w:tc>
          <w:tcPr>
            <w:tcW w:w="120" w:type="dxa"/>
            <w:vAlign w:val="bottom"/>
            <w:shd w:val="clear" w:color="auto" w:fill="E8F0F8"/>
          </w:tcPr>
          <w:p>
            <w:pPr>
              <w:spacing w:after="0"/>
              <w:rPr>
                <w:sz w:val="14"/>
                <w:szCs w:val="14"/>
                <w:color w:val="auto"/>
              </w:rPr>
            </w:pPr>
          </w:p>
        </w:tc>
        <w:tc>
          <w:tcPr>
            <w:tcW w:w="960" w:type="dxa"/>
            <w:vAlign w:val="bottom"/>
            <w:shd w:val="clear" w:color="auto" w:fill="E8F0F8"/>
          </w:tcPr>
          <w:p>
            <w:pPr>
              <w:spacing w:after="0"/>
              <w:rPr>
                <w:sz w:val="14"/>
                <w:szCs w:val="14"/>
                <w:color w:val="auto"/>
              </w:rPr>
            </w:pPr>
          </w:p>
        </w:tc>
        <w:tc>
          <w:tcPr>
            <w:tcW w:w="60" w:type="dxa"/>
            <w:vAlign w:val="bottom"/>
            <w:shd w:val="clear" w:color="auto" w:fill="E8F0F8"/>
          </w:tcPr>
          <w:p>
            <w:pPr>
              <w:spacing w:after="0"/>
              <w:rPr>
                <w:sz w:val="14"/>
                <w:szCs w:val="14"/>
                <w:color w:val="auto"/>
              </w:rPr>
            </w:pPr>
          </w:p>
        </w:tc>
        <w:tc>
          <w:tcPr>
            <w:tcW w:w="2780" w:type="dxa"/>
            <w:vAlign w:val="bottom"/>
            <w:shd w:val="clear" w:color="auto" w:fill="E8F0F8"/>
          </w:tcPr>
          <w:p>
            <w:pPr>
              <w:spacing w:after="0"/>
              <w:rPr>
                <w:sz w:val="14"/>
                <w:szCs w:val="14"/>
                <w:color w:val="auto"/>
              </w:rPr>
            </w:pPr>
          </w:p>
        </w:tc>
        <w:tc>
          <w:tcPr>
            <w:tcW w:w="1440" w:type="dxa"/>
            <w:vAlign w:val="bottom"/>
            <w:tcBorders>
              <w:right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0" w:type="dxa"/>
            <w:vAlign w:val="bottom"/>
            <w:gridSpan w:val="35"/>
          </w:tcPr>
          <w:p>
            <w:pPr>
              <w:spacing w:after="0" w:line="169" w:lineRule="exact"/>
              <w:rPr>
                <w:rFonts w:ascii="Arial" w:cs="Arial" w:eastAsia="Arial" w:hAnsi="Arial"/>
                <w:sz w:val="16"/>
                <w:szCs w:val="16"/>
                <w:color w:val="0000EE"/>
              </w:rPr>
            </w:pPr>
            <w:hyperlink w:anchor="page64">
              <w:r>
                <w:rPr>
                  <w:rFonts w:ascii="Arial" w:cs="Arial" w:eastAsia="Arial" w:hAnsi="Arial"/>
                  <w:sz w:val="16"/>
                  <w:szCs w:val="16"/>
                  <w:color w:val="0000EE"/>
                </w:rPr>
                <w:t>Post-Termination Compensation and Benefits</w:t>
              </w:r>
            </w:hyperlink>
          </w:p>
        </w:tc>
        <w:tc>
          <w:tcPr>
            <w:tcW w:w="980" w:type="dxa"/>
            <w:vAlign w:val="bottom"/>
          </w:tcPr>
          <w:p>
            <w:pPr>
              <w:jc w:val="right"/>
              <w:ind w:right="2"/>
              <w:spacing w:after="0" w:line="169"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69"/>
        </w:trPr>
        <w:tc>
          <w:tcPr>
            <w:tcW w:w="120" w:type="dxa"/>
            <w:vAlign w:val="bottom"/>
            <w:tcBorders>
              <w:top w:val="single" w:sz="8" w:color="E8F0F8"/>
              <w:bottom w:val="single" w:sz="8" w:color="E8F0F8"/>
            </w:tcBorders>
            <w:shd w:val="clear" w:color="auto" w:fill="E8F0F8"/>
          </w:tcPr>
          <w:p>
            <w:pPr>
              <w:spacing w:after="0"/>
              <w:rPr>
                <w:sz w:val="14"/>
                <w:szCs w:val="14"/>
                <w:color w:val="auto"/>
              </w:rPr>
            </w:pPr>
          </w:p>
        </w:tc>
        <w:tc>
          <w:tcPr>
            <w:tcW w:w="960" w:type="dxa"/>
            <w:vAlign w:val="bottom"/>
            <w:tcBorders>
              <w:top w:val="single" w:sz="8" w:color="E8F0F8"/>
              <w:bottom w:val="single" w:sz="8" w:color="E8F0F8"/>
            </w:tcBorders>
            <w:shd w:val="clear" w:color="auto" w:fill="E8F0F8"/>
          </w:tcPr>
          <w:p>
            <w:pPr>
              <w:spacing w:after="0"/>
              <w:rPr>
                <w:sz w:val="14"/>
                <w:szCs w:val="14"/>
                <w:color w:val="auto"/>
              </w:rPr>
            </w:pPr>
          </w:p>
        </w:tc>
        <w:tc>
          <w:tcPr>
            <w:tcW w:w="60" w:type="dxa"/>
            <w:vAlign w:val="bottom"/>
            <w:tcBorders>
              <w:top w:val="single" w:sz="8" w:color="E8F0F8"/>
              <w:bottom w:val="single" w:sz="8" w:color="E8F0F8"/>
            </w:tcBorders>
            <w:shd w:val="clear" w:color="auto" w:fill="E8F0F8"/>
          </w:tcPr>
          <w:p>
            <w:pPr>
              <w:spacing w:after="0"/>
              <w:rPr>
                <w:sz w:val="14"/>
                <w:szCs w:val="14"/>
                <w:color w:val="auto"/>
              </w:rPr>
            </w:pPr>
          </w:p>
        </w:tc>
        <w:tc>
          <w:tcPr>
            <w:tcW w:w="2780" w:type="dxa"/>
            <w:vAlign w:val="bottom"/>
            <w:tcBorders>
              <w:top w:val="single" w:sz="8" w:color="E8F0F8"/>
              <w:bottom w:val="single" w:sz="8" w:color="E8F0F8"/>
            </w:tcBorders>
            <w:shd w:val="clear" w:color="auto" w:fill="E8F0F8"/>
          </w:tcPr>
          <w:p>
            <w:pPr>
              <w:spacing w:after="0"/>
              <w:rPr>
                <w:sz w:val="14"/>
                <w:szCs w:val="14"/>
                <w:color w:val="auto"/>
              </w:rPr>
            </w:pPr>
          </w:p>
        </w:tc>
        <w:tc>
          <w:tcPr>
            <w:tcW w:w="1440" w:type="dxa"/>
            <w:vAlign w:val="bottom"/>
            <w:tcBorders>
              <w:top w:val="single" w:sz="8" w:color="E8F0F8"/>
              <w:bottom w:val="single" w:sz="8" w:color="E8F0F8"/>
              <w:right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tcBorders>
              <w:top w:val="single" w:sz="8" w:color="0000EE"/>
              <w:bottom w:val="single" w:sz="8" w:color="0000EE"/>
            </w:tcBorders>
            <w:gridSpan w:val="13"/>
          </w:tcPr>
          <w:p>
            <w:pPr>
              <w:spacing w:after="0" w:line="169" w:lineRule="exact"/>
              <w:rPr>
                <w:rFonts w:ascii="Arial" w:cs="Arial" w:eastAsia="Arial" w:hAnsi="Arial"/>
                <w:sz w:val="16"/>
                <w:szCs w:val="16"/>
                <w:color w:val="0000EE"/>
                <w:w w:val="98"/>
              </w:rPr>
            </w:pPr>
            <w:hyperlink w:anchor="page64">
              <w:r>
                <w:rPr>
                  <w:rFonts w:ascii="Arial" w:cs="Arial" w:eastAsia="Arial" w:hAnsi="Arial"/>
                  <w:sz w:val="16"/>
                  <w:szCs w:val="16"/>
                  <w:color w:val="0000EE"/>
                  <w:w w:val="98"/>
                </w:rPr>
                <w:t>Stock Ownership Guidelines</w:t>
              </w:r>
            </w:hyperlink>
          </w:p>
        </w:tc>
        <w:tc>
          <w:tcPr>
            <w:tcW w:w="1200" w:type="dxa"/>
            <w:vAlign w:val="bottom"/>
            <w:tcBorders>
              <w:top w:val="single" w:sz="8" w:color="0000EE"/>
            </w:tcBorders>
            <w:gridSpan w:val="12"/>
          </w:tcPr>
          <w:p>
            <w:pPr>
              <w:spacing w:after="0"/>
              <w:rPr>
                <w:sz w:val="14"/>
                <w:szCs w:val="14"/>
                <w:color w:val="auto"/>
              </w:rPr>
            </w:pPr>
          </w:p>
        </w:tc>
        <w:tc>
          <w:tcPr>
            <w:tcW w:w="1000" w:type="dxa"/>
            <w:vAlign w:val="bottom"/>
            <w:gridSpan w:val="10"/>
          </w:tcPr>
          <w:p>
            <w:pPr>
              <w:spacing w:after="0"/>
              <w:rPr>
                <w:sz w:val="14"/>
                <w:szCs w:val="14"/>
                <w:color w:val="auto"/>
              </w:rPr>
            </w:pPr>
          </w:p>
        </w:tc>
        <w:tc>
          <w:tcPr>
            <w:tcW w:w="980" w:type="dxa"/>
            <w:vAlign w:val="bottom"/>
          </w:tcPr>
          <w:p>
            <w:pPr>
              <w:jc w:val="right"/>
              <w:ind w:right="2"/>
              <w:spacing w:after="0" w:line="169"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69"/>
        </w:trPr>
        <w:tc>
          <w:tcPr>
            <w:tcW w:w="120" w:type="dxa"/>
            <w:vAlign w:val="bottom"/>
            <w:shd w:val="clear" w:color="auto" w:fill="E8F0F8"/>
          </w:tcPr>
          <w:p>
            <w:pPr>
              <w:spacing w:after="0"/>
              <w:rPr>
                <w:sz w:val="14"/>
                <w:szCs w:val="14"/>
                <w:color w:val="auto"/>
              </w:rPr>
            </w:pPr>
          </w:p>
        </w:tc>
        <w:tc>
          <w:tcPr>
            <w:tcW w:w="960" w:type="dxa"/>
            <w:vAlign w:val="bottom"/>
            <w:shd w:val="clear" w:color="auto" w:fill="E8F0F8"/>
          </w:tcPr>
          <w:p>
            <w:pPr>
              <w:spacing w:after="0"/>
              <w:rPr>
                <w:sz w:val="14"/>
                <w:szCs w:val="14"/>
                <w:color w:val="auto"/>
              </w:rPr>
            </w:pPr>
          </w:p>
        </w:tc>
        <w:tc>
          <w:tcPr>
            <w:tcW w:w="60" w:type="dxa"/>
            <w:vAlign w:val="bottom"/>
            <w:shd w:val="clear" w:color="auto" w:fill="E8F0F8"/>
          </w:tcPr>
          <w:p>
            <w:pPr>
              <w:spacing w:after="0"/>
              <w:rPr>
                <w:sz w:val="14"/>
                <w:szCs w:val="14"/>
                <w:color w:val="auto"/>
              </w:rPr>
            </w:pPr>
          </w:p>
        </w:tc>
        <w:tc>
          <w:tcPr>
            <w:tcW w:w="2780" w:type="dxa"/>
            <w:vAlign w:val="bottom"/>
            <w:shd w:val="clear" w:color="auto" w:fill="E8F0F8"/>
          </w:tcPr>
          <w:p>
            <w:pPr>
              <w:spacing w:after="0"/>
              <w:rPr>
                <w:sz w:val="14"/>
                <w:szCs w:val="14"/>
                <w:color w:val="auto"/>
              </w:rPr>
            </w:pPr>
          </w:p>
        </w:tc>
        <w:tc>
          <w:tcPr>
            <w:tcW w:w="1440" w:type="dxa"/>
            <w:vAlign w:val="bottom"/>
            <w:tcBorders>
              <w:right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0" w:type="dxa"/>
            <w:vAlign w:val="bottom"/>
            <w:gridSpan w:val="35"/>
          </w:tcPr>
          <w:p>
            <w:pPr>
              <w:spacing w:after="0" w:line="169" w:lineRule="exact"/>
              <w:rPr>
                <w:rFonts w:ascii="Arial" w:cs="Arial" w:eastAsia="Arial" w:hAnsi="Arial"/>
                <w:sz w:val="16"/>
                <w:szCs w:val="16"/>
                <w:color w:val="0000EE"/>
              </w:rPr>
            </w:pPr>
            <w:hyperlink w:anchor="page64">
              <w:r>
                <w:rPr>
                  <w:rFonts w:ascii="Arial" w:cs="Arial" w:eastAsia="Arial" w:hAnsi="Arial"/>
                  <w:sz w:val="16"/>
                  <w:szCs w:val="16"/>
                  <w:color w:val="0000EE"/>
                </w:rPr>
                <w:t>Recoupment of Compensation</w:t>
              </w:r>
            </w:hyperlink>
          </w:p>
        </w:tc>
        <w:tc>
          <w:tcPr>
            <w:tcW w:w="980" w:type="dxa"/>
            <w:vAlign w:val="bottom"/>
          </w:tcPr>
          <w:p>
            <w:pPr>
              <w:jc w:val="right"/>
              <w:ind w:right="2"/>
              <w:spacing w:after="0" w:line="169"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
        </w:trPr>
        <w:tc>
          <w:tcPr>
            <w:tcW w:w="120" w:type="dxa"/>
            <w:vAlign w:val="bottom"/>
            <w:shd w:val="clear" w:color="auto" w:fill="E8F0F8"/>
          </w:tcPr>
          <w:p>
            <w:pPr>
              <w:spacing w:after="0" w:line="20" w:lineRule="exact"/>
              <w:rPr>
                <w:sz w:val="1"/>
                <w:szCs w:val="1"/>
                <w:color w:val="auto"/>
              </w:rPr>
            </w:pPr>
          </w:p>
        </w:tc>
        <w:tc>
          <w:tcPr>
            <w:tcW w:w="960" w:type="dxa"/>
            <w:vAlign w:val="bottom"/>
            <w:shd w:val="clear" w:color="auto" w:fill="E8F0F8"/>
          </w:tcPr>
          <w:p>
            <w:pPr>
              <w:spacing w:after="0" w:line="20" w:lineRule="exact"/>
              <w:rPr>
                <w:sz w:val="1"/>
                <w:szCs w:val="1"/>
                <w:color w:val="auto"/>
              </w:rPr>
            </w:pPr>
          </w:p>
        </w:tc>
        <w:tc>
          <w:tcPr>
            <w:tcW w:w="60" w:type="dxa"/>
            <w:vAlign w:val="bottom"/>
            <w:shd w:val="clear" w:color="auto" w:fill="E8F0F8"/>
          </w:tcPr>
          <w:p>
            <w:pPr>
              <w:spacing w:after="0" w:line="20" w:lineRule="exact"/>
              <w:rPr>
                <w:sz w:val="1"/>
                <w:szCs w:val="1"/>
                <w:color w:val="auto"/>
              </w:rPr>
            </w:pPr>
          </w:p>
        </w:tc>
        <w:tc>
          <w:tcPr>
            <w:tcW w:w="2780" w:type="dxa"/>
            <w:vAlign w:val="bottom"/>
            <w:shd w:val="clear" w:color="auto" w:fill="E8F0F8"/>
          </w:tcPr>
          <w:p>
            <w:pPr>
              <w:spacing w:after="0" w:line="20" w:lineRule="exact"/>
              <w:rPr>
                <w:sz w:val="1"/>
                <w:szCs w:val="1"/>
                <w:color w:val="auto"/>
              </w:rPr>
            </w:pPr>
          </w:p>
        </w:tc>
        <w:tc>
          <w:tcPr>
            <w:tcW w:w="1440" w:type="dxa"/>
            <w:vAlign w:val="bottom"/>
            <w:tcBorders>
              <w:right w:val="single" w:sz="8" w:color="E8F0F8"/>
            </w:tcBorders>
            <w:shd w:val="clear" w:color="auto" w:fill="E8F0F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 w:type="dxa"/>
            <w:vAlign w:val="bottom"/>
            <w:shd w:val="clear" w:color="auto" w:fill="E8F0F8"/>
          </w:tcPr>
          <w:p>
            <w:pPr>
              <w:spacing w:after="0"/>
              <w:rPr>
                <w:sz w:val="14"/>
                <w:szCs w:val="14"/>
                <w:color w:val="auto"/>
              </w:rPr>
            </w:pPr>
          </w:p>
        </w:tc>
        <w:tc>
          <w:tcPr>
            <w:tcW w:w="960" w:type="dxa"/>
            <w:vAlign w:val="bottom"/>
            <w:shd w:val="clear" w:color="auto" w:fill="E8F0F8"/>
          </w:tcPr>
          <w:p>
            <w:pPr>
              <w:spacing w:after="0"/>
              <w:rPr>
                <w:sz w:val="14"/>
                <w:szCs w:val="14"/>
                <w:color w:val="auto"/>
              </w:rPr>
            </w:pPr>
          </w:p>
        </w:tc>
        <w:tc>
          <w:tcPr>
            <w:tcW w:w="60" w:type="dxa"/>
            <w:vAlign w:val="bottom"/>
            <w:shd w:val="clear" w:color="auto" w:fill="E8F0F8"/>
          </w:tcPr>
          <w:p>
            <w:pPr>
              <w:spacing w:after="0"/>
              <w:rPr>
                <w:sz w:val="14"/>
                <w:szCs w:val="14"/>
                <w:color w:val="auto"/>
              </w:rPr>
            </w:pPr>
          </w:p>
        </w:tc>
        <w:tc>
          <w:tcPr>
            <w:tcW w:w="2780" w:type="dxa"/>
            <w:vAlign w:val="bottom"/>
            <w:shd w:val="clear" w:color="auto" w:fill="E8F0F8"/>
          </w:tcPr>
          <w:p>
            <w:pPr>
              <w:spacing w:after="0"/>
              <w:rPr>
                <w:sz w:val="14"/>
                <w:szCs w:val="14"/>
                <w:color w:val="auto"/>
              </w:rPr>
            </w:pPr>
          </w:p>
        </w:tc>
        <w:tc>
          <w:tcPr>
            <w:tcW w:w="1440" w:type="dxa"/>
            <w:vAlign w:val="bottom"/>
            <w:tcBorders>
              <w:right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0" w:type="dxa"/>
            <w:vAlign w:val="bottom"/>
            <w:gridSpan w:val="35"/>
          </w:tcPr>
          <w:p>
            <w:pPr>
              <w:spacing w:after="0" w:line="169" w:lineRule="exact"/>
              <w:rPr>
                <w:rFonts w:ascii="Arial" w:cs="Arial" w:eastAsia="Arial" w:hAnsi="Arial"/>
                <w:sz w:val="16"/>
                <w:szCs w:val="16"/>
                <w:color w:val="0000EE"/>
              </w:rPr>
            </w:pPr>
            <w:hyperlink w:anchor="page65">
              <w:r>
                <w:rPr>
                  <w:rFonts w:ascii="Arial" w:cs="Arial" w:eastAsia="Arial" w:hAnsi="Arial"/>
                  <w:sz w:val="16"/>
                  <w:szCs w:val="16"/>
                  <w:color w:val="0000EE"/>
                </w:rPr>
                <w:t>Insider Trading, Hedging and Pledging Policy Prohibitions</w:t>
              </w:r>
            </w:hyperlink>
          </w:p>
        </w:tc>
        <w:tc>
          <w:tcPr>
            <w:tcW w:w="980" w:type="dxa"/>
            <w:vAlign w:val="bottom"/>
          </w:tcPr>
          <w:p>
            <w:pPr>
              <w:jc w:val="right"/>
              <w:ind w:right="2"/>
              <w:spacing w:after="0" w:line="169" w:lineRule="exact"/>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69"/>
        </w:trPr>
        <w:tc>
          <w:tcPr>
            <w:tcW w:w="120" w:type="dxa"/>
            <w:vAlign w:val="bottom"/>
            <w:tcBorders>
              <w:top w:val="single" w:sz="8" w:color="E8F0F8"/>
            </w:tcBorders>
            <w:shd w:val="clear" w:color="auto" w:fill="E8F0F8"/>
          </w:tcPr>
          <w:p>
            <w:pPr>
              <w:spacing w:after="0"/>
              <w:rPr>
                <w:sz w:val="14"/>
                <w:szCs w:val="14"/>
                <w:color w:val="auto"/>
              </w:rPr>
            </w:pPr>
          </w:p>
        </w:tc>
        <w:tc>
          <w:tcPr>
            <w:tcW w:w="960" w:type="dxa"/>
            <w:vAlign w:val="bottom"/>
            <w:tcBorders>
              <w:top w:val="single" w:sz="8" w:color="E8F0F8"/>
            </w:tcBorders>
            <w:shd w:val="clear" w:color="auto" w:fill="E8F0F8"/>
          </w:tcPr>
          <w:p>
            <w:pPr>
              <w:spacing w:after="0"/>
              <w:rPr>
                <w:sz w:val="14"/>
                <w:szCs w:val="14"/>
                <w:color w:val="auto"/>
              </w:rPr>
            </w:pPr>
          </w:p>
        </w:tc>
        <w:tc>
          <w:tcPr>
            <w:tcW w:w="60" w:type="dxa"/>
            <w:vAlign w:val="bottom"/>
            <w:tcBorders>
              <w:top w:val="single" w:sz="8" w:color="E8F0F8"/>
            </w:tcBorders>
            <w:shd w:val="clear" w:color="auto" w:fill="E8F0F8"/>
          </w:tcPr>
          <w:p>
            <w:pPr>
              <w:spacing w:after="0"/>
              <w:rPr>
                <w:sz w:val="14"/>
                <w:szCs w:val="14"/>
                <w:color w:val="auto"/>
              </w:rPr>
            </w:pPr>
          </w:p>
        </w:tc>
        <w:tc>
          <w:tcPr>
            <w:tcW w:w="2780" w:type="dxa"/>
            <w:vAlign w:val="bottom"/>
            <w:tcBorders>
              <w:top w:val="single" w:sz="8" w:color="E8F0F8"/>
            </w:tcBorders>
            <w:shd w:val="clear" w:color="auto" w:fill="E8F0F8"/>
          </w:tcPr>
          <w:p>
            <w:pPr>
              <w:spacing w:after="0"/>
              <w:rPr>
                <w:sz w:val="14"/>
                <w:szCs w:val="14"/>
                <w:color w:val="auto"/>
              </w:rPr>
            </w:pPr>
          </w:p>
        </w:tc>
        <w:tc>
          <w:tcPr>
            <w:tcW w:w="1440" w:type="dxa"/>
            <w:vAlign w:val="bottom"/>
            <w:tcBorders>
              <w:top w:val="single" w:sz="8" w:color="E8F0F8"/>
              <w:right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80" w:type="dxa"/>
            <w:vAlign w:val="bottom"/>
            <w:tcBorders>
              <w:top w:val="single" w:sz="8" w:color="0000EE"/>
            </w:tcBorders>
            <w:gridSpan w:val="33"/>
          </w:tcPr>
          <w:p>
            <w:pPr>
              <w:spacing w:after="0" w:line="169" w:lineRule="exact"/>
              <w:rPr>
                <w:rFonts w:ascii="Arial" w:cs="Arial" w:eastAsia="Arial" w:hAnsi="Arial"/>
                <w:sz w:val="16"/>
                <w:szCs w:val="16"/>
                <w:color w:val="0000EE"/>
              </w:rPr>
            </w:pPr>
            <w:hyperlink w:anchor="page65">
              <w:r>
                <w:rPr>
                  <w:rFonts w:ascii="Arial" w:cs="Arial" w:eastAsia="Arial" w:hAnsi="Arial"/>
                  <w:sz w:val="16"/>
                  <w:szCs w:val="16"/>
                  <w:color w:val="0000EE"/>
                </w:rPr>
                <w:t>Tax-Deductibility of Compensation</w:t>
              </w:r>
            </w:hyperlink>
          </w:p>
        </w:tc>
        <w:tc>
          <w:tcPr>
            <w:tcW w:w="120" w:type="dxa"/>
            <w:vAlign w:val="bottom"/>
            <w:gridSpan w:val="2"/>
          </w:tcPr>
          <w:p>
            <w:pPr>
              <w:spacing w:after="0"/>
              <w:rPr>
                <w:sz w:val="14"/>
                <w:szCs w:val="14"/>
                <w:color w:val="auto"/>
              </w:rPr>
            </w:pPr>
          </w:p>
        </w:tc>
        <w:tc>
          <w:tcPr>
            <w:tcW w:w="980" w:type="dxa"/>
            <w:vAlign w:val="bottom"/>
          </w:tcPr>
          <w:p>
            <w:pPr>
              <w:jc w:val="right"/>
              <w:ind w:right="2"/>
              <w:spacing w:after="0" w:line="169" w:lineRule="exact"/>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69"/>
        </w:trPr>
        <w:tc>
          <w:tcPr>
            <w:tcW w:w="120" w:type="dxa"/>
            <w:vAlign w:val="bottom"/>
            <w:tcBorders>
              <w:top w:val="single" w:sz="8" w:color="E8F0F8"/>
            </w:tcBorders>
            <w:shd w:val="clear" w:color="auto" w:fill="E8F0F8"/>
          </w:tcPr>
          <w:p>
            <w:pPr>
              <w:spacing w:after="0"/>
              <w:rPr>
                <w:sz w:val="14"/>
                <w:szCs w:val="14"/>
                <w:color w:val="auto"/>
              </w:rPr>
            </w:pPr>
          </w:p>
        </w:tc>
        <w:tc>
          <w:tcPr>
            <w:tcW w:w="960" w:type="dxa"/>
            <w:vAlign w:val="bottom"/>
            <w:tcBorders>
              <w:top w:val="single" w:sz="8" w:color="E8F0F8"/>
            </w:tcBorders>
            <w:shd w:val="clear" w:color="auto" w:fill="E8F0F8"/>
          </w:tcPr>
          <w:p>
            <w:pPr>
              <w:spacing w:after="0"/>
              <w:rPr>
                <w:sz w:val="14"/>
                <w:szCs w:val="14"/>
                <w:color w:val="auto"/>
              </w:rPr>
            </w:pPr>
          </w:p>
        </w:tc>
        <w:tc>
          <w:tcPr>
            <w:tcW w:w="60" w:type="dxa"/>
            <w:vAlign w:val="bottom"/>
            <w:tcBorders>
              <w:top w:val="single" w:sz="8" w:color="E8F0F8"/>
            </w:tcBorders>
            <w:shd w:val="clear" w:color="auto" w:fill="E8F0F8"/>
          </w:tcPr>
          <w:p>
            <w:pPr>
              <w:spacing w:after="0"/>
              <w:rPr>
                <w:sz w:val="14"/>
                <w:szCs w:val="14"/>
                <w:color w:val="auto"/>
              </w:rPr>
            </w:pPr>
          </w:p>
        </w:tc>
        <w:tc>
          <w:tcPr>
            <w:tcW w:w="2780" w:type="dxa"/>
            <w:vAlign w:val="bottom"/>
            <w:tcBorders>
              <w:top w:val="single" w:sz="8" w:color="E8F0F8"/>
            </w:tcBorders>
            <w:shd w:val="clear" w:color="auto" w:fill="E8F0F8"/>
          </w:tcPr>
          <w:p>
            <w:pPr>
              <w:spacing w:after="0"/>
              <w:rPr>
                <w:sz w:val="14"/>
                <w:szCs w:val="14"/>
                <w:color w:val="auto"/>
              </w:rPr>
            </w:pPr>
          </w:p>
        </w:tc>
        <w:tc>
          <w:tcPr>
            <w:tcW w:w="1440" w:type="dxa"/>
            <w:vAlign w:val="bottom"/>
            <w:tcBorders>
              <w:top w:val="single" w:sz="8" w:color="E8F0F8"/>
              <w:right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tcBorders>
              <w:top w:val="single" w:sz="8" w:color="0000EE"/>
            </w:tcBorders>
            <w:gridSpan w:val="17"/>
          </w:tcPr>
          <w:p>
            <w:pPr>
              <w:spacing w:after="0" w:line="169" w:lineRule="exact"/>
              <w:rPr>
                <w:rFonts w:ascii="Arial" w:cs="Arial" w:eastAsia="Arial" w:hAnsi="Arial"/>
                <w:sz w:val="16"/>
                <w:szCs w:val="16"/>
                <w:color w:val="0000EE"/>
              </w:rPr>
            </w:pPr>
            <w:hyperlink w:anchor="page65">
              <w:r>
                <w:rPr>
                  <w:rFonts w:ascii="Arial" w:cs="Arial" w:eastAsia="Arial" w:hAnsi="Arial"/>
                  <w:sz w:val="16"/>
                  <w:szCs w:val="16"/>
                  <w:color w:val="0000EE"/>
                </w:rPr>
                <w:t>Compensation Committee Report</w:t>
              </w:r>
            </w:hyperlink>
          </w:p>
        </w:tc>
        <w:tc>
          <w:tcPr>
            <w:tcW w:w="1800" w:type="dxa"/>
            <w:vAlign w:val="bottom"/>
            <w:gridSpan w:val="18"/>
          </w:tcPr>
          <w:p>
            <w:pPr>
              <w:spacing w:after="0"/>
              <w:rPr>
                <w:sz w:val="14"/>
                <w:szCs w:val="14"/>
                <w:color w:val="auto"/>
              </w:rPr>
            </w:pPr>
          </w:p>
        </w:tc>
        <w:tc>
          <w:tcPr>
            <w:tcW w:w="980" w:type="dxa"/>
            <w:vAlign w:val="bottom"/>
          </w:tcPr>
          <w:p>
            <w:pPr>
              <w:jc w:val="right"/>
              <w:ind w:right="2"/>
              <w:spacing w:after="0" w:line="169" w:lineRule="exact"/>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69"/>
        </w:trPr>
        <w:tc>
          <w:tcPr>
            <w:tcW w:w="120" w:type="dxa"/>
            <w:vAlign w:val="bottom"/>
            <w:tcBorders>
              <w:top w:val="single" w:sz="8" w:color="E8F0F8"/>
              <w:bottom w:val="single" w:sz="8" w:color="E8F0F8"/>
            </w:tcBorders>
            <w:shd w:val="clear" w:color="auto" w:fill="E8F0F8"/>
          </w:tcPr>
          <w:p>
            <w:pPr>
              <w:spacing w:after="0"/>
              <w:rPr>
                <w:sz w:val="14"/>
                <w:szCs w:val="14"/>
                <w:color w:val="auto"/>
              </w:rPr>
            </w:pPr>
          </w:p>
        </w:tc>
        <w:tc>
          <w:tcPr>
            <w:tcW w:w="960" w:type="dxa"/>
            <w:vAlign w:val="bottom"/>
            <w:tcBorders>
              <w:top w:val="single" w:sz="8" w:color="E8F0F8"/>
              <w:bottom w:val="single" w:sz="8" w:color="E8F0F8"/>
            </w:tcBorders>
            <w:shd w:val="clear" w:color="auto" w:fill="E8F0F8"/>
          </w:tcPr>
          <w:p>
            <w:pPr>
              <w:spacing w:after="0"/>
              <w:rPr>
                <w:sz w:val="14"/>
                <w:szCs w:val="14"/>
                <w:color w:val="auto"/>
              </w:rPr>
            </w:pPr>
          </w:p>
        </w:tc>
        <w:tc>
          <w:tcPr>
            <w:tcW w:w="60" w:type="dxa"/>
            <w:vAlign w:val="bottom"/>
            <w:tcBorders>
              <w:top w:val="single" w:sz="8" w:color="E8F0F8"/>
              <w:bottom w:val="single" w:sz="8" w:color="E8F0F8"/>
            </w:tcBorders>
            <w:shd w:val="clear" w:color="auto" w:fill="E8F0F8"/>
          </w:tcPr>
          <w:p>
            <w:pPr>
              <w:spacing w:after="0"/>
              <w:rPr>
                <w:sz w:val="14"/>
                <w:szCs w:val="14"/>
                <w:color w:val="auto"/>
              </w:rPr>
            </w:pPr>
          </w:p>
        </w:tc>
        <w:tc>
          <w:tcPr>
            <w:tcW w:w="2780" w:type="dxa"/>
            <w:vAlign w:val="bottom"/>
            <w:tcBorders>
              <w:top w:val="single" w:sz="8" w:color="E8F0F8"/>
              <w:bottom w:val="single" w:sz="8" w:color="E8F0F8"/>
            </w:tcBorders>
            <w:shd w:val="clear" w:color="auto" w:fill="E8F0F8"/>
          </w:tcPr>
          <w:p>
            <w:pPr>
              <w:spacing w:after="0"/>
              <w:rPr>
                <w:sz w:val="14"/>
                <w:szCs w:val="14"/>
                <w:color w:val="auto"/>
              </w:rPr>
            </w:pPr>
          </w:p>
        </w:tc>
        <w:tc>
          <w:tcPr>
            <w:tcW w:w="1440" w:type="dxa"/>
            <w:vAlign w:val="bottom"/>
            <w:tcBorders>
              <w:top w:val="single" w:sz="8" w:color="E8F0F8"/>
              <w:bottom w:val="single" w:sz="8" w:color="E8F0F8"/>
              <w:right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tcBorders>
              <w:top w:val="single" w:sz="8" w:color="0000EE"/>
              <w:bottom w:val="single" w:sz="8" w:color="0000EE"/>
            </w:tcBorders>
            <w:gridSpan w:val="15"/>
          </w:tcPr>
          <w:p>
            <w:pPr>
              <w:spacing w:after="0" w:line="169" w:lineRule="exact"/>
              <w:rPr>
                <w:rFonts w:ascii="Arial" w:cs="Arial" w:eastAsia="Arial" w:hAnsi="Arial"/>
                <w:sz w:val="16"/>
                <w:szCs w:val="16"/>
                <w:color w:val="0000EE"/>
                <w:w w:val="97"/>
              </w:rPr>
            </w:pPr>
            <w:hyperlink w:anchor="page66">
              <w:r>
                <w:rPr>
                  <w:rFonts w:ascii="Arial" w:cs="Arial" w:eastAsia="Arial" w:hAnsi="Arial"/>
                  <w:sz w:val="16"/>
                  <w:szCs w:val="16"/>
                  <w:color w:val="0000EE"/>
                  <w:w w:val="97"/>
                </w:rPr>
                <w:t>Summary Compensation Table</w:t>
              </w:r>
            </w:hyperlink>
          </w:p>
        </w:tc>
        <w:tc>
          <w:tcPr>
            <w:tcW w:w="180" w:type="dxa"/>
            <w:vAlign w:val="bottom"/>
            <w:tcBorders>
              <w:top w:val="single" w:sz="8" w:color="0000EE"/>
            </w:tcBorders>
          </w:tcPr>
          <w:p>
            <w:pPr>
              <w:spacing w:after="0"/>
              <w:rPr>
                <w:sz w:val="14"/>
                <w:szCs w:val="14"/>
                <w:color w:val="auto"/>
              </w:rPr>
            </w:pPr>
          </w:p>
        </w:tc>
        <w:tc>
          <w:tcPr>
            <w:tcW w:w="1840" w:type="dxa"/>
            <w:vAlign w:val="bottom"/>
            <w:gridSpan w:val="19"/>
          </w:tcPr>
          <w:p>
            <w:pPr>
              <w:spacing w:after="0"/>
              <w:rPr>
                <w:sz w:val="14"/>
                <w:szCs w:val="14"/>
                <w:color w:val="auto"/>
              </w:rPr>
            </w:pPr>
          </w:p>
        </w:tc>
        <w:tc>
          <w:tcPr>
            <w:tcW w:w="980" w:type="dxa"/>
            <w:vAlign w:val="bottom"/>
          </w:tcPr>
          <w:p>
            <w:pPr>
              <w:jc w:val="right"/>
              <w:ind w:right="2"/>
              <w:spacing w:after="0" w:line="169" w:lineRule="exact"/>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69"/>
        </w:trPr>
        <w:tc>
          <w:tcPr>
            <w:tcW w:w="120" w:type="dxa"/>
            <w:vAlign w:val="bottom"/>
            <w:tcBorders>
              <w:bottom w:val="single" w:sz="8" w:color="E8F0F8"/>
            </w:tcBorders>
            <w:shd w:val="clear" w:color="auto" w:fill="E8F0F8"/>
          </w:tcPr>
          <w:p>
            <w:pPr>
              <w:spacing w:after="0"/>
              <w:rPr>
                <w:sz w:val="14"/>
                <w:szCs w:val="14"/>
                <w:color w:val="auto"/>
              </w:rPr>
            </w:pPr>
          </w:p>
        </w:tc>
        <w:tc>
          <w:tcPr>
            <w:tcW w:w="960" w:type="dxa"/>
            <w:vAlign w:val="bottom"/>
            <w:tcBorders>
              <w:bottom w:val="single" w:sz="8" w:color="E8F0F8"/>
            </w:tcBorders>
            <w:shd w:val="clear" w:color="auto" w:fill="E8F0F8"/>
          </w:tcPr>
          <w:p>
            <w:pPr>
              <w:spacing w:after="0"/>
              <w:rPr>
                <w:sz w:val="14"/>
                <w:szCs w:val="14"/>
                <w:color w:val="auto"/>
              </w:rPr>
            </w:pPr>
          </w:p>
        </w:tc>
        <w:tc>
          <w:tcPr>
            <w:tcW w:w="60" w:type="dxa"/>
            <w:vAlign w:val="bottom"/>
            <w:tcBorders>
              <w:bottom w:val="single" w:sz="8" w:color="E8F0F8"/>
            </w:tcBorders>
            <w:shd w:val="clear" w:color="auto" w:fill="E8F0F8"/>
          </w:tcPr>
          <w:p>
            <w:pPr>
              <w:spacing w:after="0"/>
              <w:rPr>
                <w:sz w:val="14"/>
                <w:szCs w:val="14"/>
                <w:color w:val="auto"/>
              </w:rPr>
            </w:pPr>
          </w:p>
        </w:tc>
        <w:tc>
          <w:tcPr>
            <w:tcW w:w="2780" w:type="dxa"/>
            <w:vAlign w:val="bottom"/>
            <w:tcBorders>
              <w:bottom w:val="single" w:sz="8" w:color="E8F0F8"/>
            </w:tcBorders>
            <w:shd w:val="clear" w:color="auto" w:fill="E8F0F8"/>
          </w:tcPr>
          <w:p>
            <w:pPr>
              <w:spacing w:after="0"/>
              <w:rPr>
                <w:sz w:val="14"/>
                <w:szCs w:val="14"/>
                <w:color w:val="auto"/>
              </w:rPr>
            </w:pPr>
          </w:p>
        </w:tc>
        <w:tc>
          <w:tcPr>
            <w:tcW w:w="1440" w:type="dxa"/>
            <w:vAlign w:val="bottom"/>
            <w:tcBorders>
              <w:bottom w:val="single" w:sz="8" w:color="E8F0F8"/>
              <w:right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tcBorders>
              <w:bottom w:val="single" w:sz="8" w:color="0000EE"/>
            </w:tcBorders>
            <w:gridSpan w:val="18"/>
          </w:tcPr>
          <w:p>
            <w:pPr>
              <w:spacing w:after="0" w:line="169" w:lineRule="exact"/>
              <w:rPr>
                <w:rFonts w:ascii="Arial" w:cs="Arial" w:eastAsia="Arial" w:hAnsi="Arial"/>
                <w:sz w:val="16"/>
                <w:szCs w:val="16"/>
                <w:color w:val="0000EE"/>
                <w:w w:val="98"/>
              </w:rPr>
            </w:pPr>
            <w:hyperlink w:anchor="page68">
              <w:r>
                <w:rPr>
                  <w:rFonts w:ascii="Arial" w:cs="Arial" w:eastAsia="Arial" w:hAnsi="Arial"/>
                  <w:sz w:val="16"/>
                  <w:szCs w:val="16"/>
                  <w:color w:val="0000EE"/>
                  <w:w w:val="98"/>
                </w:rPr>
                <w:t>2018 Grants of Plan-Based Awards</w:t>
              </w:r>
            </w:hyperlink>
          </w:p>
        </w:tc>
        <w:tc>
          <w:tcPr>
            <w:tcW w:w="1700" w:type="dxa"/>
            <w:vAlign w:val="bottom"/>
            <w:gridSpan w:val="17"/>
          </w:tcPr>
          <w:p>
            <w:pPr>
              <w:spacing w:after="0"/>
              <w:rPr>
                <w:sz w:val="14"/>
                <w:szCs w:val="14"/>
                <w:color w:val="auto"/>
              </w:rPr>
            </w:pPr>
          </w:p>
        </w:tc>
        <w:tc>
          <w:tcPr>
            <w:tcW w:w="980" w:type="dxa"/>
            <w:vAlign w:val="bottom"/>
          </w:tcPr>
          <w:p>
            <w:pPr>
              <w:jc w:val="right"/>
              <w:ind w:right="2"/>
              <w:spacing w:after="0" w:line="169" w:lineRule="exact"/>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69"/>
        </w:trPr>
        <w:tc>
          <w:tcPr>
            <w:tcW w:w="120" w:type="dxa"/>
            <w:vAlign w:val="bottom"/>
            <w:shd w:val="clear" w:color="auto" w:fill="E8F0F8"/>
          </w:tcPr>
          <w:p>
            <w:pPr>
              <w:spacing w:after="0"/>
              <w:rPr>
                <w:sz w:val="14"/>
                <w:szCs w:val="14"/>
                <w:color w:val="auto"/>
              </w:rPr>
            </w:pPr>
          </w:p>
        </w:tc>
        <w:tc>
          <w:tcPr>
            <w:tcW w:w="960" w:type="dxa"/>
            <w:vAlign w:val="bottom"/>
            <w:shd w:val="clear" w:color="auto" w:fill="E8F0F8"/>
          </w:tcPr>
          <w:p>
            <w:pPr>
              <w:spacing w:after="0"/>
              <w:rPr>
                <w:sz w:val="14"/>
                <w:szCs w:val="14"/>
                <w:color w:val="auto"/>
              </w:rPr>
            </w:pPr>
          </w:p>
        </w:tc>
        <w:tc>
          <w:tcPr>
            <w:tcW w:w="60" w:type="dxa"/>
            <w:vAlign w:val="bottom"/>
            <w:shd w:val="clear" w:color="auto" w:fill="E8F0F8"/>
          </w:tcPr>
          <w:p>
            <w:pPr>
              <w:spacing w:after="0"/>
              <w:rPr>
                <w:sz w:val="14"/>
                <w:szCs w:val="14"/>
                <w:color w:val="auto"/>
              </w:rPr>
            </w:pPr>
          </w:p>
        </w:tc>
        <w:tc>
          <w:tcPr>
            <w:tcW w:w="2780" w:type="dxa"/>
            <w:vAlign w:val="bottom"/>
            <w:shd w:val="clear" w:color="auto" w:fill="E8F0F8"/>
          </w:tcPr>
          <w:p>
            <w:pPr>
              <w:spacing w:after="0"/>
              <w:rPr>
                <w:sz w:val="14"/>
                <w:szCs w:val="14"/>
                <w:color w:val="auto"/>
              </w:rPr>
            </w:pPr>
          </w:p>
        </w:tc>
        <w:tc>
          <w:tcPr>
            <w:tcW w:w="1440" w:type="dxa"/>
            <w:vAlign w:val="bottom"/>
            <w:tcBorders>
              <w:right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0" w:type="dxa"/>
            <w:vAlign w:val="bottom"/>
            <w:gridSpan w:val="35"/>
          </w:tcPr>
          <w:p>
            <w:pPr>
              <w:spacing w:after="0" w:line="169" w:lineRule="exact"/>
              <w:rPr>
                <w:rFonts w:ascii="Arial" w:cs="Arial" w:eastAsia="Arial" w:hAnsi="Arial"/>
                <w:sz w:val="16"/>
                <w:szCs w:val="16"/>
                <w:color w:val="0000EE"/>
              </w:rPr>
            </w:pPr>
            <w:hyperlink w:anchor="page69">
              <w:r>
                <w:rPr>
                  <w:rFonts w:ascii="Arial" w:cs="Arial" w:eastAsia="Arial" w:hAnsi="Arial"/>
                  <w:sz w:val="16"/>
                  <w:szCs w:val="16"/>
                  <w:color w:val="0000EE"/>
                </w:rPr>
                <w:t>Outstanding Equity Awards at 2018 Fiscal Year-End</w:t>
              </w:r>
            </w:hyperlink>
          </w:p>
        </w:tc>
        <w:tc>
          <w:tcPr>
            <w:tcW w:w="980" w:type="dxa"/>
            <w:vAlign w:val="bottom"/>
          </w:tcPr>
          <w:p>
            <w:pPr>
              <w:jc w:val="right"/>
              <w:ind w:right="2"/>
              <w:spacing w:after="0" w:line="169" w:lineRule="exact"/>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
        </w:trPr>
        <w:tc>
          <w:tcPr>
            <w:tcW w:w="120" w:type="dxa"/>
            <w:vAlign w:val="bottom"/>
            <w:shd w:val="clear" w:color="auto" w:fill="E8F0F8"/>
          </w:tcPr>
          <w:p>
            <w:pPr>
              <w:spacing w:after="0" w:line="20" w:lineRule="exact"/>
              <w:rPr>
                <w:sz w:val="1"/>
                <w:szCs w:val="1"/>
                <w:color w:val="auto"/>
              </w:rPr>
            </w:pPr>
          </w:p>
        </w:tc>
        <w:tc>
          <w:tcPr>
            <w:tcW w:w="960" w:type="dxa"/>
            <w:vAlign w:val="bottom"/>
            <w:shd w:val="clear" w:color="auto" w:fill="E8F0F8"/>
          </w:tcPr>
          <w:p>
            <w:pPr>
              <w:spacing w:after="0" w:line="20" w:lineRule="exact"/>
              <w:rPr>
                <w:sz w:val="1"/>
                <w:szCs w:val="1"/>
                <w:color w:val="auto"/>
              </w:rPr>
            </w:pPr>
          </w:p>
        </w:tc>
        <w:tc>
          <w:tcPr>
            <w:tcW w:w="60" w:type="dxa"/>
            <w:vAlign w:val="bottom"/>
            <w:shd w:val="clear" w:color="auto" w:fill="E8F0F8"/>
          </w:tcPr>
          <w:p>
            <w:pPr>
              <w:spacing w:after="0" w:line="20" w:lineRule="exact"/>
              <w:rPr>
                <w:sz w:val="1"/>
                <w:szCs w:val="1"/>
                <w:color w:val="auto"/>
              </w:rPr>
            </w:pPr>
          </w:p>
        </w:tc>
        <w:tc>
          <w:tcPr>
            <w:tcW w:w="2780" w:type="dxa"/>
            <w:vAlign w:val="bottom"/>
            <w:shd w:val="clear" w:color="auto" w:fill="E8F0F8"/>
          </w:tcPr>
          <w:p>
            <w:pPr>
              <w:spacing w:after="0" w:line="20" w:lineRule="exact"/>
              <w:rPr>
                <w:sz w:val="1"/>
                <w:szCs w:val="1"/>
                <w:color w:val="auto"/>
              </w:rPr>
            </w:pPr>
          </w:p>
        </w:tc>
        <w:tc>
          <w:tcPr>
            <w:tcW w:w="1440" w:type="dxa"/>
            <w:vAlign w:val="bottom"/>
            <w:tcBorders>
              <w:right w:val="single" w:sz="8" w:color="E8F0F8"/>
            </w:tcBorders>
            <w:shd w:val="clear" w:color="auto" w:fill="E8F0F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 w:type="dxa"/>
            <w:vAlign w:val="bottom"/>
            <w:tcBorders>
              <w:bottom w:val="single" w:sz="8" w:color="E8F0F8"/>
            </w:tcBorders>
            <w:shd w:val="clear" w:color="auto" w:fill="E8F0F8"/>
          </w:tcPr>
          <w:p>
            <w:pPr>
              <w:spacing w:after="0"/>
              <w:rPr>
                <w:sz w:val="14"/>
                <w:szCs w:val="14"/>
                <w:color w:val="auto"/>
              </w:rPr>
            </w:pPr>
          </w:p>
        </w:tc>
        <w:tc>
          <w:tcPr>
            <w:tcW w:w="960" w:type="dxa"/>
            <w:vAlign w:val="bottom"/>
            <w:tcBorders>
              <w:bottom w:val="single" w:sz="8" w:color="E8F0F8"/>
            </w:tcBorders>
            <w:shd w:val="clear" w:color="auto" w:fill="E8F0F8"/>
          </w:tcPr>
          <w:p>
            <w:pPr>
              <w:spacing w:after="0"/>
              <w:rPr>
                <w:sz w:val="14"/>
                <w:szCs w:val="14"/>
                <w:color w:val="auto"/>
              </w:rPr>
            </w:pPr>
          </w:p>
        </w:tc>
        <w:tc>
          <w:tcPr>
            <w:tcW w:w="60" w:type="dxa"/>
            <w:vAlign w:val="bottom"/>
            <w:tcBorders>
              <w:bottom w:val="single" w:sz="8" w:color="E8F0F8"/>
            </w:tcBorders>
            <w:shd w:val="clear" w:color="auto" w:fill="E8F0F8"/>
          </w:tcPr>
          <w:p>
            <w:pPr>
              <w:spacing w:after="0"/>
              <w:rPr>
                <w:sz w:val="14"/>
                <w:szCs w:val="14"/>
                <w:color w:val="auto"/>
              </w:rPr>
            </w:pPr>
          </w:p>
        </w:tc>
        <w:tc>
          <w:tcPr>
            <w:tcW w:w="2780" w:type="dxa"/>
            <w:vAlign w:val="bottom"/>
            <w:tcBorders>
              <w:bottom w:val="single" w:sz="8" w:color="E8F0F8"/>
            </w:tcBorders>
            <w:shd w:val="clear" w:color="auto" w:fill="E8F0F8"/>
          </w:tcPr>
          <w:p>
            <w:pPr>
              <w:spacing w:after="0"/>
              <w:rPr>
                <w:sz w:val="14"/>
                <w:szCs w:val="14"/>
                <w:color w:val="auto"/>
              </w:rPr>
            </w:pPr>
          </w:p>
        </w:tc>
        <w:tc>
          <w:tcPr>
            <w:tcW w:w="1440" w:type="dxa"/>
            <w:vAlign w:val="bottom"/>
            <w:tcBorders>
              <w:bottom w:val="single" w:sz="8" w:color="E8F0F8"/>
              <w:right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00" w:type="dxa"/>
            <w:vAlign w:val="bottom"/>
            <w:tcBorders>
              <w:bottom w:val="single" w:sz="8" w:color="0000EE"/>
            </w:tcBorders>
            <w:gridSpan w:val="23"/>
          </w:tcPr>
          <w:p>
            <w:pPr>
              <w:spacing w:after="0" w:line="169" w:lineRule="exact"/>
              <w:rPr>
                <w:rFonts w:ascii="Arial" w:cs="Arial" w:eastAsia="Arial" w:hAnsi="Arial"/>
                <w:sz w:val="16"/>
                <w:szCs w:val="16"/>
                <w:color w:val="0000EE"/>
                <w:w w:val="99"/>
              </w:rPr>
            </w:pPr>
            <w:hyperlink w:anchor="page70">
              <w:r>
                <w:rPr>
                  <w:rFonts w:ascii="Arial" w:cs="Arial" w:eastAsia="Arial" w:hAnsi="Arial"/>
                  <w:sz w:val="16"/>
                  <w:szCs w:val="16"/>
                  <w:color w:val="0000EE"/>
                  <w:w w:val="99"/>
                </w:rPr>
                <w:t>2018 Option Exercises and Stock Vested</w:t>
              </w:r>
            </w:hyperlink>
          </w:p>
        </w:tc>
        <w:tc>
          <w:tcPr>
            <w:tcW w:w="1300" w:type="dxa"/>
            <w:vAlign w:val="bottom"/>
            <w:gridSpan w:val="12"/>
          </w:tcPr>
          <w:p>
            <w:pPr>
              <w:spacing w:after="0"/>
              <w:rPr>
                <w:sz w:val="14"/>
                <w:szCs w:val="14"/>
                <w:color w:val="auto"/>
              </w:rPr>
            </w:pPr>
          </w:p>
        </w:tc>
        <w:tc>
          <w:tcPr>
            <w:tcW w:w="980" w:type="dxa"/>
            <w:vAlign w:val="bottom"/>
          </w:tcPr>
          <w:p>
            <w:pPr>
              <w:jc w:val="right"/>
              <w:ind w:right="2"/>
              <w:spacing w:after="0" w:line="169" w:lineRule="exact"/>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69"/>
        </w:trPr>
        <w:tc>
          <w:tcPr>
            <w:tcW w:w="120" w:type="dxa"/>
            <w:vAlign w:val="bottom"/>
            <w:shd w:val="clear" w:color="auto" w:fill="E8F0F8"/>
          </w:tcPr>
          <w:p>
            <w:pPr>
              <w:spacing w:after="0"/>
              <w:rPr>
                <w:sz w:val="14"/>
                <w:szCs w:val="14"/>
                <w:color w:val="auto"/>
              </w:rPr>
            </w:pPr>
          </w:p>
        </w:tc>
        <w:tc>
          <w:tcPr>
            <w:tcW w:w="960" w:type="dxa"/>
            <w:vAlign w:val="bottom"/>
            <w:shd w:val="clear" w:color="auto" w:fill="E8F0F8"/>
          </w:tcPr>
          <w:p>
            <w:pPr>
              <w:spacing w:after="0"/>
              <w:rPr>
                <w:sz w:val="14"/>
                <w:szCs w:val="14"/>
                <w:color w:val="auto"/>
              </w:rPr>
            </w:pPr>
          </w:p>
        </w:tc>
        <w:tc>
          <w:tcPr>
            <w:tcW w:w="60" w:type="dxa"/>
            <w:vAlign w:val="bottom"/>
            <w:shd w:val="clear" w:color="auto" w:fill="E8F0F8"/>
          </w:tcPr>
          <w:p>
            <w:pPr>
              <w:spacing w:after="0"/>
              <w:rPr>
                <w:sz w:val="14"/>
                <w:szCs w:val="14"/>
                <w:color w:val="auto"/>
              </w:rPr>
            </w:pPr>
          </w:p>
        </w:tc>
        <w:tc>
          <w:tcPr>
            <w:tcW w:w="2780" w:type="dxa"/>
            <w:vAlign w:val="bottom"/>
            <w:shd w:val="clear" w:color="auto" w:fill="E8F0F8"/>
          </w:tcPr>
          <w:p>
            <w:pPr>
              <w:spacing w:after="0"/>
              <w:rPr>
                <w:sz w:val="14"/>
                <w:szCs w:val="14"/>
                <w:color w:val="auto"/>
              </w:rPr>
            </w:pPr>
          </w:p>
        </w:tc>
        <w:tc>
          <w:tcPr>
            <w:tcW w:w="1440" w:type="dxa"/>
            <w:vAlign w:val="bottom"/>
            <w:tcBorders>
              <w:right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0" w:type="dxa"/>
            <w:vAlign w:val="bottom"/>
            <w:gridSpan w:val="35"/>
          </w:tcPr>
          <w:p>
            <w:pPr>
              <w:spacing w:after="0" w:line="169" w:lineRule="exact"/>
              <w:rPr>
                <w:rFonts w:ascii="Arial" w:cs="Arial" w:eastAsia="Arial" w:hAnsi="Arial"/>
                <w:sz w:val="16"/>
                <w:szCs w:val="16"/>
                <w:color w:val="0000EE"/>
              </w:rPr>
            </w:pPr>
            <w:hyperlink w:anchor="page71">
              <w:r>
                <w:rPr>
                  <w:rFonts w:ascii="Arial" w:cs="Arial" w:eastAsia="Arial" w:hAnsi="Arial"/>
                  <w:sz w:val="16"/>
                  <w:szCs w:val="16"/>
                  <w:color w:val="0000EE"/>
                </w:rPr>
                <w:t>2018 Non-Qualified Deferred Compensation</w:t>
              </w:r>
            </w:hyperlink>
          </w:p>
        </w:tc>
        <w:tc>
          <w:tcPr>
            <w:tcW w:w="980" w:type="dxa"/>
            <w:vAlign w:val="bottom"/>
          </w:tcPr>
          <w:p>
            <w:pPr>
              <w:jc w:val="right"/>
              <w:ind w:right="2"/>
              <w:spacing w:after="0" w:line="169" w:lineRule="exact"/>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
        </w:trPr>
        <w:tc>
          <w:tcPr>
            <w:tcW w:w="120" w:type="dxa"/>
            <w:vAlign w:val="bottom"/>
            <w:shd w:val="clear" w:color="auto" w:fill="E8F0F8"/>
          </w:tcPr>
          <w:p>
            <w:pPr>
              <w:spacing w:after="0" w:line="20" w:lineRule="exact"/>
              <w:rPr>
                <w:sz w:val="1"/>
                <w:szCs w:val="1"/>
                <w:color w:val="auto"/>
              </w:rPr>
            </w:pPr>
          </w:p>
        </w:tc>
        <w:tc>
          <w:tcPr>
            <w:tcW w:w="960" w:type="dxa"/>
            <w:vAlign w:val="bottom"/>
            <w:shd w:val="clear" w:color="auto" w:fill="E8F0F8"/>
          </w:tcPr>
          <w:p>
            <w:pPr>
              <w:spacing w:after="0" w:line="20" w:lineRule="exact"/>
              <w:rPr>
                <w:sz w:val="1"/>
                <w:szCs w:val="1"/>
                <w:color w:val="auto"/>
              </w:rPr>
            </w:pPr>
          </w:p>
        </w:tc>
        <w:tc>
          <w:tcPr>
            <w:tcW w:w="60" w:type="dxa"/>
            <w:vAlign w:val="bottom"/>
            <w:shd w:val="clear" w:color="auto" w:fill="E8F0F8"/>
          </w:tcPr>
          <w:p>
            <w:pPr>
              <w:spacing w:after="0" w:line="20" w:lineRule="exact"/>
              <w:rPr>
                <w:sz w:val="1"/>
                <w:szCs w:val="1"/>
                <w:color w:val="auto"/>
              </w:rPr>
            </w:pPr>
          </w:p>
        </w:tc>
        <w:tc>
          <w:tcPr>
            <w:tcW w:w="2780" w:type="dxa"/>
            <w:vAlign w:val="bottom"/>
            <w:shd w:val="clear" w:color="auto" w:fill="E8F0F8"/>
          </w:tcPr>
          <w:p>
            <w:pPr>
              <w:spacing w:after="0" w:line="20" w:lineRule="exact"/>
              <w:rPr>
                <w:sz w:val="1"/>
                <w:szCs w:val="1"/>
                <w:color w:val="auto"/>
              </w:rPr>
            </w:pPr>
          </w:p>
        </w:tc>
        <w:tc>
          <w:tcPr>
            <w:tcW w:w="1440" w:type="dxa"/>
            <w:vAlign w:val="bottom"/>
            <w:tcBorders>
              <w:right w:val="single" w:sz="8" w:color="E8F0F8"/>
            </w:tcBorders>
            <w:shd w:val="clear" w:color="auto" w:fill="E8F0F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 w:type="dxa"/>
            <w:vAlign w:val="bottom"/>
            <w:tcBorders>
              <w:bottom w:val="single" w:sz="8" w:color="E8F0F8"/>
            </w:tcBorders>
            <w:shd w:val="clear" w:color="auto" w:fill="E8F0F8"/>
          </w:tcPr>
          <w:p>
            <w:pPr>
              <w:spacing w:after="0"/>
              <w:rPr>
                <w:sz w:val="14"/>
                <w:szCs w:val="14"/>
                <w:color w:val="auto"/>
              </w:rPr>
            </w:pPr>
          </w:p>
        </w:tc>
        <w:tc>
          <w:tcPr>
            <w:tcW w:w="960" w:type="dxa"/>
            <w:vAlign w:val="bottom"/>
            <w:tcBorders>
              <w:bottom w:val="single" w:sz="8" w:color="E8F0F8"/>
            </w:tcBorders>
            <w:shd w:val="clear" w:color="auto" w:fill="E8F0F8"/>
          </w:tcPr>
          <w:p>
            <w:pPr>
              <w:spacing w:after="0"/>
              <w:rPr>
                <w:sz w:val="14"/>
                <w:szCs w:val="14"/>
                <w:color w:val="auto"/>
              </w:rPr>
            </w:pPr>
          </w:p>
        </w:tc>
        <w:tc>
          <w:tcPr>
            <w:tcW w:w="60" w:type="dxa"/>
            <w:vAlign w:val="bottom"/>
            <w:tcBorders>
              <w:bottom w:val="single" w:sz="8" w:color="E8F0F8"/>
            </w:tcBorders>
            <w:shd w:val="clear" w:color="auto" w:fill="E8F0F8"/>
          </w:tcPr>
          <w:p>
            <w:pPr>
              <w:spacing w:after="0"/>
              <w:rPr>
                <w:sz w:val="14"/>
                <w:szCs w:val="14"/>
                <w:color w:val="auto"/>
              </w:rPr>
            </w:pPr>
          </w:p>
        </w:tc>
        <w:tc>
          <w:tcPr>
            <w:tcW w:w="2780" w:type="dxa"/>
            <w:vAlign w:val="bottom"/>
            <w:tcBorders>
              <w:bottom w:val="single" w:sz="8" w:color="E8F0F8"/>
            </w:tcBorders>
            <w:shd w:val="clear" w:color="auto" w:fill="E8F0F8"/>
          </w:tcPr>
          <w:p>
            <w:pPr>
              <w:spacing w:after="0"/>
              <w:rPr>
                <w:sz w:val="14"/>
                <w:szCs w:val="14"/>
                <w:color w:val="auto"/>
              </w:rPr>
            </w:pPr>
          </w:p>
        </w:tc>
        <w:tc>
          <w:tcPr>
            <w:tcW w:w="1440" w:type="dxa"/>
            <w:vAlign w:val="bottom"/>
            <w:tcBorders>
              <w:bottom w:val="single" w:sz="8" w:color="E8F0F8"/>
              <w:right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0" w:type="dxa"/>
            <w:vAlign w:val="bottom"/>
            <w:tcBorders>
              <w:bottom w:val="single" w:sz="8" w:color="0000EE"/>
            </w:tcBorders>
            <w:gridSpan w:val="35"/>
          </w:tcPr>
          <w:p>
            <w:pPr>
              <w:spacing w:after="0" w:line="169" w:lineRule="exact"/>
              <w:rPr>
                <w:rFonts w:ascii="Arial" w:cs="Arial" w:eastAsia="Arial" w:hAnsi="Arial"/>
                <w:sz w:val="16"/>
                <w:szCs w:val="16"/>
                <w:color w:val="0000EE"/>
                <w:w w:val="99"/>
              </w:rPr>
            </w:pPr>
            <w:hyperlink w:anchor="page72">
              <w:r>
                <w:rPr>
                  <w:rFonts w:ascii="Arial" w:cs="Arial" w:eastAsia="Arial" w:hAnsi="Arial"/>
                  <w:sz w:val="16"/>
                  <w:szCs w:val="16"/>
                  <w:color w:val="0000EE"/>
                  <w:w w:val="99"/>
                </w:rPr>
                <w:t>Potential Payments Upon Termination or Change in Control</w:t>
              </w:r>
            </w:hyperlink>
          </w:p>
        </w:tc>
        <w:tc>
          <w:tcPr>
            <w:tcW w:w="980" w:type="dxa"/>
            <w:vAlign w:val="bottom"/>
          </w:tcPr>
          <w:p>
            <w:pPr>
              <w:jc w:val="right"/>
              <w:ind w:right="2"/>
              <w:spacing w:after="0" w:line="169" w:lineRule="exact"/>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69"/>
        </w:trPr>
        <w:tc>
          <w:tcPr>
            <w:tcW w:w="120" w:type="dxa"/>
            <w:vAlign w:val="bottom"/>
            <w:shd w:val="clear" w:color="auto" w:fill="E8F0F8"/>
          </w:tcPr>
          <w:p>
            <w:pPr>
              <w:spacing w:after="0"/>
              <w:rPr>
                <w:sz w:val="14"/>
                <w:szCs w:val="14"/>
                <w:color w:val="auto"/>
              </w:rPr>
            </w:pPr>
          </w:p>
        </w:tc>
        <w:tc>
          <w:tcPr>
            <w:tcW w:w="960" w:type="dxa"/>
            <w:vAlign w:val="bottom"/>
            <w:shd w:val="clear" w:color="auto" w:fill="E8F0F8"/>
          </w:tcPr>
          <w:p>
            <w:pPr>
              <w:spacing w:after="0"/>
              <w:rPr>
                <w:sz w:val="14"/>
                <w:szCs w:val="14"/>
                <w:color w:val="auto"/>
              </w:rPr>
            </w:pPr>
          </w:p>
        </w:tc>
        <w:tc>
          <w:tcPr>
            <w:tcW w:w="60" w:type="dxa"/>
            <w:vAlign w:val="bottom"/>
            <w:shd w:val="clear" w:color="auto" w:fill="E8F0F8"/>
          </w:tcPr>
          <w:p>
            <w:pPr>
              <w:spacing w:after="0"/>
              <w:rPr>
                <w:sz w:val="14"/>
                <w:szCs w:val="14"/>
                <w:color w:val="auto"/>
              </w:rPr>
            </w:pPr>
          </w:p>
        </w:tc>
        <w:tc>
          <w:tcPr>
            <w:tcW w:w="2780" w:type="dxa"/>
            <w:vAlign w:val="bottom"/>
            <w:shd w:val="clear" w:color="auto" w:fill="E8F0F8"/>
          </w:tcPr>
          <w:p>
            <w:pPr>
              <w:spacing w:after="0"/>
              <w:rPr>
                <w:sz w:val="14"/>
                <w:szCs w:val="14"/>
                <w:color w:val="auto"/>
              </w:rPr>
            </w:pPr>
          </w:p>
        </w:tc>
        <w:tc>
          <w:tcPr>
            <w:tcW w:w="1440" w:type="dxa"/>
            <w:vAlign w:val="bottom"/>
            <w:tcBorders>
              <w:right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0" w:type="dxa"/>
            <w:vAlign w:val="bottom"/>
            <w:gridSpan w:val="35"/>
          </w:tcPr>
          <w:p>
            <w:pPr>
              <w:spacing w:after="0" w:line="169" w:lineRule="exact"/>
              <w:rPr>
                <w:rFonts w:ascii="Arial" w:cs="Arial" w:eastAsia="Arial" w:hAnsi="Arial"/>
                <w:sz w:val="16"/>
                <w:szCs w:val="16"/>
                <w:color w:val="0000EE"/>
              </w:rPr>
            </w:pPr>
            <w:hyperlink w:anchor="page75">
              <w:r>
                <w:rPr>
                  <w:rFonts w:ascii="Arial" w:cs="Arial" w:eastAsia="Arial" w:hAnsi="Arial"/>
                  <w:sz w:val="16"/>
                  <w:szCs w:val="16"/>
                  <w:color w:val="0000EE"/>
                </w:rPr>
                <w:t>CEO Pay Ratio</w:t>
              </w:r>
            </w:hyperlink>
          </w:p>
        </w:tc>
        <w:tc>
          <w:tcPr>
            <w:tcW w:w="980" w:type="dxa"/>
            <w:vAlign w:val="bottom"/>
          </w:tcPr>
          <w:p>
            <w:pPr>
              <w:jc w:val="right"/>
              <w:ind w:right="2"/>
              <w:spacing w:after="0" w:line="169" w:lineRule="exact"/>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02"/>
        </w:trPr>
        <w:tc>
          <w:tcPr>
            <w:tcW w:w="120" w:type="dxa"/>
            <w:vAlign w:val="bottom"/>
            <w:tcBorders>
              <w:top w:val="single" w:sz="8" w:color="E8F0F8"/>
              <w:bottom w:val="single" w:sz="8" w:color="auto"/>
            </w:tcBorders>
            <w:shd w:val="clear" w:color="auto" w:fill="E8F0F8"/>
          </w:tcPr>
          <w:p>
            <w:pPr>
              <w:spacing w:after="0"/>
              <w:rPr>
                <w:sz w:val="8"/>
                <w:szCs w:val="8"/>
                <w:color w:val="auto"/>
              </w:rPr>
            </w:pPr>
          </w:p>
        </w:tc>
        <w:tc>
          <w:tcPr>
            <w:tcW w:w="960" w:type="dxa"/>
            <w:vAlign w:val="bottom"/>
            <w:tcBorders>
              <w:top w:val="single" w:sz="8" w:color="E8F0F8"/>
              <w:bottom w:val="single" w:sz="8" w:color="auto"/>
            </w:tcBorders>
            <w:shd w:val="clear" w:color="auto" w:fill="E8F0F8"/>
          </w:tcPr>
          <w:p>
            <w:pPr>
              <w:spacing w:after="0"/>
              <w:rPr>
                <w:sz w:val="8"/>
                <w:szCs w:val="8"/>
                <w:color w:val="auto"/>
              </w:rPr>
            </w:pPr>
          </w:p>
        </w:tc>
        <w:tc>
          <w:tcPr>
            <w:tcW w:w="60" w:type="dxa"/>
            <w:vAlign w:val="bottom"/>
            <w:tcBorders>
              <w:top w:val="single" w:sz="8" w:color="E8F0F8"/>
              <w:bottom w:val="single" w:sz="8" w:color="auto"/>
            </w:tcBorders>
            <w:shd w:val="clear" w:color="auto" w:fill="E8F0F8"/>
          </w:tcPr>
          <w:p>
            <w:pPr>
              <w:spacing w:after="0"/>
              <w:rPr>
                <w:sz w:val="8"/>
                <w:szCs w:val="8"/>
                <w:color w:val="auto"/>
              </w:rPr>
            </w:pPr>
          </w:p>
        </w:tc>
        <w:tc>
          <w:tcPr>
            <w:tcW w:w="2780" w:type="dxa"/>
            <w:vAlign w:val="bottom"/>
            <w:tcBorders>
              <w:top w:val="single" w:sz="8" w:color="E8F0F8"/>
              <w:bottom w:val="single" w:sz="8" w:color="auto"/>
            </w:tcBorders>
            <w:shd w:val="clear" w:color="auto" w:fill="E8F0F8"/>
          </w:tcPr>
          <w:p>
            <w:pPr>
              <w:spacing w:after="0"/>
              <w:rPr>
                <w:sz w:val="8"/>
                <w:szCs w:val="8"/>
                <w:color w:val="auto"/>
              </w:rPr>
            </w:pPr>
          </w:p>
        </w:tc>
        <w:tc>
          <w:tcPr>
            <w:tcW w:w="1440" w:type="dxa"/>
            <w:vAlign w:val="bottom"/>
            <w:tcBorders>
              <w:top w:val="single" w:sz="8" w:color="E8F0F8"/>
              <w:bottom w:val="single" w:sz="8" w:color="auto"/>
              <w:right w:val="single" w:sz="8" w:color="E8F0F8"/>
            </w:tcBorders>
            <w:shd w:val="clear" w:color="auto" w:fill="E8F0F8"/>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20" w:type="dxa"/>
            <w:vAlign w:val="bottom"/>
            <w:tcBorders>
              <w:top w:val="single" w:sz="8" w:color="0000EE"/>
              <w:bottom w:val="single" w:sz="8" w:color="auto"/>
            </w:tcBorders>
          </w:tcPr>
          <w:p>
            <w:pPr>
              <w:spacing w:after="0"/>
              <w:rPr>
                <w:sz w:val="8"/>
                <w:szCs w:val="8"/>
                <w:color w:val="auto"/>
              </w:rPr>
            </w:pPr>
          </w:p>
        </w:tc>
        <w:tc>
          <w:tcPr>
            <w:tcW w:w="180" w:type="dxa"/>
            <w:vAlign w:val="bottom"/>
            <w:tcBorders>
              <w:top w:val="single" w:sz="8" w:color="0000EE"/>
              <w:bottom w:val="single" w:sz="8" w:color="auto"/>
            </w:tcBorders>
          </w:tcPr>
          <w:p>
            <w:pPr>
              <w:spacing w:after="0"/>
              <w:rPr>
                <w:sz w:val="8"/>
                <w:szCs w:val="8"/>
                <w:color w:val="auto"/>
              </w:rPr>
            </w:pPr>
          </w:p>
        </w:tc>
        <w:tc>
          <w:tcPr>
            <w:tcW w:w="20" w:type="dxa"/>
            <w:vAlign w:val="bottom"/>
            <w:tcBorders>
              <w:top w:val="single" w:sz="8" w:color="0000EE"/>
              <w:bottom w:val="single" w:sz="8" w:color="auto"/>
            </w:tcBorders>
          </w:tcPr>
          <w:p>
            <w:pPr>
              <w:spacing w:after="0"/>
              <w:rPr>
                <w:sz w:val="8"/>
                <w:szCs w:val="8"/>
                <w:color w:val="auto"/>
              </w:rPr>
            </w:pPr>
          </w:p>
        </w:tc>
        <w:tc>
          <w:tcPr>
            <w:tcW w:w="40" w:type="dxa"/>
            <w:vAlign w:val="bottom"/>
            <w:tcBorders>
              <w:top w:val="single" w:sz="8" w:color="0000EE"/>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294967292"/>
        </w:trPr>
        <w:tc>
          <w:tcPr>
            <w:tcW w:w="1080" w:type="dxa"/>
            <w:vAlign w:val="bottom"/>
            <w:gridSpan w:val="2"/>
            <w:vMerge w:val="restart"/>
            <w:shd w:val="clear" w:color="auto" w:fill="E8F0F8"/>
          </w:tcPr>
          <w:p>
            <w:pPr>
              <w:ind w:left="140"/>
              <w:spacing w:after="0" w:line="1477" w:lineRule="exact"/>
              <w:rPr>
                <w:sz w:val="20"/>
                <w:szCs w:val="20"/>
                <w:color w:val="auto"/>
              </w:rPr>
            </w:pPr>
            <w:r>
              <w:rPr>
                <w:rFonts w:ascii="Arial" w:cs="Arial" w:eastAsia="Arial" w:hAnsi="Arial"/>
                <w:sz w:val="144"/>
                <w:szCs w:val="144"/>
                <w:color w:val="1A6DBB"/>
              </w:rPr>
              <w:t>6</w:t>
            </w:r>
          </w:p>
        </w:tc>
        <w:tc>
          <w:tcPr>
            <w:tcW w:w="60" w:type="dxa"/>
            <w:vAlign w:val="bottom"/>
            <w:shd w:val="clear" w:color="auto" w:fill="E8F0F8"/>
          </w:tcPr>
          <w:p>
            <w:pPr>
              <w:spacing w:after="0" w:line="20" w:lineRule="exact"/>
              <w:rPr>
                <w:sz w:val="1"/>
                <w:szCs w:val="1"/>
                <w:color w:val="auto"/>
              </w:rPr>
            </w:pPr>
          </w:p>
        </w:tc>
        <w:tc>
          <w:tcPr>
            <w:tcW w:w="4220" w:type="dxa"/>
            <w:vAlign w:val="bottom"/>
            <w:tcBorders>
              <w:right w:val="single" w:sz="8" w:color="E8F0F8"/>
            </w:tcBorders>
            <w:gridSpan w:val="2"/>
            <w:shd w:val="clear" w:color="auto" w:fill="E8F0F8"/>
          </w:tcPr>
          <w:p>
            <w:pPr>
              <w:spacing w:after="0" w:line="5" w:lineRule="exact"/>
              <w:rPr>
                <w:sz w:val="20"/>
                <w:szCs w:val="20"/>
                <w:color w:val="auto"/>
              </w:rPr>
            </w:pPr>
            <w:r>
              <w:rPr>
                <w:rFonts w:ascii="Arial" w:cs="Arial" w:eastAsia="Arial" w:hAnsi="Arial"/>
                <w:sz w:val="1"/>
                <w:szCs w:val="1"/>
                <w:color w:val="0000EE"/>
              </w:rPr>
              <w:t>Additional Information</w:t>
            </w: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0" w:type="dxa"/>
            <w:vAlign w:val="bottom"/>
            <w:gridSpan w:val="35"/>
          </w:tcPr>
          <w:p>
            <w:pPr>
              <w:spacing w:after="0" w:line="5" w:lineRule="exact"/>
              <w:rPr>
                <w:sz w:val="20"/>
                <w:szCs w:val="20"/>
                <w:color w:val="auto"/>
              </w:rPr>
            </w:pPr>
            <w:r>
              <w:rPr>
                <w:rFonts w:ascii="Arial" w:cs="Arial" w:eastAsia="Arial" w:hAnsi="Arial"/>
                <w:sz w:val="1"/>
                <w:szCs w:val="1"/>
                <w:color w:val="0000EE"/>
              </w:rPr>
              <w:t>Section 16(a) Beneficial Ownership Reporting Compliance</w:t>
            </w:r>
          </w:p>
        </w:tc>
        <w:tc>
          <w:tcPr>
            <w:tcW w:w="980" w:type="dxa"/>
            <w:vAlign w:val="bottom"/>
          </w:tcPr>
          <w:p>
            <w:pPr>
              <w:jc w:val="right"/>
              <w:ind w:right="2"/>
              <w:spacing w:after="0" w:line="5" w:lineRule="exact"/>
              <w:rPr>
                <w:sz w:val="20"/>
                <w:szCs w:val="20"/>
                <w:color w:val="auto"/>
              </w:rPr>
            </w:pPr>
            <w:r>
              <w:rPr>
                <w:rFonts w:ascii="Arial" w:cs="Arial" w:eastAsia="Arial" w:hAnsi="Arial"/>
                <w:sz w:val="1"/>
                <w:szCs w:val="1"/>
                <w:color w:val="auto"/>
              </w:rPr>
              <w:t>63</w:t>
            </w:r>
          </w:p>
        </w:tc>
        <w:tc>
          <w:tcPr>
            <w:tcW w:w="0" w:type="dxa"/>
            <w:vAlign w:val="bottom"/>
          </w:tcPr>
          <w:p>
            <w:pPr>
              <w:spacing w:after="0" w:line="20" w:lineRule="exact"/>
              <w:rPr>
                <w:sz w:val="1"/>
                <w:szCs w:val="1"/>
                <w:color w:val="auto"/>
              </w:rPr>
            </w:pPr>
          </w:p>
        </w:tc>
      </w:tr>
      <w:tr>
        <w:trPr>
          <w:trHeight w:val="160"/>
        </w:trPr>
        <w:tc>
          <w:tcPr>
            <w:tcW w:w="1080" w:type="dxa"/>
            <w:vAlign w:val="bottom"/>
            <w:gridSpan w:val="2"/>
            <w:vMerge w:val="continue"/>
            <w:shd w:val="clear" w:color="auto" w:fill="E8F0F8"/>
          </w:tcPr>
          <w:p>
            <w:pPr>
              <w:spacing w:after="0"/>
              <w:rPr>
                <w:sz w:val="13"/>
                <w:szCs w:val="13"/>
                <w:color w:val="auto"/>
              </w:rPr>
            </w:pPr>
          </w:p>
        </w:tc>
        <w:tc>
          <w:tcPr>
            <w:tcW w:w="60" w:type="dxa"/>
            <w:vAlign w:val="bottom"/>
            <w:shd w:val="clear" w:color="auto" w:fill="E8F0F8"/>
          </w:tcPr>
          <w:p>
            <w:pPr>
              <w:spacing w:after="0"/>
              <w:rPr>
                <w:sz w:val="13"/>
                <w:szCs w:val="13"/>
                <w:color w:val="auto"/>
              </w:rPr>
            </w:pPr>
          </w:p>
        </w:tc>
        <w:tc>
          <w:tcPr>
            <w:tcW w:w="2780" w:type="dxa"/>
            <w:vAlign w:val="bottom"/>
            <w:shd w:val="clear" w:color="auto" w:fill="E8F0F8"/>
          </w:tcPr>
          <w:p>
            <w:pPr>
              <w:spacing w:after="0"/>
              <w:rPr>
                <w:sz w:val="13"/>
                <w:szCs w:val="13"/>
                <w:color w:val="auto"/>
              </w:rPr>
            </w:pPr>
          </w:p>
        </w:tc>
        <w:tc>
          <w:tcPr>
            <w:tcW w:w="1440" w:type="dxa"/>
            <w:vAlign w:val="bottom"/>
            <w:tcBorders>
              <w:right w:val="single" w:sz="8" w:color="E8F0F8"/>
            </w:tcBorders>
            <w:shd w:val="clear" w:color="auto" w:fill="E8F0F8"/>
          </w:tcPr>
          <w:p>
            <w:pPr>
              <w:spacing w:after="0"/>
              <w:rPr>
                <w:sz w:val="13"/>
                <w:szCs w:val="13"/>
                <w:color w:val="auto"/>
              </w:rPr>
            </w:pPr>
          </w:p>
        </w:tc>
        <w:tc>
          <w:tcPr>
            <w:tcW w:w="320" w:type="dxa"/>
            <w:vAlign w:val="bottom"/>
          </w:tcPr>
          <w:p>
            <w:pPr>
              <w:spacing w:after="0"/>
              <w:rPr>
                <w:sz w:val="13"/>
                <w:szCs w:val="13"/>
                <w:color w:val="auto"/>
              </w:rPr>
            </w:pPr>
          </w:p>
        </w:tc>
        <w:tc>
          <w:tcPr>
            <w:tcW w:w="4360" w:type="dxa"/>
            <w:vAlign w:val="bottom"/>
            <w:gridSpan w:val="36"/>
          </w:tcPr>
          <w:p>
            <w:pPr>
              <w:spacing w:after="0" w:line="160" w:lineRule="exact"/>
              <w:rPr>
                <w:rFonts w:ascii="Arial" w:cs="Arial" w:eastAsia="Arial" w:hAnsi="Arial"/>
                <w:sz w:val="16"/>
                <w:szCs w:val="16"/>
                <w:color w:val="0000EE"/>
              </w:rPr>
            </w:pPr>
            <w:hyperlink w:anchor="page76">
              <w:r>
                <w:rPr>
                  <w:rFonts w:ascii="Arial" w:cs="Arial" w:eastAsia="Arial" w:hAnsi="Arial"/>
                  <w:sz w:val="16"/>
                  <w:szCs w:val="16"/>
                  <w:color w:val="0000EE"/>
                </w:rPr>
                <w:t>Stock Ownership</w:t>
              </w:r>
            </w:hyperlink>
          </w:p>
        </w:tc>
        <w:tc>
          <w:tcPr>
            <w:tcW w:w="980" w:type="dxa"/>
            <w:vAlign w:val="bottom"/>
          </w:tcPr>
          <w:p>
            <w:pPr>
              <w:jc w:val="right"/>
              <w:ind w:right="2"/>
              <w:spacing w:after="0" w:line="160" w:lineRule="exact"/>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09"/>
        </w:trPr>
        <w:tc>
          <w:tcPr>
            <w:tcW w:w="1080" w:type="dxa"/>
            <w:vAlign w:val="bottom"/>
            <w:tcBorders>
              <w:top w:val="single" w:sz="8" w:color="E8F0F8"/>
              <w:bottom w:val="single" w:sz="8" w:color="E8F0F8"/>
            </w:tcBorders>
            <w:gridSpan w:val="2"/>
            <w:vMerge w:val="continue"/>
            <w:shd w:val="clear" w:color="auto" w:fill="E8F0F8"/>
          </w:tcPr>
          <w:p>
            <w:pPr>
              <w:spacing w:after="0"/>
              <w:rPr>
                <w:sz w:val="9"/>
                <w:szCs w:val="9"/>
                <w:color w:val="auto"/>
              </w:rPr>
            </w:pPr>
          </w:p>
        </w:tc>
        <w:tc>
          <w:tcPr>
            <w:tcW w:w="60" w:type="dxa"/>
            <w:vAlign w:val="bottom"/>
            <w:tcBorders>
              <w:top w:val="single" w:sz="8" w:color="E8F0F8"/>
              <w:bottom w:val="single" w:sz="8" w:color="E8F0F8"/>
            </w:tcBorders>
            <w:shd w:val="clear" w:color="auto" w:fill="E8F0F8"/>
          </w:tcPr>
          <w:p>
            <w:pPr>
              <w:spacing w:after="0"/>
              <w:rPr>
                <w:sz w:val="9"/>
                <w:szCs w:val="9"/>
                <w:color w:val="auto"/>
              </w:rPr>
            </w:pPr>
          </w:p>
        </w:tc>
        <w:tc>
          <w:tcPr>
            <w:tcW w:w="2780" w:type="dxa"/>
            <w:vAlign w:val="bottom"/>
            <w:tcBorders>
              <w:top w:val="single" w:sz="8" w:color="E8F0F8"/>
              <w:bottom w:val="single" w:sz="8" w:color="0000EE"/>
            </w:tcBorders>
            <w:shd w:val="clear" w:color="auto" w:fill="E8F0F8"/>
          </w:tcPr>
          <w:p>
            <w:pPr>
              <w:spacing w:after="0"/>
              <w:rPr>
                <w:sz w:val="9"/>
                <w:szCs w:val="9"/>
                <w:color w:val="auto"/>
              </w:rPr>
            </w:pPr>
          </w:p>
        </w:tc>
        <w:tc>
          <w:tcPr>
            <w:tcW w:w="1440" w:type="dxa"/>
            <w:vAlign w:val="bottom"/>
            <w:tcBorders>
              <w:top w:val="single" w:sz="8" w:color="E8F0F8"/>
              <w:bottom w:val="single" w:sz="8" w:color="E8F0F8"/>
              <w:right w:val="single" w:sz="8" w:color="E8F0F8"/>
            </w:tcBorders>
            <w:shd w:val="clear" w:color="auto" w:fill="E8F0F8"/>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top w:val="single" w:sz="8" w:color="0000EE"/>
            </w:tcBorders>
          </w:tcPr>
          <w:p>
            <w:pPr>
              <w:spacing w:after="0"/>
              <w:rPr>
                <w:sz w:val="9"/>
                <w:szCs w:val="9"/>
                <w:color w:val="auto"/>
              </w:rPr>
            </w:pPr>
          </w:p>
        </w:tc>
        <w:tc>
          <w:tcPr>
            <w:tcW w:w="820" w:type="dxa"/>
            <w:vAlign w:val="bottom"/>
            <w:tcBorders>
              <w:top w:val="single" w:sz="8" w:color="0000EE"/>
            </w:tcBorders>
          </w:tcPr>
          <w:p>
            <w:pPr>
              <w:spacing w:after="0"/>
              <w:rPr>
                <w:sz w:val="9"/>
                <w:szCs w:val="9"/>
                <w:color w:val="auto"/>
              </w:rPr>
            </w:pPr>
          </w:p>
        </w:tc>
        <w:tc>
          <w:tcPr>
            <w:tcW w:w="18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80" w:type="dxa"/>
            <w:vAlign w:val="bottom"/>
            <w:tcBorders>
              <w:bottom w:val="single" w:sz="8" w:color="E8F0F8"/>
            </w:tcBorders>
            <w:gridSpan w:val="2"/>
            <w:vMerge w:val="continue"/>
            <w:shd w:val="clear" w:color="auto" w:fill="E8F0F8"/>
          </w:tcPr>
          <w:p>
            <w:pPr>
              <w:spacing w:after="0"/>
              <w:rPr>
                <w:sz w:val="3"/>
                <w:szCs w:val="3"/>
                <w:color w:val="auto"/>
              </w:rPr>
            </w:pPr>
          </w:p>
        </w:tc>
        <w:tc>
          <w:tcPr>
            <w:tcW w:w="60" w:type="dxa"/>
            <w:vAlign w:val="bottom"/>
            <w:tcBorders>
              <w:bottom w:val="single" w:sz="8" w:color="E8F0F8"/>
            </w:tcBorders>
            <w:shd w:val="clear" w:color="auto" w:fill="E8F0F8"/>
          </w:tcPr>
          <w:p>
            <w:pPr>
              <w:spacing w:after="0"/>
              <w:rPr>
                <w:sz w:val="3"/>
                <w:szCs w:val="3"/>
                <w:color w:val="auto"/>
              </w:rPr>
            </w:pPr>
          </w:p>
        </w:tc>
        <w:tc>
          <w:tcPr>
            <w:tcW w:w="2780" w:type="dxa"/>
            <w:vAlign w:val="bottom"/>
            <w:tcBorders>
              <w:bottom w:val="single" w:sz="8" w:color="E8F0F8"/>
            </w:tcBorders>
            <w:shd w:val="clear" w:color="auto" w:fill="E8F0F8"/>
          </w:tcPr>
          <w:p>
            <w:pPr>
              <w:spacing w:after="0"/>
              <w:rPr>
                <w:sz w:val="3"/>
                <w:szCs w:val="3"/>
                <w:color w:val="auto"/>
              </w:rPr>
            </w:pPr>
          </w:p>
        </w:tc>
        <w:tc>
          <w:tcPr>
            <w:tcW w:w="1440" w:type="dxa"/>
            <w:vAlign w:val="bottom"/>
            <w:tcBorders>
              <w:bottom w:val="single" w:sz="8" w:color="E8F0F8"/>
              <w:right w:val="single" w:sz="8" w:color="E8F0F8"/>
            </w:tcBorders>
            <w:shd w:val="clear" w:color="auto" w:fill="E8F0F8"/>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Borders>
              <w:bottom w:val="single" w:sz="8" w:color="0000EE"/>
            </w:tcBorders>
          </w:tcPr>
          <w:p>
            <w:pPr>
              <w:spacing w:after="0"/>
              <w:rPr>
                <w:sz w:val="3"/>
                <w:szCs w:val="3"/>
                <w:color w:val="auto"/>
              </w:rPr>
            </w:pPr>
          </w:p>
        </w:tc>
        <w:tc>
          <w:tcPr>
            <w:tcW w:w="760" w:type="dxa"/>
            <w:vAlign w:val="bottom"/>
            <w:tcBorders>
              <w:bottom w:val="single" w:sz="8" w:color="0000EE"/>
            </w:tcBorders>
            <w:gridSpan w:val="8"/>
          </w:tcPr>
          <w:p>
            <w:pPr>
              <w:spacing w:after="0"/>
              <w:rPr>
                <w:sz w:val="3"/>
                <w:szCs w:val="3"/>
                <w:color w:val="auto"/>
              </w:rPr>
            </w:pPr>
          </w:p>
        </w:tc>
        <w:tc>
          <w:tcPr>
            <w:tcW w:w="340" w:type="dxa"/>
            <w:vAlign w:val="bottom"/>
            <w:tcBorders>
              <w:bottom w:val="single" w:sz="8" w:color="0000EE"/>
            </w:tcBorders>
            <w:gridSpan w:val="3"/>
          </w:tcPr>
          <w:p>
            <w:pPr>
              <w:spacing w:after="0"/>
              <w:rPr>
                <w:sz w:val="3"/>
                <w:szCs w:val="3"/>
                <w:color w:val="auto"/>
              </w:rPr>
            </w:pPr>
          </w:p>
        </w:tc>
        <w:tc>
          <w:tcPr>
            <w:tcW w:w="600" w:type="dxa"/>
            <w:vAlign w:val="bottom"/>
            <w:tcBorders>
              <w:bottom w:val="single" w:sz="8" w:color="0000EE"/>
            </w:tcBorders>
            <w:gridSpan w:val="7"/>
          </w:tcPr>
          <w:p>
            <w:pPr>
              <w:spacing w:after="0"/>
              <w:rPr>
                <w:sz w:val="3"/>
                <w:szCs w:val="3"/>
                <w:color w:val="auto"/>
              </w:rPr>
            </w:pPr>
          </w:p>
        </w:tc>
        <w:tc>
          <w:tcPr>
            <w:tcW w:w="40" w:type="dxa"/>
            <w:vAlign w:val="bottom"/>
            <w:tcBorders>
              <w:bottom w:val="single" w:sz="8" w:color="0000EE"/>
            </w:tcBorders>
          </w:tcPr>
          <w:p>
            <w:pPr>
              <w:spacing w:after="0"/>
              <w:rPr>
                <w:sz w:val="3"/>
                <w:szCs w:val="3"/>
                <w:color w:val="auto"/>
              </w:rPr>
            </w:pPr>
          </w:p>
        </w:tc>
        <w:tc>
          <w:tcPr>
            <w:tcW w:w="100" w:type="dxa"/>
            <w:vAlign w:val="bottom"/>
            <w:tcBorders>
              <w:bottom w:val="single" w:sz="8" w:color="0000EE"/>
            </w:tcBorders>
            <w:gridSpan w:val="2"/>
          </w:tcPr>
          <w:p>
            <w:pPr>
              <w:spacing w:after="0"/>
              <w:rPr>
                <w:sz w:val="3"/>
                <w:szCs w:val="3"/>
                <w:color w:val="auto"/>
              </w:rPr>
            </w:pPr>
          </w:p>
        </w:tc>
        <w:tc>
          <w:tcPr>
            <w:tcW w:w="1120" w:type="dxa"/>
            <w:vAlign w:val="bottom"/>
            <w:tcBorders>
              <w:bottom w:val="single" w:sz="8" w:color="0000EE"/>
            </w:tcBorders>
            <w:gridSpan w:val="9"/>
          </w:tcPr>
          <w:p>
            <w:pPr>
              <w:spacing w:after="0"/>
              <w:rPr>
                <w:sz w:val="3"/>
                <w:szCs w:val="3"/>
                <w:color w:val="auto"/>
              </w:rPr>
            </w:pPr>
          </w:p>
        </w:tc>
        <w:tc>
          <w:tcPr>
            <w:tcW w:w="360" w:type="dxa"/>
            <w:vAlign w:val="bottom"/>
            <w:tcBorders>
              <w:bottom w:val="single" w:sz="8" w:color="0000EE"/>
            </w:tcBorders>
            <w:gridSpan w:val="3"/>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080" w:type="dxa"/>
            <w:vAlign w:val="bottom"/>
            <w:tcBorders>
              <w:bottom w:val="single" w:sz="8" w:color="E8F0F8"/>
            </w:tcBorders>
            <w:gridSpan w:val="2"/>
            <w:vMerge w:val="continue"/>
            <w:shd w:val="clear" w:color="auto" w:fill="E8F0F8"/>
          </w:tcPr>
          <w:p>
            <w:pPr>
              <w:spacing w:after="0"/>
              <w:rPr>
                <w:sz w:val="14"/>
                <w:szCs w:val="14"/>
                <w:color w:val="auto"/>
              </w:rPr>
            </w:pPr>
          </w:p>
        </w:tc>
        <w:tc>
          <w:tcPr>
            <w:tcW w:w="60" w:type="dxa"/>
            <w:vAlign w:val="bottom"/>
            <w:tcBorders>
              <w:bottom w:val="single" w:sz="8" w:color="E8F0F8"/>
            </w:tcBorders>
            <w:shd w:val="clear" w:color="auto" w:fill="E8F0F8"/>
          </w:tcPr>
          <w:p>
            <w:pPr>
              <w:spacing w:after="0"/>
              <w:rPr>
                <w:sz w:val="14"/>
                <w:szCs w:val="14"/>
                <w:color w:val="auto"/>
              </w:rPr>
            </w:pPr>
          </w:p>
        </w:tc>
        <w:tc>
          <w:tcPr>
            <w:tcW w:w="2780" w:type="dxa"/>
            <w:vAlign w:val="bottom"/>
            <w:tcBorders>
              <w:bottom w:val="single" w:sz="8" w:color="E8F0F8"/>
            </w:tcBorders>
            <w:shd w:val="clear" w:color="auto" w:fill="E8F0F8"/>
          </w:tcPr>
          <w:p>
            <w:pPr>
              <w:spacing w:after="0"/>
              <w:rPr>
                <w:sz w:val="14"/>
                <w:szCs w:val="14"/>
                <w:color w:val="auto"/>
              </w:rPr>
            </w:pPr>
          </w:p>
        </w:tc>
        <w:tc>
          <w:tcPr>
            <w:tcW w:w="1440" w:type="dxa"/>
            <w:vAlign w:val="bottom"/>
            <w:tcBorders>
              <w:bottom w:val="single" w:sz="8" w:color="E8F0F8"/>
              <w:right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3940" w:type="dxa"/>
            <w:vAlign w:val="bottom"/>
            <w:tcBorders>
              <w:bottom w:val="single" w:sz="8" w:color="0000EE"/>
            </w:tcBorders>
            <w:gridSpan w:val="32"/>
          </w:tcPr>
          <w:p>
            <w:pPr>
              <w:spacing w:after="0" w:line="169" w:lineRule="exact"/>
              <w:rPr>
                <w:rFonts w:ascii="Arial" w:cs="Arial" w:eastAsia="Arial" w:hAnsi="Arial"/>
                <w:sz w:val="16"/>
                <w:szCs w:val="16"/>
                <w:color w:val="0000EE"/>
                <w:w w:val="99"/>
              </w:rPr>
            </w:pPr>
            <w:hyperlink w:anchor="page78">
              <w:r>
                <w:rPr>
                  <w:rFonts w:ascii="Arial" w:cs="Arial" w:eastAsia="Arial" w:hAnsi="Arial"/>
                  <w:sz w:val="16"/>
                  <w:szCs w:val="16"/>
                  <w:color w:val="0000EE"/>
                  <w:w w:val="99"/>
                </w:rPr>
                <w:t>Certain Relationships and Related Person Transactions</w:t>
              </w:r>
            </w:hyperlink>
          </w:p>
        </w:tc>
        <w:tc>
          <w:tcPr>
            <w:tcW w:w="420" w:type="dxa"/>
            <w:vAlign w:val="bottom"/>
            <w:gridSpan w:val="4"/>
          </w:tcPr>
          <w:p>
            <w:pPr>
              <w:spacing w:after="0"/>
              <w:rPr>
                <w:sz w:val="14"/>
                <w:szCs w:val="14"/>
                <w:color w:val="auto"/>
              </w:rPr>
            </w:pPr>
          </w:p>
        </w:tc>
        <w:tc>
          <w:tcPr>
            <w:tcW w:w="980" w:type="dxa"/>
            <w:vAlign w:val="bottom"/>
          </w:tcPr>
          <w:p>
            <w:pPr>
              <w:jc w:val="right"/>
              <w:ind w:right="2"/>
              <w:spacing w:after="0" w:line="169" w:lineRule="exact"/>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69"/>
        </w:trPr>
        <w:tc>
          <w:tcPr>
            <w:tcW w:w="1080" w:type="dxa"/>
            <w:vAlign w:val="bottom"/>
            <w:tcBorders>
              <w:bottom w:val="single" w:sz="8" w:color="E8F0F8"/>
            </w:tcBorders>
            <w:gridSpan w:val="2"/>
            <w:vMerge w:val="continue"/>
            <w:shd w:val="clear" w:color="auto" w:fill="E8F0F8"/>
          </w:tcPr>
          <w:p>
            <w:pPr>
              <w:spacing w:after="0"/>
              <w:rPr>
                <w:sz w:val="14"/>
                <w:szCs w:val="14"/>
                <w:color w:val="auto"/>
              </w:rPr>
            </w:pPr>
          </w:p>
        </w:tc>
        <w:tc>
          <w:tcPr>
            <w:tcW w:w="60" w:type="dxa"/>
            <w:vAlign w:val="bottom"/>
            <w:tcBorders>
              <w:bottom w:val="single" w:sz="8" w:color="E8F0F8"/>
            </w:tcBorders>
            <w:shd w:val="clear" w:color="auto" w:fill="E8F0F8"/>
          </w:tcPr>
          <w:p>
            <w:pPr>
              <w:spacing w:after="0"/>
              <w:rPr>
                <w:sz w:val="14"/>
                <w:szCs w:val="14"/>
                <w:color w:val="auto"/>
              </w:rPr>
            </w:pPr>
          </w:p>
        </w:tc>
        <w:tc>
          <w:tcPr>
            <w:tcW w:w="2780" w:type="dxa"/>
            <w:vAlign w:val="bottom"/>
            <w:tcBorders>
              <w:bottom w:val="single" w:sz="8" w:color="E8F0F8"/>
            </w:tcBorders>
            <w:shd w:val="clear" w:color="auto" w:fill="E8F0F8"/>
          </w:tcPr>
          <w:p>
            <w:pPr>
              <w:spacing w:after="0"/>
              <w:rPr>
                <w:sz w:val="14"/>
                <w:szCs w:val="14"/>
                <w:color w:val="auto"/>
              </w:rPr>
            </w:pPr>
          </w:p>
        </w:tc>
        <w:tc>
          <w:tcPr>
            <w:tcW w:w="1440" w:type="dxa"/>
            <w:vAlign w:val="bottom"/>
            <w:tcBorders>
              <w:bottom w:val="single" w:sz="8" w:color="E8F0F8"/>
              <w:right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2720" w:type="dxa"/>
            <w:vAlign w:val="bottom"/>
            <w:tcBorders>
              <w:bottom w:val="single" w:sz="8" w:color="0000EE"/>
            </w:tcBorders>
            <w:gridSpan w:val="21"/>
          </w:tcPr>
          <w:p>
            <w:pPr>
              <w:spacing w:after="0" w:line="169" w:lineRule="exact"/>
              <w:rPr>
                <w:rFonts w:ascii="Arial" w:cs="Arial" w:eastAsia="Arial" w:hAnsi="Arial"/>
                <w:sz w:val="16"/>
                <w:szCs w:val="16"/>
                <w:color w:val="0000EE"/>
                <w:w w:val="98"/>
              </w:rPr>
            </w:pPr>
            <w:hyperlink w:anchor="page79">
              <w:r>
                <w:rPr>
                  <w:rFonts w:ascii="Arial" w:cs="Arial" w:eastAsia="Arial" w:hAnsi="Arial"/>
                  <w:sz w:val="16"/>
                  <w:szCs w:val="16"/>
                  <w:color w:val="0000EE"/>
                  <w:w w:val="98"/>
                </w:rPr>
                <w:t>Equity Compensation Plan Information</w:t>
              </w:r>
            </w:hyperlink>
          </w:p>
        </w:tc>
        <w:tc>
          <w:tcPr>
            <w:tcW w:w="1640" w:type="dxa"/>
            <w:vAlign w:val="bottom"/>
            <w:gridSpan w:val="15"/>
          </w:tcPr>
          <w:p>
            <w:pPr>
              <w:spacing w:after="0"/>
              <w:rPr>
                <w:sz w:val="14"/>
                <w:szCs w:val="14"/>
                <w:color w:val="auto"/>
              </w:rPr>
            </w:pPr>
          </w:p>
        </w:tc>
        <w:tc>
          <w:tcPr>
            <w:tcW w:w="980" w:type="dxa"/>
            <w:vAlign w:val="bottom"/>
          </w:tcPr>
          <w:p>
            <w:pPr>
              <w:jc w:val="right"/>
              <w:ind w:right="2"/>
              <w:spacing w:after="0" w:line="169" w:lineRule="exact"/>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69"/>
        </w:trPr>
        <w:tc>
          <w:tcPr>
            <w:tcW w:w="1080" w:type="dxa"/>
            <w:vAlign w:val="bottom"/>
            <w:gridSpan w:val="2"/>
            <w:vMerge w:val="continue"/>
            <w:shd w:val="clear" w:color="auto" w:fill="E8F0F8"/>
          </w:tcPr>
          <w:p>
            <w:pPr>
              <w:spacing w:after="0"/>
              <w:rPr>
                <w:sz w:val="14"/>
                <w:szCs w:val="14"/>
                <w:color w:val="auto"/>
              </w:rPr>
            </w:pPr>
          </w:p>
        </w:tc>
        <w:tc>
          <w:tcPr>
            <w:tcW w:w="60" w:type="dxa"/>
            <w:vAlign w:val="bottom"/>
            <w:shd w:val="clear" w:color="auto" w:fill="E8F0F8"/>
          </w:tcPr>
          <w:p>
            <w:pPr>
              <w:spacing w:after="0"/>
              <w:rPr>
                <w:sz w:val="14"/>
                <w:szCs w:val="14"/>
                <w:color w:val="auto"/>
              </w:rPr>
            </w:pPr>
          </w:p>
        </w:tc>
        <w:tc>
          <w:tcPr>
            <w:tcW w:w="2780" w:type="dxa"/>
            <w:vAlign w:val="bottom"/>
            <w:shd w:val="clear" w:color="auto" w:fill="E8F0F8"/>
          </w:tcPr>
          <w:p>
            <w:pPr>
              <w:spacing w:after="0"/>
              <w:rPr>
                <w:sz w:val="14"/>
                <w:szCs w:val="14"/>
                <w:color w:val="auto"/>
              </w:rPr>
            </w:pPr>
          </w:p>
        </w:tc>
        <w:tc>
          <w:tcPr>
            <w:tcW w:w="1440" w:type="dxa"/>
            <w:vAlign w:val="bottom"/>
            <w:tcBorders>
              <w:right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4360" w:type="dxa"/>
            <w:vAlign w:val="bottom"/>
            <w:gridSpan w:val="36"/>
          </w:tcPr>
          <w:p>
            <w:pPr>
              <w:spacing w:after="0" w:line="169" w:lineRule="exact"/>
              <w:rPr>
                <w:rFonts w:ascii="Arial" w:cs="Arial" w:eastAsia="Arial" w:hAnsi="Arial"/>
                <w:sz w:val="16"/>
                <w:szCs w:val="16"/>
                <w:color w:val="0000EE"/>
              </w:rPr>
            </w:pPr>
            <w:hyperlink w:anchor="page80">
              <w:r>
                <w:rPr>
                  <w:rFonts w:ascii="Arial" w:cs="Arial" w:eastAsia="Arial" w:hAnsi="Arial"/>
                  <w:sz w:val="16"/>
                  <w:szCs w:val="16"/>
                  <w:color w:val="0000EE"/>
                </w:rPr>
                <w:t>Miscellaneous</w:t>
              </w:r>
            </w:hyperlink>
          </w:p>
        </w:tc>
        <w:tc>
          <w:tcPr>
            <w:tcW w:w="980" w:type="dxa"/>
            <w:vAlign w:val="bottom"/>
          </w:tcPr>
          <w:p>
            <w:pPr>
              <w:jc w:val="right"/>
              <w:ind w:right="2"/>
              <w:spacing w:after="0" w:line="169" w:lineRule="exact"/>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
        </w:trPr>
        <w:tc>
          <w:tcPr>
            <w:tcW w:w="1080" w:type="dxa"/>
            <w:vAlign w:val="bottom"/>
            <w:gridSpan w:val="2"/>
            <w:vMerge w:val="continue"/>
            <w:shd w:val="clear" w:color="auto" w:fill="E8F0F8"/>
          </w:tcPr>
          <w:p>
            <w:pPr>
              <w:spacing w:after="0" w:line="20" w:lineRule="exact"/>
              <w:rPr>
                <w:sz w:val="1"/>
                <w:szCs w:val="1"/>
                <w:color w:val="auto"/>
              </w:rPr>
            </w:pPr>
          </w:p>
        </w:tc>
        <w:tc>
          <w:tcPr>
            <w:tcW w:w="60" w:type="dxa"/>
            <w:vAlign w:val="bottom"/>
            <w:shd w:val="clear" w:color="auto" w:fill="E8F0F8"/>
          </w:tcPr>
          <w:p>
            <w:pPr>
              <w:spacing w:after="0" w:line="20" w:lineRule="exact"/>
              <w:rPr>
                <w:sz w:val="1"/>
                <w:szCs w:val="1"/>
                <w:color w:val="auto"/>
              </w:rPr>
            </w:pPr>
          </w:p>
        </w:tc>
        <w:tc>
          <w:tcPr>
            <w:tcW w:w="2780" w:type="dxa"/>
            <w:vAlign w:val="bottom"/>
            <w:shd w:val="clear" w:color="auto" w:fill="E8F0F8"/>
          </w:tcPr>
          <w:p>
            <w:pPr>
              <w:spacing w:after="0" w:line="20" w:lineRule="exact"/>
              <w:rPr>
                <w:sz w:val="1"/>
                <w:szCs w:val="1"/>
                <w:color w:val="auto"/>
              </w:rPr>
            </w:pPr>
          </w:p>
        </w:tc>
        <w:tc>
          <w:tcPr>
            <w:tcW w:w="1440" w:type="dxa"/>
            <w:vAlign w:val="bottom"/>
            <w:tcBorders>
              <w:right w:val="single" w:sz="8" w:color="E8F0F8"/>
            </w:tcBorders>
            <w:shd w:val="clear" w:color="auto" w:fill="E8F0F8"/>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540" w:type="dxa"/>
            <w:vAlign w:val="bottom"/>
            <w:gridSpan w:val="1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tcBorders>
              <w:bottom w:val="single" w:sz="8" w:color="E8F0F8"/>
            </w:tcBorders>
            <w:gridSpan w:val="2"/>
            <w:vMerge w:val="continue"/>
            <w:shd w:val="clear" w:color="auto" w:fill="E8F0F8"/>
          </w:tcPr>
          <w:p>
            <w:pPr>
              <w:spacing w:after="0"/>
              <w:rPr>
                <w:sz w:val="14"/>
                <w:szCs w:val="14"/>
                <w:color w:val="auto"/>
              </w:rPr>
            </w:pPr>
          </w:p>
        </w:tc>
        <w:tc>
          <w:tcPr>
            <w:tcW w:w="60" w:type="dxa"/>
            <w:vAlign w:val="bottom"/>
            <w:tcBorders>
              <w:bottom w:val="single" w:sz="8" w:color="E8F0F8"/>
            </w:tcBorders>
            <w:shd w:val="clear" w:color="auto" w:fill="E8F0F8"/>
          </w:tcPr>
          <w:p>
            <w:pPr>
              <w:spacing w:after="0"/>
              <w:rPr>
                <w:sz w:val="14"/>
                <w:szCs w:val="14"/>
                <w:color w:val="auto"/>
              </w:rPr>
            </w:pPr>
          </w:p>
        </w:tc>
        <w:tc>
          <w:tcPr>
            <w:tcW w:w="2780" w:type="dxa"/>
            <w:vAlign w:val="bottom"/>
            <w:tcBorders>
              <w:bottom w:val="single" w:sz="8" w:color="E8F0F8"/>
            </w:tcBorders>
            <w:shd w:val="clear" w:color="auto" w:fill="E8F0F8"/>
          </w:tcPr>
          <w:p>
            <w:pPr>
              <w:spacing w:after="0"/>
              <w:rPr>
                <w:sz w:val="14"/>
                <w:szCs w:val="14"/>
                <w:color w:val="auto"/>
              </w:rPr>
            </w:pPr>
          </w:p>
        </w:tc>
        <w:tc>
          <w:tcPr>
            <w:tcW w:w="1440" w:type="dxa"/>
            <w:vAlign w:val="bottom"/>
            <w:tcBorders>
              <w:bottom w:val="single" w:sz="8" w:color="E8F0F8"/>
              <w:right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Borders>
              <w:bottom w:val="single" w:sz="8" w:color="0000EE"/>
            </w:tcBorders>
            <w:gridSpan w:val="9"/>
          </w:tcPr>
          <w:p>
            <w:pPr>
              <w:spacing w:after="0" w:line="169" w:lineRule="exact"/>
              <w:rPr>
                <w:rFonts w:ascii="Arial" w:cs="Arial" w:eastAsia="Arial" w:hAnsi="Arial"/>
                <w:sz w:val="16"/>
                <w:szCs w:val="16"/>
                <w:color w:val="0000EE"/>
                <w:w w:val="97"/>
              </w:rPr>
            </w:pPr>
            <w:hyperlink w:anchor="page80">
              <w:r>
                <w:rPr>
                  <w:rFonts w:ascii="Arial" w:cs="Arial" w:eastAsia="Arial" w:hAnsi="Arial"/>
                  <w:sz w:val="16"/>
                  <w:szCs w:val="16"/>
                  <w:color w:val="0000EE"/>
                  <w:w w:val="97"/>
                </w:rPr>
                <w:t>Stockholder Proposals</w:t>
              </w:r>
            </w:hyperlink>
          </w:p>
        </w:tc>
        <w:tc>
          <w:tcPr>
            <w:tcW w:w="2620" w:type="dxa"/>
            <w:vAlign w:val="bottom"/>
            <w:gridSpan w:val="26"/>
          </w:tcPr>
          <w:p>
            <w:pPr>
              <w:spacing w:after="0"/>
              <w:rPr>
                <w:sz w:val="14"/>
                <w:szCs w:val="14"/>
                <w:color w:val="auto"/>
              </w:rPr>
            </w:pPr>
          </w:p>
        </w:tc>
        <w:tc>
          <w:tcPr>
            <w:tcW w:w="980" w:type="dxa"/>
            <w:vAlign w:val="bottom"/>
          </w:tcPr>
          <w:p>
            <w:pPr>
              <w:jc w:val="right"/>
              <w:ind w:right="2"/>
              <w:spacing w:after="0" w:line="169" w:lineRule="exact"/>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69"/>
        </w:trPr>
        <w:tc>
          <w:tcPr>
            <w:tcW w:w="1080" w:type="dxa"/>
            <w:vAlign w:val="bottom"/>
            <w:tcBorders>
              <w:bottom w:val="single" w:sz="8" w:color="E8F0F8"/>
            </w:tcBorders>
            <w:gridSpan w:val="2"/>
            <w:vMerge w:val="continue"/>
            <w:shd w:val="clear" w:color="auto" w:fill="E8F0F8"/>
          </w:tcPr>
          <w:p>
            <w:pPr>
              <w:spacing w:after="0"/>
              <w:rPr>
                <w:sz w:val="14"/>
                <w:szCs w:val="14"/>
                <w:color w:val="auto"/>
              </w:rPr>
            </w:pPr>
          </w:p>
        </w:tc>
        <w:tc>
          <w:tcPr>
            <w:tcW w:w="60" w:type="dxa"/>
            <w:vAlign w:val="bottom"/>
            <w:tcBorders>
              <w:bottom w:val="single" w:sz="8" w:color="E8F0F8"/>
            </w:tcBorders>
            <w:shd w:val="clear" w:color="auto" w:fill="E8F0F8"/>
          </w:tcPr>
          <w:p>
            <w:pPr>
              <w:spacing w:after="0"/>
              <w:rPr>
                <w:sz w:val="14"/>
                <w:szCs w:val="14"/>
                <w:color w:val="auto"/>
              </w:rPr>
            </w:pPr>
          </w:p>
        </w:tc>
        <w:tc>
          <w:tcPr>
            <w:tcW w:w="2780" w:type="dxa"/>
            <w:vAlign w:val="bottom"/>
            <w:tcBorders>
              <w:bottom w:val="single" w:sz="8" w:color="E8F0F8"/>
            </w:tcBorders>
            <w:shd w:val="clear" w:color="auto" w:fill="E8F0F8"/>
          </w:tcPr>
          <w:p>
            <w:pPr>
              <w:spacing w:after="0"/>
              <w:rPr>
                <w:sz w:val="14"/>
                <w:szCs w:val="14"/>
                <w:color w:val="auto"/>
              </w:rPr>
            </w:pPr>
          </w:p>
        </w:tc>
        <w:tc>
          <w:tcPr>
            <w:tcW w:w="1440" w:type="dxa"/>
            <w:vAlign w:val="bottom"/>
            <w:tcBorders>
              <w:bottom w:val="single" w:sz="8" w:color="E8F0F8"/>
              <w:right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tcBorders>
              <w:bottom w:val="single" w:sz="8" w:color="0000EE"/>
            </w:tcBorders>
            <w:gridSpan w:val="19"/>
          </w:tcPr>
          <w:p>
            <w:pPr>
              <w:spacing w:after="0" w:line="169" w:lineRule="exact"/>
              <w:rPr>
                <w:rFonts w:ascii="Arial" w:cs="Arial" w:eastAsia="Arial" w:hAnsi="Arial"/>
                <w:sz w:val="16"/>
                <w:szCs w:val="16"/>
                <w:color w:val="0000EE"/>
                <w:w w:val="98"/>
              </w:rPr>
            </w:pPr>
            <w:hyperlink w:anchor="page80">
              <w:r>
                <w:rPr>
                  <w:rFonts w:ascii="Arial" w:cs="Arial" w:eastAsia="Arial" w:hAnsi="Arial"/>
                  <w:sz w:val="16"/>
                  <w:szCs w:val="16"/>
                  <w:color w:val="0000EE"/>
                  <w:w w:val="98"/>
                </w:rPr>
                <w:t>Other Stockholder Communications</w:t>
              </w:r>
            </w:hyperlink>
          </w:p>
        </w:tc>
        <w:tc>
          <w:tcPr>
            <w:tcW w:w="1680" w:type="dxa"/>
            <w:vAlign w:val="bottom"/>
            <w:gridSpan w:val="16"/>
          </w:tcPr>
          <w:p>
            <w:pPr>
              <w:spacing w:after="0"/>
              <w:rPr>
                <w:sz w:val="14"/>
                <w:szCs w:val="14"/>
                <w:color w:val="auto"/>
              </w:rPr>
            </w:pPr>
          </w:p>
        </w:tc>
        <w:tc>
          <w:tcPr>
            <w:tcW w:w="980" w:type="dxa"/>
            <w:vAlign w:val="bottom"/>
          </w:tcPr>
          <w:p>
            <w:pPr>
              <w:jc w:val="right"/>
              <w:ind w:right="2"/>
              <w:spacing w:after="0" w:line="169" w:lineRule="exact"/>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69"/>
        </w:trPr>
        <w:tc>
          <w:tcPr>
            <w:tcW w:w="1080" w:type="dxa"/>
            <w:vAlign w:val="bottom"/>
            <w:tcBorders>
              <w:bottom w:val="single" w:sz="8" w:color="E8F0F8"/>
            </w:tcBorders>
            <w:gridSpan w:val="2"/>
            <w:vMerge w:val="continue"/>
            <w:shd w:val="clear" w:color="auto" w:fill="E8F0F8"/>
          </w:tcPr>
          <w:p>
            <w:pPr>
              <w:spacing w:after="0"/>
              <w:rPr>
                <w:sz w:val="14"/>
                <w:szCs w:val="14"/>
                <w:color w:val="auto"/>
              </w:rPr>
            </w:pPr>
          </w:p>
        </w:tc>
        <w:tc>
          <w:tcPr>
            <w:tcW w:w="60" w:type="dxa"/>
            <w:vAlign w:val="bottom"/>
            <w:tcBorders>
              <w:bottom w:val="single" w:sz="8" w:color="E8F0F8"/>
            </w:tcBorders>
            <w:shd w:val="clear" w:color="auto" w:fill="E8F0F8"/>
          </w:tcPr>
          <w:p>
            <w:pPr>
              <w:spacing w:after="0"/>
              <w:rPr>
                <w:sz w:val="14"/>
                <w:szCs w:val="14"/>
                <w:color w:val="auto"/>
              </w:rPr>
            </w:pPr>
          </w:p>
        </w:tc>
        <w:tc>
          <w:tcPr>
            <w:tcW w:w="2780" w:type="dxa"/>
            <w:vAlign w:val="bottom"/>
            <w:tcBorders>
              <w:bottom w:val="single" w:sz="8" w:color="E8F0F8"/>
            </w:tcBorders>
            <w:shd w:val="clear" w:color="auto" w:fill="E8F0F8"/>
          </w:tcPr>
          <w:p>
            <w:pPr>
              <w:spacing w:after="0"/>
              <w:rPr>
                <w:sz w:val="14"/>
                <w:szCs w:val="14"/>
                <w:color w:val="auto"/>
              </w:rPr>
            </w:pPr>
          </w:p>
        </w:tc>
        <w:tc>
          <w:tcPr>
            <w:tcW w:w="1440" w:type="dxa"/>
            <w:vAlign w:val="bottom"/>
            <w:tcBorders>
              <w:bottom w:val="single" w:sz="8" w:color="E8F0F8"/>
              <w:right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Borders>
              <w:bottom w:val="single" w:sz="8" w:color="0000EE"/>
            </w:tcBorders>
            <w:gridSpan w:val="12"/>
          </w:tcPr>
          <w:p>
            <w:pPr>
              <w:spacing w:after="0" w:line="169" w:lineRule="exact"/>
              <w:rPr>
                <w:rFonts w:ascii="Arial" w:cs="Arial" w:eastAsia="Arial" w:hAnsi="Arial"/>
                <w:sz w:val="16"/>
                <w:szCs w:val="16"/>
                <w:color w:val="0000EE"/>
                <w:w w:val="98"/>
              </w:rPr>
            </w:pPr>
            <w:hyperlink w:anchor="page80">
              <w:r>
                <w:rPr>
                  <w:rFonts w:ascii="Arial" w:cs="Arial" w:eastAsia="Arial" w:hAnsi="Arial"/>
                  <w:sz w:val="16"/>
                  <w:szCs w:val="16"/>
                  <w:color w:val="0000EE"/>
                  <w:w w:val="98"/>
                </w:rPr>
                <w:t>Incorporation by Reference</w:t>
              </w:r>
            </w:hyperlink>
          </w:p>
        </w:tc>
        <w:tc>
          <w:tcPr>
            <w:tcW w:w="2280" w:type="dxa"/>
            <w:vAlign w:val="bottom"/>
            <w:gridSpan w:val="23"/>
          </w:tcPr>
          <w:p>
            <w:pPr>
              <w:spacing w:after="0"/>
              <w:rPr>
                <w:sz w:val="14"/>
                <w:szCs w:val="14"/>
                <w:color w:val="auto"/>
              </w:rPr>
            </w:pPr>
          </w:p>
        </w:tc>
        <w:tc>
          <w:tcPr>
            <w:tcW w:w="980" w:type="dxa"/>
            <w:vAlign w:val="bottom"/>
          </w:tcPr>
          <w:p>
            <w:pPr>
              <w:jc w:val="right"/>
              <w:ind w:right="2"/>
              <w:spacing w:after="0" w:line="169" w:lineRule="exact"/>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69"/>
        </w:trPr>
        <w:tc>
          <w:tcPr>
            <w:tcW w:w="120" w:type="dxa"/>
            <w:vAlign w:val="bottom"/>
            <w:tcBorders>
              <w:bottom w:val="single" w:sz="8" w:color="E8F0F8"/>
            </w:tcBorders>
            <w:shd w:val="clear" w:color="auto" w:fill="E8F0F8"/>
          </w:tcPr>
          <w:p>
            <w:pPr>
              <w:spacing w:after="0"/>
              <w:rPr>
                <w:sz w:val="14"/>
                <w:szCs w:val="14"/>
                <w:color w:val="auto"/>
              </w:rPr>
            </w:pPr>
          </w:p>
        </w:tc>
        <w:tc>
          <w:tcPr>
            <w:tcW w:w="960" w:type="dxa"/>
            <w:vAlign w:val="bottom"/>
            <w:tcBorders>
              <w:bottom w:val="single" w:sz="8" w:color="E8F0F8"/>
            </w:tcBorders>
            <w:shd w:val="clear" w:color="auto" w:fill="E8F0F8"/>
          </w:tcPr>
          <w:p>
            <w:pPr>
              <w:spacing w:after="0"/>
              <w:rPr>
                <w:sz w:val="14"/>
                <w:szCs w:val="14"/>
                <w:color w:val="auto"/>
              </w:rPr>
            </w:pPr>
          </w:p>
        </w:tc>
        <w:tc>
          <w:tcPr>
            <w:tcW w:w="60" w:type="dxa"/>
            <w:vAlign w:val="bottom"/>
            <w:tcBorders>
              <w:bottom w:val="single" w:sz="8" w:color="E8F0F8"/>
            </w:tcBorders>
            <w:shd w:val="clear" w:color="auto" w:fill="E8F0F8"/>
          </w:tcPr>
          <w:p>
            <w:pPr>
              <w:spacing w:after="0"/>
              <w:rPr>
                <w:sz w:val="14"/>
                <w:szCs w:val="14"/>
                <w:color w:val="auto"/>
              </w:rPr>
            </w:pPr>
          </w:p>
        </w:tc>
        <w:tc>
          <w:tcPr>
            <w:tcW w:w="2780" w:type="dxa"/>
            <w:vAlign w:val="bottom"/>
            <w:tcBorders>
              <w:bottom w:val="single" w:sz="8" w:color="E8F0F8"/>
            </w:tcBorders>
            <w:shd w:val="clear" w:color="auto" w:fill="E8F0F8"/>
          </w:tcPr>
          <w:p>
            <w:pPr>
              <w:spacing w:after="0"/>
              <w:rPr>
                <w:sz w:val="14"/>
                <w:szCs w:val="14"/>
                <w:color w:val="auto"/>
              </w:rPr>
            </w:pPr>
          </w:p>
        </w:tc>
        <w:tc>
          <w:tcPr>
            <w:tcW w:w="1440" w:type="dxa"/>
            <w:vAlign w:val="bottom"/>
            <w:tcBorders>
              <w:bottom w:val="single" w:sz="8" w:color="E8F0F8"/>
              <w:right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tcBorders>
              <w:bottom w:val="single" w:sz="8" w:color="0000EE"/>
            </w:tcBorders>
            <w:gridSpan w:val="19"/>
          </w:tcPr>
          <w:p>
            <w:pPr>
              <w:spacing w:after="0" w:line="169" w:lineRule="exact"/>
              <w:rPr>
                <w:rFonts w:ascii="Arial" w:cs="Arial" w:eastAsia="Arial" w:hAnsi="Arial"/>
                <w:sz w:val="16"/>
                <w:szCs w:val="16"/>
                <w:color w:val="0000EE"/>
                <w:w w:val="98"/>
              </w:rPr>
            </w:pPr>
            <w:hyperlink w:anchor="page80">
              <w:r>
                <w:rPr>
                  <w:rFonts w:ascii="Arial" w:cs="Arial" w:eastAsia="Arial" w:hAnsi="Arial"/>
                  <w:sz w:val="16"/>
                  <w:szCs w:val="16"/>
                  <w:color w:val="0000EE"/>
                  <w:w w:val="98"/>
                </w:rPr>
                <w:t>Copies of Annual Meeting Materials</w:t>
              </w:r>
            </w:hyperlink>
          </w:p>
        </w:tc>
        <w:tc>
          <w:tcPr>
            <w:tcW w:w="1680" w:type="dxa"/>
            <w:vAlign w:val="bottom"/>
            <w:gridSpan w:val="16"/>
          </w:tcPr>
          <w:p>
            <w:pPr>
              <w:spacing w:after="0"/>
              <w:rPr>
                <w:sz w:val="14"/>
                <w:szCs w:val="14"/>
                <w:color w:val="auto"/>
              </w:rPr>
            </w:pPr>
          </w:p>
        </w:tc>
        <w:tc>
          <w:tcPr>
            <w:tcW w:w="980" w:type="dxa"/>
            <w:vAlign w:val="bottom"/>
          </w:tcPr>
          <w:p>
            <w:pPr>
              <w:jc w:val="right"/>
              <w:ind w:right="2"/>
              <w:spacing w:after="0" w:line="169" w:lineRule="exact"/>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69"/>
        </w:trPr>
        <w:tc>
          <w:tcPr>
            <w:tcW w:w="120" w:type="dxa"/>
            <w:vAlign w:val="bottom"/>
            <w:shd w:val="clear" w:color="auto" w:fill="E8F0F8"/>
          </w:tcPr>
          <w:p>
            <w:pPr>
              <w:spacing w:after="0"/>
              <w:rPr>
                <w:sz w:val="14"/>
                <w:szCs w:val="14"/>
                <w:color w:val="auto"/>
              </w:rPr>
            </w:pPr>
          </w:p>
        </w:tc>
        <w:tc>
          <w:tcPr>
            <w:tcW w:w="960" w:type="dxa"/>
            <w:vAlign w:val="bottom"/>
            <w:shd w:val="clear" w:color="auto" w:fill="E8F0F8"/>
          </w:tcPr>
          <w:p>
            <w:pPr>
              <w:spacing w:after="0"/>
              <w:rPr>
                <w:sz w:val="14"/>
                <w:szCs w:val="14"/>
                <w:color w:val="auto"/>
              </w:rPr>
            </w:pPr>
          </w:p>
        </w:tc>
        <w:tc>
          <w:tcPr>
            <w:tcW w:w="60" w:type="dxa"/>
            <w:vAlign w:val="bottom"/>
            <w:shd w:val="clear" w:color="auto" w:fill="E8F0F8"/>
          </w:tcPr>
          <w:p>
            <w:pPr>
              <w:spacing w:after="0"/>
              <w:rPr>
                <w:sz w:val="14"/>
                <w:szCs w:val="14"/>
                <w:color w:val="auto"/>
              </w:rPr>
            </w:pPr>
          </w:p>
        </w:tc>
        <w:tc>
          <w:tcPr>
            <w:tcW w:w="2780" w:type="dxa"/>
            <w:vAlign w:val="bottom"/>
            <w:shd w:val="clear" w:color="auto" w:fill="E8F0F8"/>
          </w:tcPr>
          <w:p>
            <w:pPr>
              <w:spacing w:after="0"/>
              <w:rPr>
                <w:sz w:val="14"/>
                <w:szCs w:val="14"/>
                <w:color w:val="auto"/>
              </w:rPr>
            </w:pPr>
          </w:p>
        </w:tc>
        <w:tc>
          <w:tcPr>
            <w:tcW w:w="1440" w:type="dxa"/>
            <w:vAlign w:val="bottom"/>
            <w:tcBorders>
              <w:right w:val="single" w:sz="8" w:color="E8F0F8"/>
            </w:tcBorders>
            <w:shd w:val="clear" w:color="auto" w:fill="E8F0F8"/>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0" w:type="dxa"/>
            <w:vAlign w:val="bottom"/>
            <w:gridSpan w:val="35"/>
          </w:tcPr>
          <w:p>
            <w:pPr>
              <w:spacing w:after="0" w:line="169" w:lineRule="exact"/>
              <w:rPr>
                <w:rFonts w:ascii="Arial" w:cs="Arial" w:eastAsia="Arial" w:hAnsi="Arial"/>
                <w:sz w:val="16"/>
                <w:szCs w:val="16"/>
                <w:color w:val="0000EE"/>
              </w:rPr>
            </w:pPr>
            <w:hyperlink w:anchor="page80">
              <w:r>
                <w:rPr>
                  <w:rFonts w:ascii="Arial" w:cs="Arial" w:eastAsia="Arial" w:hAnsi="Arial"/>
                  <w:sz w:val="16"/>
                  <w:szCs w:val="16"/>
                  <w:color w:val="0000EE"/>
                </w:rPr>
                <w:t>Manner and Cost of Proxy Solicitation</w:t>
              </w:r>
            </w:hyperlink>
          </w:p>
        </w:tc>
        <w:tc>
          <w:tcPr>
            <w:tcW w:w="980" w:type="dxa"/>
            <w:vAlign w:val="bottom"/>
          </w:tcPr>
          <w:p>
            <w:pPr>
              <w:jc w:val="right"/>
              <w:ind w:right="2"/>
              <w:spacing w:after="0" w:line="169" w:lineRule="exact"/>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02"/>
        </w:trPr>
        <w:tc>
          <w:tcPr>
            <w:tcW w:w="120" w:type="dxa"/>
            <w:vAlign w:val="bottom"/>
            <w:tcBorders>
              <w:top w:val="single" w:sz="8" w:color="E8F0F8"/>
              <w:bottom w:val="single" w:sz="8" w:color="auto"/>
            </w:tcBorders>
            <w:shd w:val="clear" w:color="auto" w:fill="E8F0F8"/>
          </w:tcPr>
          <w:p>
            <w:pPr>
              <w:spacing w:after="0"/>
              <w:rPr>
                <w:sz w:val="8"/>
                <w:szCs w:val="8"/>
                <w:color w:val="auto"/>
              </w:rPr>
            </w:pPr>
          </w:p>
        </w:tc>
        <w:tc>
          <w:tcPr>
            <w:tcW w:w="960" w:type="dxa"/>
            <w:vAlign w:val="bottom"/>
            <w:tcBorders>
              <w:top w:val="single" w:sz="8" w:color="E8F0F8"/>
              <w:bottom w:val="single" w:sz="8" w:color="auto"/>
            </w:tcBorders>
            <w:shd w:val="clear" w:color="auto" w:fill="E8F0F8"/>
          </w:tcPr>
          <w:p>
            <w:pPr>
              <w:spacing w:after="0"/>
              <w:rPr>
                <w:sz w:val="8"/>
                <w:szCs w:val="8"/>
                <w:color w:val="auto"/>
              </w:rPr>
            </w:pPr>
          </w:p>
        </w:tc>
        <w:tc>
          <w:tcPr>
            <w:tcW w:w="60" w:type="dxa"/>
            <w:vAlign w:val="bottom"/>
            <w:tcBorders>
              <w:top w:val="single" w:sz="8" w:color="E8F0F8"/>
              <w:bottom w:val="single" w:sz="8" w:color="auto"/>
            </w:tcBorders>
            <w:shd w:val="clear" w:color="auto" w:fill="E8F0F8"/>
          </w:tcPr>
          <w:p>
            <w:pPr>
              <w:spacing w:after="0"/>
              <w:rPr>
                <w:sz w:val="8"/>
                <w:szCs w:val="8"/>
                <w:color w:val="auto"/>
              </w:rPr>
            </w:pPr>
          </w:p>
        </w:tc>
        <w:tc>
          <w:tcPr>
            <w:tcW w:w="2780" w:type="dxa"/>
            <w:vAlign w:val="bottom"/>
            <w:tcBorders>
              <w:top w:val="single" w:sz="8" w:color="E8F0F8"/>
              <w:bottom w:val="single" w:sz="8" w:color="auto"/>
            </w:tcBorders>
            <w:shd w:val="clear" w:color="auto" w:fill="E8F0F8"/>
          </w:tcPr>
          <w:p>
            <w:pPr>
              <w:spacing w:after="0"/>
              <w:rPr>
                <w:sz w:val="8"/>
                <w:szCs w:val="8"/>
                <w:color w:val="auto"/>
              </w:rPr>
            </w:pPr>
          </w:p>
        </w:tc>
        <w:tc>
          <w:tcPr>
            <w:tcW w:w="1440" w:type="dxa"/>
            <w:vAlign w:val="bottom"/>
            <w:tcBorders>
              <w:top w:val="single" w:sz="8" w:color="E8F0F8"/>
              <w:bottom w:val="single" w:sz="8" w:color="auto"/>
              <w:right w:val="single" w:sz="8" w:color="E8F0F8"/>
            </w:tcBorders>
            <w:shd w:val="clear" w:color="auto" w:fill="E8F0F8"/>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20" w:type="dxa"/>
            <w:vAlign w:val="bottom"/>
            <w:tcBorders>
              <w:top w:val="single" w:sz="8" w:color="0000EE"/>
              <w:bottom w:val="single" w:sz="8" w:color="auto"/>
            </w:tcBorders>
          </w:tcPr>
          <w:p>
            <w:pPr>
              <w:spacing w:after="0"/>
              <w:rPr>
                <w:sz w:val="8"/>
                <w:szCs w:val="8"/>
                <w:color w:val="auto"/>
              </w:rPr>
            </w:pPr>
          </w:p>
        </w:tc>
        <w:tc>
          <w:tcPr>
            <w:tcW w:w="180" w:type="dxa"/>
            <w:vAlign w:val="bottom"/>
            <w:tcBorders>
              <w:top w:val="single" w:sz="8" w:color="0000EE"/>
              <w:bottom w:val="single" w:sz="8" w:color="auto"/>
            </w:tcBorders>
          </w:tcPr>
          <w:p>
            <w:pPr>
              <w:spacing w:after="0"/>
              <w:rPr>
                <w:sz w:val="8"/>
                <w:szCs w:val="8"/>
                <w:color w:val="auto"/>
              </w:rPr>
            </w:pPr>
          </w:p>
        </w:tc>
        <w:tc>
          <w:tcPr>
            <w:tcW w:w="20" w:type="dxa"/>
            <w:vAlign w:val="bottom"/>
            <w:tcBorders>
              <w:top w:val="single" w:sz="8" w:color="0000EE"/>
              <w:bottom w:val="single" w:sz="8" w:color="auto"/>
            </w:tcBorders>
          </w:tcPr>
          <w:p>
            <w:pPr>
              <w:spacing w:after="0"/>
              <w:rPr>
                <w:sz w:val="8"/>
                <w:szCs w:val="8"/>
                <w:color w:val="auto"/>
              </w:rPr>
            </w:pPr>
          </w:p>
        </w:tc>
        <w:tc>
          <w:tcPr>
            <w:tcW w:w="40" w:type="dxa"/>
            <w:vAlign w:val="bottom"/>
            <w:tcBorders>
              <w:top w:val="single" w:sz="8" w:color="0000EE"/>
              <w:bottom w:val="single" w:sz="8" w:color="auto"/>
            </w:tcBorders>
          </w:tcPr>
          <w:p>
            <w:pPr>
              <w:spacing w:after="0"/>
              <w:rPr>
                <w:sz w:val="8"/>
                <w:szCs w:val="8"/>
                <w:color w:val="auto"/>
              </w:rPr>
            </w:pPr>
          </w:p>
        </w:tc>
        <w:tc>
          <w:tcPr>
            <w:tcW w:w="160" w:type="dxa"/>
            <w:vAlign w:val="bottom"/>
            <w:tcBorders>
              <w:top w:val="single" w:sz="8" w:color="0000EE"/>
              <w:bottom w:val="single" w:sz="8" w:color="auto"/>
            </w:tcBorders>
          </w:tcPr>
          <w:p>
            <w:pPr>
              <w:spacing w:after="0"/>
              <w:rPr>
                <w:sz w:val="8"/>
                <w:szCs w:val="8"/>
                <w:color w:val="auto"/>
              </w:rPr>
            </w:pPr>
          </w:p>
        </w:tc>
        <w:tc>
          <w:tcPr>
            <w:tcW w:w="80" w:type="dxa"/>
            <w:vAlign w:val="bottom"/>
            <w:tcBorders>
              <w:top w:val="single" w:sz="8" w:color="0000EE"/>
              <w:bottom w:val="single" w:sz="8" w:color="auto"/>
            </w:tcBorders>
          </w:tcPr>
          <w:p>
            <w:pPr>
              <w:spacing w:after="0"/>
              <w:rPr>
                <w:sz w:val="8"/>
                <w:szCs w:val="8"/>
                <w:color w:val="auto"/>
              </w:rPr>
            </w:pPr>
          </w:p>
        </w:tc>
        <w:tc>
          <w:tcPr>
            <w:tcW w:w="100" w:type="dxa"/>
            <w:vAlign w:val="bottom"/>
            <w:tcBorders>
              <w:top w:val="single" w:sz="8" w:color="0000EE"/>
              <w:bottom w:val="single" w:sz="8" w:color="auto"/>
            </w:tcBorders>
          </w:tcPr>
          <w:p>
            <w:pPr>
              <w:spacing w:after="0"/>
              <w:rPr>
                <w:sz w:val="8"/>
                <w:szCs w:val="8"/>
                <w:color w:val="auto"/>
              </w:rPr>
            </w:pPr>
          </w:p>
        </w:tc>
        <w:tc>
          <w:tcPr>
            <w:tcW w:w="100" w:type="dxa"/>
            <w:vAlign w:val="bottom"/>
            <w:tcBorders>
              <w:top w:val="single" w:sz="8" w:color="0000EE"/>
              <w:bottom w:val="single" w:sz="8" w:color="auto"/>
            </w:tcBorders>
          </w:tcPr>
          <w:p>
            <w:pPr>
              <w:spacing w:after="0"/>
              <w:rPr>
                <w:sz w:val="8"/>
                <w:szCs w:val="8"/>
                <w:color w:val="auto"/>
              </w:rPr>
            </w:pPr>
          </w:p>
        </w:tc>
        <w:tc>
          <w:tcPr>
            <w:tcW w:w="80" w:type="dxa"/>
            <w:vAlign w:val="bottom"/>
            <w:tcBorders>
              <w:top w:val="single" w:sz="8" w:color="0000EE"/>
              <w:bottom w:val="single" w:sz="8" w:color="auto"/>
            </w:tcBorders>
          </w:tcPr>
          <w:p>
            <w:pPr>
              <w:spacing w:after="0"/>
              <w:rPr>
                <w:sz w:val="8"/>
                <w:szCs w:val="8"/>
                <w:color w:val="auto"/>
              </w:rPr>
            </w:pPr>
          </w:p>
        </w:tc>
        <w:tc>
          <w:tcPr>
            <w:tcW w:w="140" w:type="dxa"/>
            <w:vAlign w:val="bottom"/>
            <w:tcBorders>
              <w:top w:val="single" w:sz="8" w:color="0000EE"/>
              <w:bottom w:val="single" w:sz="8" w:color="auto"/>
            </w:tcBorders>
          </w:tcPr>
          <w:p>
            <w:pPr>
              <w:spacing w:after="0"/>
              <w:rPr>
                <w:sz w:val="8"/>
                <w:szCs w:val="8"/>
                <w:color w:val="auto"/>
              </w:rPr>
            </w:pPr>
          </w:p>
        </w:tc>
        <w:tc>
          <w:tcPr>
            <w:tcW w:w="140" w:type="dxa"/>
            <w:vAlign w:val="bottom"/>
            <w:tcBorders>
              <w:top w:val="single" w:sz="8" w:color="0000EE"/>
              <w:bottom w:val="single" w:sz="8" w:color="auto"/>
            </w:tcBorders>
          </w:tcPr>
          <w:p>
            <w:pPr>
              <w:spacing w:after="0"/>
              <w:rPr>
                <w:sz w:val="8"/>
                <w:szCs w:val="8"/>
                <w:color w:val="auto"/>
              </w:rPr>
            </w:pPr>
          </w:p>
        </w:tc>
        <w:tc>
          <w:tcPr>
            <w:tcW w:w="60" w:type="dxa"/>
            <w:vAlign w:val="bottom"/>
            <w:tcBorders>
              <w:top w:val="single" w:sz="8" w:color="0000EE"/>
              <w:bottom w:val="single" w:sz="8" w:color="auto"/>
            </w:tcBorders>
          </w:tcPr>
          <w:p>
            <w:pPr>
              <w:spacing w:after="0"/>
              <w:rPr>
                <w:sz w:val="8"/>
                <w:szCs w:val="8"/>
                <w:color w:val="auto"/>
              </w:rPr>
            </w:pPr>
          </w:p>
        </w:tc>
        <w:tc>
          <w:tcPr>
            <w:tcW w:w="80" w:type="dxa"/>
            <w:vAlign w:val="bottom"/>
            <w:tcBorders>
              <w:top w:val="single" w:sz="8" w:color="0000EE"/>
              <w:bottom w:val="single" w:sz="8" w:color="auto"/>
            </w:tcBorders>
          </w:tcPr>
          <w:p>
            <w:pPr>
              <w:spacing w:after="0"/>
              <w:rPr>
                <w:sz w:val="8"/>
                <w:szCs w:val="8"/>
                <w:color w:val="auto"/>
              </w:rPr>
            </w:pPr>
          </w:p>
        </w:tc>
        <w:tc>
          <w:tcPr>
            <w:tcW w:w="140" w:type="dxa"/>
            <w:vAlign w:val="bottom"/>
            <w:tcBorders>
              <w:top w:val="single" w:sz="8" w:color="0000EE"/>
              <w:bottom w:val="single" w:sz="8" w:color="auto"/>
            </w:tcBorders>
          </w:tcPr>
          <w:p>
            <w:pPr>
              <w:spacing w:after="0"/>
              <w:rPr>
                <w:sz w:val="8"/>
                <w:szCs w:val="8"/>
                <w:color w:val="auto"/>
              </w:rPr>
            </w:pPr>
          </w:p>
        </w:tc>
        <w:tc>
          <w:tcPr>
            <w:tcW w:w="40" w:type="dxa"/>
            <w:vAlign w:val="bottom"/>
            <w:tcBorders>
              <w:top w:val="single" w:sz="8" w:color="0000EE"/>
              <w:bottom w:val="single" w:sz="8" w:color="auto"/>
            </w:tcBorders>
          </w:tcPr>
          <w:p>
            <w:pPr>
              <w:spacing w:after="0"/>
              <w:rPr>
                <w:sz w:val="8"/>
                <w:szCs w:val="8"/>
                <w:color w:val="auto"/>
              </w:rPr>
            </w:pPr>
          </w:p>
        </w:tc>
        <w:tc>
          <w:tcPr>
            <w:tcW w:w="180" w:type="dxa"/>
            <w:vAlign w:val="bottom"/>
            <w:tcBorders>
              <w:top w:val="single" w:sz="8" w:color="0000EE"/>
              <w:bottom w:val="single" w:sz="8" w:color="auto"/>
            </w:tcBorders>
          </w:tcPr>
          <w:p>
            <w:pPr>
              <w:spacing w:after="0"/>
              <w:rPr>
                <w:sz w:val="8"/>
                <w:szCs w:val="8"/>
                <w:color w:val="auto"/>
              </w:rPr>
            </w:pPr>
          </w:p>
        </w:tc>
        <w:tc>
          <w:tcPr>
            <w:tcW w:w="40" w:type="dxa"/>
            <w:vAlign w:val="bottom"/>
            <w:tcBorders>
              <w:top w:val="single" w:sz="8" w:color="0000EE"/>
              <w:bottom w:val="single" w:sz="8" w:color="auto"/>
            </w:tcBorders>
          </w:tcPr>
          <w:p>
            <w:pPr>
              <w:spacing w:after="0"/>
              <w:rPr>
                <w:sz w:val="8"/>
                <w:szCs w:val="8"/>
                <w:color w:val="auto"/>
              </w:rPr>
            </w:pPr>
          </w:p>
        </w:tc>
        <w:tc>
          <w:tcPr>
            <w:tcW w:w="100" w:type="dxa"/>
            <w:vAlign w:val="bottom"/>
            <w:tcBorders>
              <w:top w:val="single" w:sz="8" w:color="0000EE"/>
              <w:bottom w:val="single" w:sz="8" w:color="auto"/>
            </w:tcBorders>
          </w:tcPr>
          <w:p>
            <w:pPr>
              <w:spacing w:after="0"/>
              <w:rPr>
                <w:sz w:val="8"/>
                <w:szCs w:val="8"/>
                <w:color w:val="auto"/>
              </w:rPr>
            </w:pPr>
          </w:p>
        </w:tc>
        <w:tc>
          <w:tcPr>
            <w:tcW w:w="20" w:type="dxa"/>
            <w:vAlign w:val="bottom"/>
            <w:tcBorders>
              <w:top w:val="single" w:sz="8" w:color="0000EE"/>
              <w:bottom w:val="single" w:sz="8" w:color="auto"/>
            </w:tcBorders>
          </w:tcPr>
          <w:p>
            <w:pPr>
              <w:spacing w:after="0"/>
              <w:rPr>
                <w:sz w:val="8"/>
                <w:szCs w:val="8"/>
                <w:color w:val="auto"/>
              </w:rPr>
            </w:pPr>
          </w:p>
        </w:tc>
        <w:tc>
          <w:tcPr>
            <w:tcW w:w="40" w:type="dxa"/>
            <w:vAlign w:val="bottom"/>
            <w:tcBorders>
              <w:top w:val="single" w:sz="8" w:color="0000EE"/>
              <w:bottom w:val="single" w:sz="8" w:color="auto"/>
            </w:tcBorders>
          </w:tcPr>
          <w:p>
            <w:pPr>
              <w:spacing w:after="0"/>
              <w:rPr>
                <w:sz w:val="8"/>
                <w:szCs w:val="8"/>
                <w:color w:val="auto"/>
              </w:rPr>
            </w:pPr>
          </w:p>
        </w:tc>
        <w:tc>
          <w:tcPr>
            <w:tcW w:w="80" w:type="dxa"/>
            <w:vAlign w:val="bottom"/>
            <w:tcBorders>
              <w:top w:val="single" w:sz="8" w:color="0000EE"/>
              <w:bottom w:val="single" w:sz="8" w:color="auto"/>
            </w:tcBorders>
          </w:tcPr>
          <w:p>
            <w:pPr>
              <w:spacing w:after="0"/>
              <w:rPr>
                <w:sz w:val="8"/>
                <w:szCs w:val="8"/>
                <w:color w:val="auto"/>
              </w:rPr>
            </w:pPr>
          </w:p>
        </w:tc>
        <w:tc>
          <w:tcPr>
            <w:tcW w:w="20" w:type="dxa"/>
            <w:vAlign w:val="bottom"/>
            <w:tcBorders>
              <w:top w:val="single" w:sz="8" w:color="0000EE"/>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5360" w:type="dxa"/>
            <w:vAlign w:val="bottom"/>
            <w:gridSpan w:val="5"/>
          </w:tcPr>
          <w:p>
            <w:pPr>
              <w:ind w:left="120"/>
              <w:spacing w:after="0" w:line="223" w:lineRule="exact"/>
              <w:rPr>
                <w:rFonts w:ascii="Arial" w:cs="Arial" w:eastAsia="Arial" w:hAnsi="Arial"/>
                <w:sz w:val="23"/>
                <w:szCs w:val="23"/>
                <w:color w:val="0000EE"/>
              </w:rPr>
            </w:pPr>
            <w:hyperlink w:anchor="page81">
              <w:r>
                <w:rPr>
                  <w:rFonts w:ascii="Arial" w:cs="Arial" w:eastAsia="Arial" w:hAnsi="Arial"/>
                  <w:sz w:val="23"/>
                  <w:szCs w:val="23"/>
                  <w:color w:val="0000EE"/>
                </w:rPr>
                <w:t>Appendix A — GAAP to Non-GAAP Reconciliation</w:t>
              </w:r>
            </w:hyperlink>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jc w:val="right"/>
              <w:ind w:right="2"/>
              <w:spacing w:after="0" w:line="223" w:lineRule="exact"/>
              <w:rPr>
                <w:sz w:val="20"/>
                <w:szCs w:val="20"/>
                <w:color w:val="auto"/>
              </w:rPr>
            </w:pPr>
            <w:r>
              <w:rPr>
                <w:rFonts w:ascii="Arial" w:cs="Arial" w:eastAsia="Arial" w:hAnsi="Arial"/>
                <w:sz w:val="23"/>
                <w:szCs w:val="23"/>
                <w:b w:val="1"/>
                <w:bCs w:val="1"/>
                <w:color w:val="1A6DBB"/>
              </w:rPr>
              <w:t>A-1</w:t>
            </w:r>
          </w:p>
        </w:tc>
        <w:tc>
          <w:tcPr>
            <w:tcW w:w="0" w:type="dxa"/>
            <w:vAlign w:val="bottom"/>
          </w:tcPr>
          <w:p>
            <w:pPr>
              <w:spacing w:after="0"/>
              <w:rPr>
                <w:sz w:val="1"/>
                <w:szCs w:val="1"/>
                <w:color w:val="auto"/>
              </w:rPr>
            </w:pPr>
          </w:p>
        </w:tc>
      </w:tr>
      <w:tr>
        <w:trPr>
          <w:trHeight w:val="34"/>
        </w:trPr>
        <w:tc>
          <w:tcPr>
            <w:tcW w:w="120" w:type="dxa"/>
            <w:vAlign w:val="bottom"/>
            <w:tcBorders>
              <w:bottom w:val="single" w:sz="8" w:color="1A6DBB"/>
            </w:tcBorders>
          </w:tcPr>
          <w:p>
            <w:pPr>
              <w:spacing w:after="0"/>
              <w:rPr>
                <w:sz w:val="2"/>
                <w:szCs w:val="2"/>
                <w:color w:val="auto"/>
              </w:rPr>
            </w:pPr>
          </w:p>
        </w:tc>
        <w:tc>
          <w:tcPr>
            <w:tcW w:w="960" w:type="dxa"/>
            <w:vAlign w:val="bottom"/>
            <w:tcBorders>
              <w:top w:val="single" w:sz="8" w:color="0000EE"/>
              <w:bottom w:val="single" w:sz="8" w:color="1A6DBB"/>
            </w:tcBorders>
          </w:tcPr>
          <w:p>
            <w:pPr>
              <w:spacing w:after="0"/>
              <w:rPr>
                <w:sz w:val="2"/>
                <w:szCs w:val="2"/>
                <w:color w:val="auto"/>
              </w:rPr>
            </w:pPr>
          </w:p>
        </w:tc>
        <w:tc>
          <w:tcPr>
            <w:tcW w:w="60" w:type="dxa"/>
            <w:vAlign w:val="bottom"/>
            <w:tcBorders>
              <w:top w:val="single" w:sz="8" w:color="0000EE"/>
              <w:bottom w:val="single" w:sz="8" w:color="1A6DBB"/>
            </w:tcBorders>
          </w:tcPr>
          <w:p>
            <w:pPr>
              <w:spacing w:after="0"/>
              <w:rPr>
                <w:sz w:val="2"/>
                <w:szCs w:val="2"/>
                <w:color w:val="auto"/>
              </w:rPr>
            </w:pPr>
          </w:p>
        </w:tc>
        <w:tc>
          <w:tcPr>
            <w:tcW w:w="2780" w:type="dxa"/>
            <w:vAlign w:val="bottom"/>
            <w:tcBorders>
              <w:top w:val="single" w:sz="8" w:color="0000EE"/>
              <w:bottom w:val="single" w:sz="8" w:color="1A6DBB"/>
            </w:tcBorders>
          </w:tcPr>
          <w:p>
            <w:pPr>
              <w:spacing w:after="0"/>
              <w:rPr>
                <w:sz w:val="2"/>
                <w:szCs w:val="2"/>
                <w:color w:val="auto"/>
              </w:rPr>
            </w:pPr>
          </w:p>
        </w:tc>
        <w:tc>
          <w:tcPr>
            <w:tcW w:w="1440" w:type="dxa"/>
            <w:vAlign w:val="bottom"/>
            <w:tcBorders>
              <w:top w:val="single" w:sz="8" w:color="0000EE"/>
              <w:bottom w:val="single" w:sz="8" w:color="1A6DBB"/>
            </w:tcBorders>
          </w:tcPr>
          <w:p>
            <w:pPr>
              <w:spacing w:after="0"/>
              <w:rPr>
                <w:sz w:val="2"/>
                <w:szCs w:val="2"/>
                <w:color w:val="auto"/>
              </w:rPr>
            </w:pPr>
          </w:p>
        </w:tc>
        <w:tc>
          <w:tcPr>
            <w:tcW w:w="320" w:type="dxa"/>
            <w:vAlign w:val="bottom"/>
            <w:tcBorders>
              <w:bottom w:val="single" w:sz="8" w:color="1A6DBB"/>
            </w:tcBorders>
          </w:tcPr>
          <w:p>
            <w:pPr>
              <w:spacing w:after="0"/>
              <w:rPr>
                <w:sz w:val="2"/>
                <w:szCs w:val="2"/>
                <w:color w:val="auto"/>
              </w:rPr>
            </w:pPr>
          </w:p>
        </w:tc>
        <w:tc>
          <w:tcPr>
            <w:tcW w:w="160" w:type="dxa"/>
            <w:vAlign w:val="bottom"/>
            <w:tcBorders>
              <w:bottom w:val="single" w:sz="8" w:color="1A6DBB"/>
            </w:tcBorders>
          </w:tcPr>
          <w:p>
            <w:pPr>
              <w:spacing w:after="0"/>
              <w:rPr>
                <w:sz w:val="2"/>
                <w:szCs w:val="2"/>
                <w:color w:val="auto"/>
              </w:rPr>
            </w:pPr>
          </w:p>
        </w:tc>
        <w:tc>
          <w:tcPr>
            <w:tcW w:w="820" w:type="dxa"/>
            <w:vAlign w:val="bottom"/>
            <w:tcBorders>
              <w:bottom w:val="single" w:sz="8" w:color="1A6DBB"/>
            </w:tcBorders>
          </w:tcPr>
          <w:p>
            <w:pPr>
              <w:spacing w:after="0"/>
              <w:rPr>
                <w:sz w:val="2"/>
                <w:szCs w:val="2"/>
                <w:color w:val="auto"/>
              </w:rPr>
            </w:pPr>
          </w:p>
        </w:tc>
        <w:tc>
          <w:tcPr>
            <w:tcW w:w="180" w:type="dxa"/>
            <w:vAlign w:val="bottom"/>
            <w:tcBorders>
              <w:bottom w:val="single" w:sz="8" w:color="1A6DBB"/>
            </w:tcBorders>
          </w:tcPr>
          <w:p>
            <w:pPr>
              <w:spacing w:after="0"/>
              <w:rPr>
                <w:sz w:val="2"/>
                <w:szCs w:val="2"/>
                <w:color w:val="auto"/>
              </w:rPr>
            </w:pPr>
          </w:p>
        </w:tc>
        <w:tc>
          <w:tcPr>
            <w:tcW w:w="20" w:type="dxa"/>
            <w:vAlign w:val="bottom"/>
            <w:tcBorders>
              <w:bottom w:val="single" w:sz="8" w:color="1A6DBB"/>
            </w:tcBorders>
          </w:tcPr>
          <w:p>
            <w:pPr>
              <w:spacing w:after="0"/>
              <w:rPr>
                <w:sz w:val="2"/>
                <w:szCs w:val="2"/>
                <w:color w:val="auto"/>
              </w:rPr>
            </w:pPr>
          </w:p>
        </w:tc>
        <w:tc>
          <w:tcPr>
            <w:tcW w:w="40" w:type="dxa"/>
            <w:vAlign w:val="bottom"/>
            <w:tcBorders>
              <w:bottom w:val="single" w:sz="8" w:color="1A6DBB"/>
            </w:tcBorders>
          </w:tcPr>
          <w:p>
            <w:pPr>
              <w:spacing w:after="0"/>
              <w:rPr>
                <w:sz w:val="2"/>
                <w:szCs w:val="2"/>
                <w:color w:val="auto"/>
              </w:rPr>
            </w:pPr>
          </w:p>
        </w:tc>
        <w:tc>
          <w:tcPr>
            <w:tcW w:w="160" w:type="dxa"/>
            <w:vAlign w:val="bottom"/>
            <w:tcBorders>
              <w:bottom w:val="single" w:sz="8" w:color="1A6DBB"/>
            </w:tcBorders>
          </w:tcPr>
          <w:p>
            <w:pPr>
              <w:spacing w:after="0"/>
              <w:rPr>
                <w:sz w:val="2"/>
                <w:szCs w:val="2"/>
                <w:color w:val="auto"/>
              </w:rPr>
            </w:pPr>
          </w:p>
        </w:tc>
        <w:tc>
          <w:tcPr>
            <w:tcW w:w="80" w:type="dxa"/>
            <w:vAlign w:val="bottom"/>
            <w:tcBorders>
              <w:bottom w:val="single" w:sz="8" w:color="1A6DBB"/>
            </w:tcBorders>
          </w:tcPr>
          <w:p>
            <w:pPr>
              <w:spacing w:after="0"/>
              <w:rPr>
                <w:sz w:val="2"/>
                <w:szCs w:val="2"/>
                <w:color w:val="auto"/>
              </w:rPr>
            </w:pPr>
          </w:p>
        </w:tc>
        <w:tc>
          <w:tcPr>
            <w:tcW w:w="100" w:type="dxa"/>
            <w:vAlign w:val="bottom"/>
            <w:tcBorders>
              <w:bottom w:val="single" w:sz="8" w:color="1A6DBB"/>
            </w:tcBorders>
          </w:tcPr>
          <w:p>
            <w:pPr>
              <w:spacing w:after="0"/>
              <w:rPr>
                <w:sz w:val="2"/>
                <w:szCs w:val="2"/>
                <w:color w:val="auto"/>
              </w:rPr>
            </w:pPr>
          </w:p>
        </w:tc>
        <w:tc>
          <w:tcPr>
            <w:tcW w:w="100" w:type="dxa"/>
            <w:vAlign w:val="bottom"/>
            <w:tcBorders>
              <w:bottom w:val="single" w:sz="8" w:color="1A6DBB"/>
            </w:tcBorders>
          </w:tcPr>
          <w:p>
            <w:pPr>
              <w:spacing w:after="0"/>
              <w:rPr>
                <w:sz w:val="2"/>
                <w:szCs w:val="2"/>
                <w:color w:val="auto"/>
              </w:rPr>
            </w:pPr>
          </w:p>
        </w:tc>
        <w:tc>
          <w:tcPr>
            <w:tcW w:w="80" w:type="dxa"/>
            <w:vAlign w:val="bottom"/>
            <w:tcBorders>
              <w:bottom w:val="single" w:sz="8" w:color="1A6DBB"/>
            </w:tcBorders>
          </w:tcPr>
          <w:p>
            <w:pPr>
              <w:spacing w:after="0"/>
              <w:rPr>
                <w:sz w:val="2"/>
                <w:szCs w:val="2"/>
                <w:color w:val="auto"/>
              </w:rPr>
            </w:pPr>
          </w:p>
        </w:tc>
        <w:tc>
          <w:tcPr>
            <w:tcW w:w="140" w:type="dxa"/>
            <w:vAlign w:val="bottom"/>
            <w:tcBorders>
              <w:bottom w:val="single" w:sz="8" w:color="1A6DBB"/>
            </w:tcBorders>
          </w:tcPr>
          <w:p>
            <w:pPr>
              <w:spacing w:after="0"/>
              <w:rPr>
                <w:sz w:val="2"/>
                <w:szCs w:val="2"/>
                <w:color w:val="auto"/>
              </w:rPr>
            </w:pPr>
          </w:p>
        </w:tc>
        <w:tc>
          <w:tcPr>
            <w:tcW w:w="140" w:type="dxa"/>
            <w:vAlign w:val="bottom"/>
            <w:tcBorders>
              <w:bottom w:val="single" w:sz="8" w:color="1A6DBB"/>
            </w:tcBorders>
          </w:tcPr>
          <w:p>
            <w:pPr>
              <w:spacing w:after="0"/>
              <w:rPr>
                <w:sz w:val="2"/>
                <w:szCs w:val="2"/>
                <w:color w:val="auto"/>
              </w:rPr>
            </w:pPr>
          </w:p>
        </w:tc>
        <w:tc>
          <w:tcPr>
            <w:tcW w:w="60" w:type="dxa"/>
            <w:vAlign w:val="bottom"/>
            <w:tcBorders>
              <w:bottom w:val="single" w:sz="8" w:color="1A6DBB"/>
            </w:tcBorders>
          </w:tcPr>
          <w:p>
            <w:pPr>
              <w:spacing w:after="0"/>
              <w:rPr>
                <w:sz w:val="2"/>
                <w:szCs w:val="2"/>
                <w:color w:val="auto"/>
              </w:rPr>
            </w:pPr>
          </w:p>
        </w:tc>
        <w:tc>
          <w:tcPr>
            <w:tcW w:w="80" w:type="dxa"/>
            <w:vAlign w:val="bottom"/>
            <w:tcBorders>
              <w:bottom w:val="single" w:sz="8" w:color="1A6DBB"/>
            </w:tcBorders>
          </w:tcPr>
          <w:p>
            <w:pPr>
              <w:spacing w:after="0"/>
              <w:rPr>
                <w:sz w:val="2"/>
                <w:szCs w:val="2"/>
                <w:color w:val="auto"/>
              </w:rPr>
            </w:pPr>
          </w:p>
        </w:tc>
        <w:tc>
          <w:tcPr>
            <w:tcW w:w="140" w:type="dxa"/>
            <w:vAlign w:val="bottom"/>
            <w:tcBorders>
              <w:bottom w:val="single" w:sz="8" w:color="1A6DBB"/>
            </w:tcBorders>
          </w:tcPr>
          <w:p>
            <w:pPr>
              <w:spacing w:after="0"/>
              <w:rPr>
                <w:sz w:val="2"/>
                <w:szCs w:val="2"/>
                <w:color w:val="auto"/>
              </w:rPr>
            </w:pPr>
          </w:p>
        </w:tc>
        <w:tc>
          <w:tcPr>
            <w:tcW w:w="40" w:type="dxa"/>
            <w:vAlign w:val="bottom"/>
            <w:tcBorders>
              <w:bottom w:val="single" w:sz="8" w:color="1A6DBB"/>
            </w:tcBorders>
          </w:tcPr>
          <w:p>
            <w:pPr>
              <w:spacing w:after="0"/>
              <w:rPr>
                <w:sz w:val="2"/>
                <w:szCs w:val="2"/>
                <w:color w:val="auto"/>
              </w:rPr>
            </w:pPr>
          </w:p>
        </w:tc>
        <w:tc>
          <w:tcPr>
            <w:tcW w:w="180" w:type="dxa"/>
            <w:vAlign w:val="bottom"/>
            <w:tcBorders>
              <w:bottom w:val="single" w:sz="8" w:color="1A6DBB"/>
            </w:tcBorders>
          </w:tcPr>
          <w:p>
            <w:pPr>
              <w:spacing w:after="0"/>
              <w:rPr>
                <w:sz w:val="2"/>
                <w:szCs w:val="2"/>
                <w:color w:val="auto"/>
              </w:rPr>
            </w:pPr>
          </w:p>
        </w:tc>
        <w:tc>
          <w:tcPr>
            <w:tcW w:w="40" w:type="dxa"/>
            <w:vAlign w:val="bottom"/>
            <w:tcBorders>
              <w:bottom w:val="single" w:sz="8" w:color="1A6DBB"/>
            </w:tcBorders>
          </w:tcPr>
          <w:p>
            <w:pPr>
              <w:spacing w:after="0"/>
              <w:rPr>
                <w:sz w:val="2"/>
                <w:szCs w:val="2"/>
                <w:color w:val="auto"/>
              </w:rPr>
            </w:pPr>
          </w:p>
        </w:tc>
        <w:tc>
          <w:tcPr>
            <w:tcW w:w="100" w:type="dxa"/>
            <w:vAlign w:val="bottom"/>
            <w:tcBorders>
              <w:bottom w:val="single" w:sz="8" w:color="1A6DBB"/>
            </w:tcBorders>
          </w:tcPr>
          <w:p>
            <w:pPr>
              <w:spacing w:after="0"/>
              <w:rPr>
                <w:sz w:val="2"/>
                <w:szCs w:val="2"/>
                <w:color w:val="auto"/>
              </w:rPr>
            </w:pPr>
          </w:p>
        </w:tc>
        <w:tc>
          <w:tcPr>
            <w:tcW w:w="20" w:type="dxa"/>
            <w:vAlign w:val="bottom"/>
            <w:tcBorders>
              <w:bottom w:val="single" w:sz="8" w:color="1A6DBB"/>
            </w:tcBorders>
          </w:tcPr>
          <w:p>
            <w:pPr>
              <w:spacing w:after="0"/>
              <w:rPr>
                <w:sz w:val="2"/>
                <w:szCs w:val="2"/>
                <w:color w:val="auto"/>
              </w:rPr>
            </w:pPr>
          </w:p>
        </w:tc>
        <w:tc>
          <w:tcPr>
            <w:tcW w:w="40" w:type="dxa"/>
            <w:vAlign w:val="bottom"/>
            <w:tcBorders>
              <w:bottom w:val="single" w:sz="8" w:color="1A6DBB"/>
            </w:tcBorders>
          </w:tcPr>
          <w:p>
            <w:pPr>
              <w:spacing w:after="0"/>
              <w:rPr>
                <w:sz w:val="2"/>
                <w:szCs w:val="2"/>
                <w:color w:val="auto"/>
              </w:rPr>
            </w:pPr>
          </w:p>
        </w:tc>
        <w:tc>
          <w:tcPr>
            <w:tcW w:w="80" w:type="dxa"/>
            <w:vAlign w:val="bottom"/>
            <w:tcBorders>
              <w:bottom w:val="single" w:sz="8" w:color="1A6DBB"/>
            </w:tcBorders>
          </w:tcPr>
          <w:p>
            <w:pPr>
              <w:spacing w:after="0"/>
              <w:rPr>
                <w:sz w:val="2"/>
                <w:szCs w:val="2"/>
                <w:color w:val="auto"/>
              </w:rPr>
            </w:pPr>
          </w:p>
        </w:tc>
        <w:tc>
          <w:tcPr>
            <w:tcW w:w="20" w:type="dxa"/>
            <w:vAlign w:val="bottom"/>
            <w:tcBorders>
              <w:bottom w:val="single" w:sz="8" w:color="1A6DBB"/>
            </w:tcBorders>
          </w:tcPr>
          <w:p>
            <w:pPr>
              <w:spacing w:after="0"/>
              <w:rPr>
                <w:sz w:val="2"/>
                <w:szCs w:val="2"/>
                <w:color w:val="auto"/>
              </w:rPr>
            </w:pPr>
          </w:p>
        </w:tc>
        <w:tc>
          <w:tcPr>
            <w:tcW w:w="240" w:type="dxa"/>
            <w:vAlign w:val="bottom"/>
            <w:tcBorders>
              <w:bottom w:val="single" w:sz="8" w:color="1A6DBB"/>
            </w:tcBorders>
          </w:tcPr>
          <w:p>
            <w:pPr>
              <w:spacing w:after="0"/>
              <w:rPr>
                <w:sz w:val="2"/>
                <w:szCs w:val="2"/>
                <w:color w:val="auto"/>
              </w:rPr>
            </w:pPr>
          </w:p>
        </w:tc>
        <w:tc>
          <w:tcPr>
            <w:tcW w:w="260" w:type="dxa"/>
            <w:vAlign w:val="bottom"/>
            <w:tcBorders>
              <w:bottom w:val="single" w:sz="8" w:color="1A6DBB"/>
            </w:tcBorders>
          </w:tcPr>
          <w:p>
            <w:pPr>
              <w:spacing w:after="0"/>
              <w:rPr>
                <w:sz w:val="2"/>
                <w:szCs w:val="2"/>
                <w:color w:val="auto"/>
              </w:rPr>
            </w:pPr>
          </w:p>
        </w:tc>
        <w:tc>
          <w:tcPr>
            <w:tcW w:w="40" w:type="dxa"/>
            <w:vAlign w:val="bottom"/>
            <w:tcBorders>
              <w:bottom w:val="single" w:sz="8" w:color="1A6DBB"/>
            </w:tcBorders>
          </w:tcPr>
          <w:p>
            <w:pPr>
              <w:spacing w:after="0"/>
              <w:rPr>
                <w:sz w:val="2"/>
                <w:szCs w:val="2"/>
                <w:color w:val="auto"/>
              </w:rPr>
            </w:pPr>
          </w:p>
        </w:tc>
        <w:tc>
          <w:tcPr>
            <w:tcW w:w="140" w:type="dxa"/>
            <w:vAlign w:val="bottom"/>
            <w:tcBorders>
              <w:bottom w:val="single" w:sz="8" w:color="1A6DBB"/>
            </w:tcBorders>
          </w:tcPr>
          <w:p>
            <w:pPr>
              <w:spacing w:after="0"/>
              <w:rPr>
                <w:sz w:val="2"/>
                <w:szCs w:val="2"/>
                <w:color w:val="auto"/>
              </w:rPr>
            </w:pPr>
          </w:p>
        </w:tc>
        <w:tc>
          <w:tcPr>
            <w:tcW w:w="160" w:type="dxa"/>
            <w:vAlign w:val="bottom"/>
            <w:tcBorders>
              <w:bottom w:val="single" w:sz="8" w:color="1A6DBB"/>
            </w:tcBorders>
          </w:tcPr>
          <w:p>
            <w:pPr>
              <w:spacing w:after="0"/>
              <w:rPr>
                <w:sz w:val="2"/>
                <w:szCs w:val="2"/>
                <w:color w:val="auto"/>
              </w:rPr>
            </w:pPr>
          </w:p>
        </w:tc>
        <w:tc>
          <w:tcPr>
            <w:tcW w:w="40" w:type="dxa"/>
            <w:vAlign w:val="bottom"/>
            <w:tcBorders>
              <w:bottom w:val="single" w:sz="8" w:color="1A6DBB"/>
            </w:tcBorders>
          </w:tcPr>
          <w:p>
            <w:pPr>
              <w:spacing w:after="0"/>
              <w:rPr>
                <w:sz w:val="2"/>
                <w:szCs w:val="2"/>
                <w:color w:val="auto"/>
              </w:rPr>
            </w:pPr>
          </w:p>
        </w:tc>
        <w:tc>
          <w:tcPr>
            <w:tcW w:w="160" w:type="dxa"/>
            <w:vAlign w:val="bottom"/>
            <w:tcBorders>
              <w:bottom w:val="single" w:sz="8" w:color="1A6DBB"/>
            </w:tcBorders>
          </w:tcPr>
          <w:p>
            <w:pPr>
              <w:spacing w:after="0"/>
              <w:rPr>
                <w:sz w:val="2"/>
                <w:szCs w:val="2"/>
                <w:color w:val="auto"/>
              </w:rPr>
            </w:pPr>
          </w:p>
        </w:tc>
        <w:tc>
          <w:tcPr>
            <w:tcW w:w="20" w:type="dxa"/>
            <w:vAlign w:val="bottom"/>
            <w:tcBorders>
              <w:bottom w:val="single" w:sz="8" w:color="1A6DBB"/>
            </w:tcBorders>
          </w:tcPr>
          <w:p>
            <w:pPr>
              <w:spacing w:after="0"/>
              <w:rPr>
                <w:sz w:val="2"/>
                <w:szCs w:val="2"/>
                <w:color w:val="auto"/>
              </w:rPr>
            </w:pPr>
          </w:p>
        </w:tc>
        <w:tc>
          <w:tcPr>
            <w:tcW w:w="60" w:type="dxa"/>
            <w:vAlign w:val="bottom"/>
            <w:tcBorders>
              <w:bottom w:val="single" w:sz="8" w:color="1A6DBB"/>
            </w:tcBorders>
          </w:tcPr>
          <w:p>
            <w:pPr>
              <w:spacing w:after="0"/>
              <w:rPr>
                <w:sz w:val="2"/>
                <w:szCs w:val="2"/>
                <w:color w:val="auto"/>
              </w:rPr>
            </w:pPr>
          </w:p>
        </w:tc>
        <w:tc>
          <w:tcPr>
            <w:tcW w:w="60" w:type="dxa"/>
            <w:vAlign w:val="bottom"/>
            <w:tcBorders>
              <w:bottom w:val="single" w:sz="8" w:color="1A6DBB"/>
            </w:tcBorders>
          </w:tcPr>
          <w:p>
            <w:pPr>
              <w:spacing w:after="0"/>
              <w:rPr>
                <w:sz w:val="2"/>
                <w:szCs w:val="2"/>
                <w:color w:val="auto"/>
              </w:rPr>
            </w:pPr>
          </w:p>
        </w:tc>
        <w:tc>
          <w:tcPr>
            <w:tcW w:w="240" w:type="dxa"/>
            <w:vAlign w:val="bottom"/>
            <w:tcBorders>
              <w:bottom w:val="single" w:sz="8" w:color="1A6DBB"/>
            </w:tcBorders>
          </w:tcPr>
          <w:p>
            <w:pPr>
              <w:spacing w:after="0"/>
              <w:rPr>
                <w:sz w:val="2"/>
                <w:szCs w:val="2"/>
                <w:color w:val="auto"/>
              </w:rPr>
            </w:pPr>
          </w:p>
        </w:tc>
        <w:tc>
          <w:tcPr>
            <w:tcW w:w="60" w:type="dxa"/>
            <w:vAlign w:val="bottom"/>
            <w:tcBorders>
              <w:bottom w:val="single" w:sz="8" w:color="1A6DBB"/>
            </w:tcBorders>
          </w:tcPr>
          <w:p>
            <w:pPr>
              <w:spacing w:after="0"/>
              <w:rPr>
                <w:sz w:val="2"/>
                <w:szCs w:val="2"/>
                <w:color w:val="auto"/>
              </w:rPr>
            </w:pPr>
          </w:p>
        </w:tc>
        <w:tc>
          <w:tcPr>
            <w:tcW w:w="60" w:type="dxa"/>
            <w:vAlign w:val="bottom"/>
            <w:tcBorders>
              <w:bottom w:val="single" w:sz="8" w:color="1A6DBB"/>
            </w:tcBorders>
          </w:tcPr>
          <w:p>
            <w:pPr>
              <w:spacing w:after="0"/>
              <w:rPr>
                <w:sz w:val="2"/>
                <w:szCs w:val="2"/>
                <w:color w:val="auto"/>
              </w:rPr>
            </w:pPr>
          </w:p>
        </w:tc>
        <w:tc>
          <w:tcPr>
            <w:tcW w:w="980" w:type="dxa"/>
            <w:vAlign w:val="bottom"/>
            <w:tcBorders>
              <w:bottom w:val="single" w:sz="8" w:color="1A6DB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85725</wp:posOffset>
            </wp:positionV>
            <wp:extent cx="196850" cy="2139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6850" cy="213995"/>
                    </a:xfrm>
                    <a:prstGeom prst="rect">
                      <a:avLst/>
                    </a:prstGeom>
                    <a:noFill/>
                  </pic:spPr>
                </pic:pic>
              </a:graphicData>
            </a:graphic>
          </wp:anchor>
        </w:drawing>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12"/>
          <w:szCs w:val="12"/>
          <w:color w:val="1A6DB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-78105</wp:posOffset>
            </wp:positionV>
            <wp:extent cx="42037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0370" cy="13716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2"/>
          <w:szCs w:val="12"/>
          <w:color w:val="1A6DBB"/>
        </w:rPr>
        <w:t>ii-</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336550</wp:posOffset>
            </wp:positionV>
            <wp:extent cx="6736080" cy="287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6080" cy="28702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925830</wp:posOffset>
            </wp:positionV>
            <wp:extent cx="6997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0"/>
        <w:spacing w:after="0"/>
        <w:rPr>
          <w:sz w:val="20"/>
          <w:szCs w:val="20"/>
          <w:color w:val="auto"/>
        </w:rPr>
      </w:pPr>
      <w:r>
        <w:rPr>
          <w:rFonts w:ascii="Arial" w:cs="Arial" w:eastAsia="Arial" w:hAnsi="Arial"/>
          <w:sz w:val="41"/>
          <w:szCs w:val="41"/>
          <w:color w:val="1A6DBB"/>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25400</wp:posOffset>
            </wp:positionV>
            <wp:extent cx="6997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9" w:lineRule="exact"/>
        <w:rPr>
          <w:sz w:val="20"/>
          <w:szCs w:val="20"/>
          <w:color w:val="auto"/>
        </w:rPr>
      </w:pPr>
    </w:p>
    <w:p>
      <w:pPr>
        <w:ind w:left="200" w:right="260"/>
        <w:spacing w:after="0" w:line="246" w:lineRule="auto"/>
        <w:rPr>
          <w:sz w:val="20"/>
          <w:szCs w:val="20"/>
          <w:color w:val="auto"/>
        </w:rPr>
      </w:pPr>
      <w:r>
        <w:rPr>
          <w:rFonts w:ascii="Arial" w:cs="Arial" w:eastAsia="Arial" w:hAnsi="Arial"/>
          <w:sz w:val="18"/>
          <w:szCs w:val="18"/>
          <w:color w:val="1A6DBB"/>
        </w:rPr>
        <w:t>This summary highlights important information you will find in this Proxy Statement. As it is only a summary, please review the complete Proxy Statement before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142875</wp:posOffset>
            </wp:positionV>
            <wp:extent cx="6860540" cy="3600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60540" cy="360045"/>
                    </a:xfrm>
                    <a:prstGeom prst="rect">
                      <a:avLst/>
                    </a:prstGeom>
                    <a:noFill/>
                  </pic:spPr>
                </pic:pic>
              </a:graphicData>
            </a:graphic>
          </wp:anchor>
        </w:drawing>
      </w: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FFFFFF"/>
        </w:rPr>
        <w:t>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-155575</wp:posOffset>
            </wp:positionV>
            <wp:extent cx="6920865" cy="3600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20865" cy="36004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230" w:type="dxa"/>
        <w:tblCellMar>
          <w:top w:w="0" w:type="dxa"/>
          <w:left w:w="0" w:type="dxa"/>
          <w:bottom w:w="0" w:type="dxa"/>
          <w:right w:w="0" w:type="dxa"/>
        </w:tblCellMar>
      </w:tblPr>
      <w:tr>
        <w:trPr>
          <w:trHeight w:val="184"/>
        </w:trPr>
        <w:tc>
          <w:tcPr>
            <w:tcW w:w="1740" w:type="dxa"/>
            <w:vAlign w:val="bottom"/>
            <w:tcBorders>
              <w:top w:val="single" w:sz="8" w:color="1A6DBB"/>
              <w:left w:val="single" w:sz="8" w:color="1A6DBB"/>
            </w:tcBorders>
            <w:shd w:val="clear" w:color="auto" w:fill="E8F0F8"/>
          </w:tcPr>
          <w:p>
            <w:pPr>
              <w:ind w:left="140"/>
              <w:spacing w:after="0"/>
              <w:rPr>
                <w:sz w:val="20"/>
                <w:szCs w:val="20"/>
                <w:color w:val="auto"/>
              </w:rPr>
            </w:pPr>
            <w:r>
              <w:rPr>
                <w:rFonts w:ascii="Arial" w:cs="Arial" w:eastAsia="Arial" w:hAnsi="Arial"/>
                <w:sz w:val="16"/>
                <w:szCs w:val="16"/>
                <w:b w:val="1"/>
                <w:bCs w:val="1"/>
                <w:color w:val="auto"/>
              </w:rPr>
              <w:t>DATE:</w:t>
            </w:r>
          </w:p>
        </w:tc>
        <w:tc>
          <w:tcPr>
            <w:tcW w:w="9300" w:type="dxa"/>
            <w:vAlign w:val="bottom"/>
            <w:tcBorders>
              <w:top w:val="single" w:sz="8" w:color="1A6DBB"/>
              <w:right w:val="single" w:sz="8" w:color="1A6DBB"/>
            </w:tcBorders>
            <w:shd w:val="clear" w:color="auto" w:fill="E8F0F8"/>
          </w:tcPr>
          <w:p>
            <w:pPr>
              <w:ind w:left="360"/>
              <w:spacing w:after="0"/>
              <w:rPr>
                <w:sz w:val="20"/>
                <w:szCs w:val="20"/>
                <w:color w:val="auto"/>
              </w:rPr>
            </w:pPr>
            <w:r>
              <w:rPr>
                <w:rFonts w:ascii="Arial" w:cs="Arial" w:eastAsia="Arial" w:hAnsi="Arial"/>
                <w:sz w:val="16"/>
                <w:szCs w:val="16"/>
                <w:color w:val="auto"/>
              </w:rPr>
              <w:t>Wednesday, June 19, 2019</w:t>
            </w:r>
          </w:p>
        </w:tc>
        <w:tc>
          <w:tcPr>
            <w:tcW w:w="0" w:type="dxa"/>
            <w:vAlign w:val="bottom"/>
          </w:tcPr>
          <w:p>
            <w:pPr>
              <w:spacing w:after="0"/>
              <w:rPr>
                <w:sz w:val="1"/>
                <w:szCs w:val="1"/>
                <w:color w:val="auto"/>
              </w:rPr>
            </w:pPr>
          </w:p>
        </w:tc>
      </w:tr>
      <w:tr>
        <w:trPr>
          <w:trHeight w:val="189"/>
        </w:trPr>
        <w:tc>
          <w:tcPr>
            <w:tcW w:w="1740" w:type="dxa"/>
            <w:vAlign w:val="bottom"/>
            <w:tcBorders>
              <w:left w:val="single" w:sz="8" w:color="1A6DBB"/>
            </w:tcBorders>
            <w:shd w:val="clear" w:color="auto" w:fill="E8F0F8"/>
          </w:tcPr>
          <w:p>
            <w:pPr>
              <w:ind w:left="140"/>
              <w:spacing w:after="0"/>
              <w:rPr>
                <w:sz w:val="20"/>
                <w:szCs w:val="20"/>
                <w:color w:val="auto"/>
              </w:rPr>
            </w:pPr>
            <w:r>
              <w:rPr>
                <w:rFonts w:ascii="Arial" w:cs="Arial" w:eastAsia="Arial" w:hAnsi="Arial"/>
                <w:sz w:val="16"/>
                <w:szCs w:val="16"/>
                <w:b w:val="1"/>
                <w:bCs w:val="1"/>
                <w:color w:val="auto"/>
              </w:rPr>
              <w:t>TIME:</w:t>
            </w:r>
          </w:p>
        </w:tc>
        <w:tc>
          <w:tcPr>
            <w:tcW w:w="9300" w:type="dxa"/>
            <w:vAlign w:val="bottom"/>
            <w:tcBorders>
              <w:right w:val="single" w:sz="8" w:color="1A6DBB"/>
            </w:tcBorders>
            <w:shd w:val="clear" w:color="auto" w:fill="E8F0F8"/>
          </w:tcPr>
          <w:p>
            <w:pPr>
              <w:ind w:left="360"/>
              <w:spacing w:after="0"/>
              <w:rPr>
                <w:sz w:val="20"/>
                <w:szCs w:val="20"/>
                <w:color w:val="auto"/>
              </w:rPr>
            </w:pPr>
            <w:r>
              <w:rPr>
                <w:rFonts w:ascii="Arial" w:cs="Arial" w:eastAsia="Arial" w:hAnsi="Arial"/>
                <w:sz w:val="16"/>
                <w:szCs w:val="16"/>
                <w:color w:val="auto"/>
              </w:rPr>
              <w:t>9:00 a.m. Eastern Time</w:t>
            </w:r>
          </w:p>
        </w:tc>
        <w:tc>
          <w:tcPr>
            <w:tcW w:w="0" w:type="dxa"/>
            <w:vAlign w:val="bottom"/>
          </w:tcPr>
          <w:p>
            <w:pPr>
              <w:spacing w:after="0"/>
              <w:rPr>
                <w:sz w:val="1"/>
                <w:szCs w:val="1"/>
                <w:color w:val="auto"/>
              </w:rPr>
            </w:pPr>
          </w:p>
        </w:tc>
      </w:tr>
      <w:tr>
        <w:trPr>
          <w:trHeight w:val="209"/>
        </w:trPr>
        <w:tc>
          <w:tcPr>
            <w:tcW w:w="1740" w:type="dxa"/>
            <w:vAlign w:val="bottom"/>
            <w:tcBorders>
              <w:left w:val="single" w:sz="8" w:color="1A6DBB"/>
            </w:tcBorders>
            <w:shd w:val="clear" w:color="auto" w:fill="E8F0F8"/>
          </w:tcPr>
          <w:p>
            <w:pPr>
              <w:ind w:left="140"/>
              <w:spacing w:after="0"/>
              <w:rPr>
                <w:sz w:val="20"/>
                <w:szCs w:val="20"/>
                <w:color w:val="auto"/>
              </w:rPr>
            </w:pPr>
            <w:r>
              <w:rPr>
                <w:rFonts w:ascii="Arial" w:cs="Arial" w:eastAsia="Arial" w:hAnsi="Arial"/>
                <w:sz w:val="16"/>
                <w:szCs w:val="16"/>
                <w:b w:val="1"/>
                <w:bCs w:val="1"/>
                <w:color w:val="auto"/>
              </w:rPr>
              <w:t>LOCATION:</w:t>
            </w:r>
          </w:p>
        </w:tc>
        <w:tc>
          <w:tcPr>
            <w:tcW w:w="9300" w:type="dxa"/>
            <w:vAlign w:val="bottom"/>
            <w:tcBorders>
              <w:right w:val="single" w:sz="8" w:color="1A6DBB"/>
            </w:tcBorders>
            <w:shd w:val="clear" w:color="auto" w:fill="E8F0F8"/>
          </w:tcPr>
          <w:p>
            <w:pPr>
              <w:ind w:left="360"/>
              <w:spacing w:after="0"/>
              <w:rPr>
                <w:sz w:val="20"/>
                <w:szCs w:val="20"/>
                <w:color w:val="auto"/>
              </w:rPr>
            </w:pPr>
            <w:r>
              <w:rPr>
                <w:rFonts w:ascii="Arial" w:cs="Arial" w:eastAsia="Arial" w:hAnsi="Arial"/>
                <w:sz w:val="16"/>
                <w:szCs w:val="16"/>
                <w:color w:val="auto"/>
              </w:rPr>
              <w:t>Biogen Inc.</w:t>
            </w:r>
          </w:p>
        </w:tc>
        <w:tc>
          <w:tcPr>
            <w:tcW w:w="0" w:type="dxa"/>
            <w:vAlign w:val="bottom"/>
          </w:tcPr>
          <w:p>
            <w:pPr>
              <w:spacing w:after="0"/>
              <w:rPr>
                <w:sz w:val="1"/>
                <w:szCs w:val="1"/>
                <w:color w:val="auto"/>
              </w:rPr>
            </w:pPr>
          </w:p>
        </w:tc>
      </w:tr>
      <w:tr>
        <w:trPr>
          <w:trHeight w:val="189"/>
        </w:trPr>
        <w:tc>
          <w:tcPr>
            <w:tcW w:w="1740" w:type="dxa"/>
            <w:vAlign w:val="bottom"/>
            <w:tcBorders>
              <w:left w:val="single" w:sz="8" w:color="1A6DBB"/>
            </w:tcBorders>
            <w:shd w:val="clear" w:color="auto" w:fill="E8F0F8"/>
          </w:tcPr>
          <w:p>
            <w:pPr>
              <w:spacing w:after="0"/>
              <w:rPr>
                <w:sz w:val="16"/>
                <w:szCs w:val="16"/>
                <w:color w:val="auto"/>
              </w:rPr>
            </w:pPr>
          </w:p>
        </w:tc>
        <w:tc>
          <w:tcPr>
            <w:tcW w:w="9300" w:type="dxa"/>
            <w:vAlign w:val="bottom"/>
            <w:tcBorders>
              <w:right w:val="single" w:sz="8" w:color="1A6DBB"/>
            </w:tcBorders>
            <w:shd w:val="clear" w:color="auto" w:fill="E8F0F8"/>
          </w:tcPr>
          <w:p>
            <w:pPr>
              <w:ind w:left="360"/>
              <w:spacing w:after="0"/>
              <w:rPr>
                <w:sz w:val="20"/>
                <w:szCs w:val="20"/>
                <w:color w:val="auto"/>
              </w:rPr>
            </w:pPr>
            <w:r>
              <w:rPr>
                <w:rFonts w:ascii="Arial" w:cs="Arial" w:eastAsia="Arial" w:hAnsi="Arial"/>
                <w:sz w:val="16"/>
                <w:szCs w:val="16"/>
                <w:color w:val="auto"/>
              </w:rPr>
              <w:t>225 Binney Street</w:t>
            </w:r>
          </w:p>
        </w:tc>
        <w:tc>
          <w:tcPr>
            <w:tcW w:w="0" w:type="dxa"/>
            <w:vAlign w:val="bottom"/>
          </w:tcPr>
          <w:p>
            <w:pPr>
              <w:spacing w:after="0"/>
              <w:rPr>
                <w:sz w:val="1"/>
                <w:szCs w:val="1"/>
                <w:color w:val="auto"/>
              </w:rPr>
            </w:pPr>
          </w:p>
        </w:tc>
      </w:tr>
      <w:tr>
        <w:trPr>
          <w:trHeight w:val="195"/>
        </w:trPr>
        <w:tc>
          <w:tcPr>
            <w:tcW w:w="1740" w:type="dxa"/>
            <w:vAlign w:val="bottom"/>
            <w:tcBorders>
              <w:left w:val="single" w:sz="8" w:color="1A6DBB"/>
            </w:tcBorders>
            <w:vMerge w:val="restart"/>
            <w:shd w:val="clear" w:color="auto" w:fill="E8F0F8"/>
          </w:tcPr>
          <w:p>
            <w:pPr>
              <w:ind w:left="140"/>
              <w:spacing w:after="0"/>
              <w:rPr>
                <w:sz w:val="20"/>
                <w:szCs w:val="20"/>
                <w:color w:val="auto"/>
              </w:rPr>
            </w:pPr>
            <w:r>
              <w:rPr>
                <w:rFonts w:ascii="Arial" w:cs="Arial" w:eastAsia="Arial" w:hAnsi="Arial"/>
                <w:sz w:val="16"/>
                <w:szCs w:val="16"/>
                <w:b w:val="1"/>
                <w:bCs w:val="1"/>
                <w:color w:val="auto"/>
              </w:rPr>
              <w:t>RECORD DATE:</w:t>
            </w:r>
          </w:p>
        </w:tc>
        <w:tc>
          <w:tcPr>
            <w:tcW w:w="9300" w:type="dxa"/>
            <w:vAlign w:val="bottom"/>
            <w:tcBorders>
              <w:right w:val="single" w:sz="8" w:color="1A6DBB"/>
            </w:tcBorders>
            <w:shd w:val="clear" w:color="auto" w:fill="E8F0F8"/>
          </w:tcPr>
          <w:p>
            <w:pPr>
              <w:ind w:left="360"/>
              <w:spacing w:after="0"/>
              <w:rPr>
                <w:sz w:val="20"/>
                <w:szCs w:val="20"/>
                <w:color w:val="auto"/>
              </w:rPr>
            </w:pPr>
            <w:r>
              <w:rPr>
                <w:rFonts w:ascii="Arial" w:cs="Arial" w:eastAsia="Arial" w:hAnsi="Arial"/>
                <w:sz w:val="16"/>
                <w:szCs w:val="16"/>
                <w:color w:val="auto"/>
              </w:rPr>
              <w:t>Cambridge, Massachusetts 02142</w:t>
            </w:r>
          </w:p>
        </w:tc>
        <w:tc>
          <w:tcPr>
            <w:tcW w:w="0" w:type="dxa"/>
            <w:vAlign w:val="bottom"/>
          </w:tcPr>
          <w:p>
            <w:pPr>
              <w:spacing w:after="0"/>
              <w:rPr>
                <w:sz w:val="1"/>
                <w:szCs w:val="1"/>
                <w:color w:val="auto"/>
              </w:rPr>
            </w:pPr>
          </w:p>
        </w:tc>
      </w:tr>
      <w:tr>
        <w:trPr>
          <w:trHeight w:val="203"/>
        </w:trPr>
        <w:tc>
          <w:tcPr>
            <w:tcW w:w="1740" w:type="dxa"/>
            <w:vAlign w:val="bottom"/>
            <w:tcBorders>
              <w:left w:val="single" w:sz="8" w:color="1A6DBB"/>
            </w:tcBorders>
            <w:vMerge w:val="continue"/>
            <w:shd w:val="clear" w:color="auto" w:fill="E8F0F8"/>
          </w:tcPr>
          <w:p>
            <w:pPr>
              <w:spacing w:after="0"/>
              <w:rPr>
                <w:sz w:val="17"/>
                <w:szCs w:val="17"/>
                <w:color w:val="auto"/>
              </w:rPr>
            </w:pPr>
          </w:p>
        </w:tc>
        <w:tc>
          <w:tcPr>
            <w:tcW w:w="9300" w:type="dxa"/>
            <w:vAlign w:val="bottom"/>
            <w:tcBorders>
              <w:right w:val="single" w:sz="8" w:color="1A6DBB"/>
            </w:tcBorders>
            <w:shd w:val="clear" w:color="auto" w:fill="E8F0F8"/>
          </w:tcPr>
          <w:p>
            <w:pPr>
              <w:ind w:left="360"/>
              <w:spacing w:after="0"/>
              <w:rPr>
                <w:sz w:val="20"/>
                <w:szCs w:val="20"/>
                <w:color w:val="auto"/>
              </w:rPr>
            </w:pPr>
            <w:r>
              <w:rPr>
                <w:rFonts w:ascii="Arial" w:cs="Arial" w:eastAsia="Arial" w:hAnsi="Arial"/>
                <w:sz w:val="16"/>
                <w:szCs w:val="16"/>
                <w:color w:val="auto"/>
              </w:rPr>
              <w:t>April 22, 2019</w:t>
            </w:r>
          </w:p>
        </w:tc>
        <w:tc>
          <w:tcPr>
            <w:tcW w:w="0" w:type="dxa"/>
            <w:vAlign w:val="bottom"/>
          </w:tcPr>
          <w:p>
            <w:pPr>
              <w:spacing w:after="0"/>
              <w:rPr>
                <w:sz w:val="1"/>
                <w:szCs w:val="1"/>
                <w:color w:val="auto"/>
              </w:rPr>
            </w:pPr>
          </w:p>
        </w:tc>
      </w:tr>
      <w:tr>
        <w:trPr>
          <w:trHeight w:val="128"/>
        </w:trPr>
        <w:tc>
          <w:tcPr>
            <w:tcW w:w="1740" w:type="dxa"/>
            <w:vAlign w:val="bottom"/>
            <w:tcBorders>
              <w:left w:val="single" w:sz="8" w:color="1A6DBB"/>
              <w:bottom w:val="single" w:sz="8" w:color="1A6DBB"/>
            </w:tcBorders>
            <w:shd w:val="clear" w:color="auto" w:fill="E8F0F8"/>
          </w:tcPr>
          <w:p>
            <w:pPr>
              <w:spacing w:after="0"/>
              <w:rPr>
                <w:sz w:val="11"/>
                <w:szCs w:val="11"/>
                <w:color w:val="auto"/>
              </w:rPr>
            </w:pPr>
          </w:p>
        </w:tc>
        <w:tc>
          <w:tcPr>
            <w:tcW w:w="9300" w:type="dxa"/>
            <w:vAlign w:val="bottom"/>
            <w:tcBorders>
              <w:bottom w:val="single" w:sz="8" w:color="1A6DBB"/>
              <w:right w:val="single" w:sz="8" w:color="1A6DBB"/>
            </w:tcBorders>
            <w:shd w:val="clear" w:color="auto" w:fill="E8F0F8"/>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154305</wp:posOffset>
            </wp:positionV>
            <wp:extent cx="6860540" cy="3600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60540" cy="3600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FFFFFF"/>
        </w:rPr>
        <w:t>Voting Matters and Vote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-155575</wp:posOffset>
            </wp:positionV>
            <wp:extent cx="6920865" cy="3600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20865" cy="36004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6960" w:type="dxa"/>
            <w:vAlign w:val="bottom"/>
          </w:tcPr>
          <w:p>
            <w:pPr>
              <w:spacing w:after="0"/>
              <w:rPr>
                <w:sz w:val="14"/>
                <w:szCs w:val="14"/>
                <w:color w:val="auto"/>
              </w:rPr>
            </w:pPr>
          </w:p>
        </w:tc>
        <w:tc>
          <w:tcPr>
            <w:tcW w:w="2620" w:type="dxa"/>
            <w:vAlign w:val="bottom"/>
          </w:tcPr>
          <w:p>
            <w:pPr>
              <w:ind w:left="1180"/>
              <w:spacing w:after="0"/>
              <w:rPr>
                <w:sz w:val="20"/>
                <w:szCs w:val="20"/>
                <w:color w:val="auto"/>
              </w:rPr>
            </w:pPr>
            <w:r>
              <w:rPr>
                <w:rFonts w:ascii="Arial" w:cs="Arial" w:eastAsia="Arial" w:hAnsi="Arial"/>
                <w:sz w:val="14"/>
                <w:szCs w:val="14"/>
                <w:b w:val="1"/>
                <w:bCs w:val="1"/>
                <w:color w:val="auto"/>
              </w:rPr>
              <w:t>Board</w:t>
            </w:r>
          </w:p>
        </w:tc>
        <w:tc>
          <w:tcPr>
            <w:tcW w:w="1220" w:type="dxa"/>
            <w:vAlign w:val="bottom"/>
          </w:tcPr>
          <w:p>
            <w:pPr>
              <w:ind w:left="220"/>
              <w:spacing w:after="0"/>
              <w:rPr>
                <w:sz w:val="20"/>
                <w:szCs w:val="20"/>
                <w:color w:val="auto"/>
              </w:rPr>
            </w:pPr>
            <w:r>
              <w:rPr>
                <w:rFonts w:ascii="Arial" w:cs="Arial" w:eastAsia="Arial" w:hAnsi="Arial"/>
                <w:sz w:val="14"/>
                <w:szCs w:val="14"/>
                <w:b w:val="1"/>
                <w:bCs w:val="1"/>
                <w:color w:val="auto"/>
              </w:rPr>
              <w:t>Page Number</w:t>
            </w:r>
          </w:p>
        </w:tc>
      </w:tr>
      <w:tr>
        <w:trPr>
          <w:trHeight w:val="194"/>
        </w:trPr>
        <w:tc>
          <w:tcPr>
            <w:tcW w:w="6960" w:type="dxa"/>
            <w:vAlign w:val="bottom"/>
          </w:tcPr>
          <w:p>
            <w:pPr>
              <w:spacing w:after="0"/>
              <w:rPr>
                <w:sz w:val="20"/>
                <w:szCs w:val="20"/>
                <w:color w:val="auto"/>
              </w:rPr>
            </w:pPr>
            <w:r>
              <w:rPr>
                <w:rFonts w:ascii="Arial" w:cs="Arial" w:eastAsia="Arial" w:hAnsi="Arial"/>
                <w:sz w:val="14"/>
                <w:szCs w:val="14"/>
                <w:b w:val="1"/>
                <w:bCs w:val="1"/>
                <w:color w:val="auto"/>
              </w:rPr>
              <w:t>Voting Matter</w:t>
            </w:r>
          </w:p>
        </w:tc>
        <w:tc>
          <w:tcPr>
            <w:tcW w:w="2620" w:type="dxa"/>
            <w:vAlign w:val="bottom"/>
          </w:tcPr>
          <w:p>
            <w:pPr>
              <w:ind w:left="1180"/>
              <w:spacing w:after="0"/>
              <w:rPr>
                <w:sz w:val="20"/>
                <w:szCs w:val="20"/>
                <w:color w:val="auto"/>
              </w:rPr>
            </w:pPr>
            <w:r>
              <w:rPr>
                <w:rFonts w:ascii="Arial" w:cs="Arial" w:eastAsia="Arial" w:hAnsi="Arial"/>
                <w:sz w:val="14"/>
                <w:szCs w:val="14"/>
                <w:b w:val="1"/>
                <w:bCs w:val="1"/>
                <w:color w:val="auto"/>
              </w:rPr>
              <w:t>Recommendation</w:t>
            </w:r>
          </w:p>
        </w:tc>
        <w:tc>
          <w:tcPr>
            <w:tcW w:w="1220" w:type="dxa"/>
            <w:vAlign w:val="bottom"/>
          </w:tcPr>
          <w:p>
            <w:pPr>
              <w:ind w:left="220"/>
              <w:spacing w:after="0"/>
              <w:rPr>
                <w:sz w:val="20"/>
                <w:szCs w:val="20"/>
                <w:color w:val="auto"/>
              </w:rPr>
            </w:pPr>
            <w:r>
              <w:rPr>
                <w:rFonts w:ascii="Arial" w:cs="Arial" w:eastAsia="Arial" w:hAnsi="Arial"/>
                <w:sz w:val="14"/>
                <w:szCs w:val="14"/>
                <w:b w:val="1"/>
                <w:bCs w:val="1"/>
                <w:color w:val="auto"/>
              </w:rPr>
              <w:t>for more detail</w:t>
            </w:r>
          </w:p>
        </w:tc>
      </w:tr>
      <w:tr>
        <w:trPr>
          <w:trHeight w:val="162"/>
        </w:trPr>
        <w:tc>
          <w:tcPr>
            <w:tcW w:w="6960" w:type="dxa"/>
            <w:vAlign w:val="bottom"/>
          </w:tcPr>
          <w:p>
            <w:pPr>
              <w:spacing w:after="0"/>
              <w:rPr>
                <w:sz w:val="20"/>
                <w:szCs w:val="20"/>
                <w:color w:val="auto"/>
              </w:rPr>
            </w:pPr>
            <w:r>
              <w:rPr>
                <w:rFonts w:ascii="Arial" w:cs="Arial" w:eastAsia="Arial" w:hAnsi="Arial"/>
                <w:sz w:val="14"/>
                <w:szCs w:val="14"/>
                <w:color w:val="auto"/>
              </w:rPr>
              <w:t>Item 1—Election of Directors</w:t>
            </w:r>
          </w:p>
        </w:tc>
        <w:tc>
          <w:tcPr>
            <w:tcW w:w="2620" w:type="dxa"/>
            <w:vAlign w:val="bottom"/>
          </w:tcPr>
          <w:p>
            <w:pPr>
              <w:ind w:left="1180"/>
              <w:spacing w:after="0"/>
              <w:rPr>
                <w:sz w:val="20"/>
                <w:szCs w:val="20"/>
                <w:color w:val="auto"/>
              </w:rPr>
            </w:pPr>
            <w:r>
              <w:rPr>
                <w:rFonts w:ascii="Arial" w:cs="Arial" w:eastAsia="Arial" w:hAnsi="Arial"/>
                <w:sz w:val="14"/>
                <w:szCs w:val="14"/>
                <w:color w:val="auto"/>
              </w:rPr>
              <w:t>FOR each nominee</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11</w:t>
            </w:r>
          </w:p>
        </w:tc>
      </w:tr>
      <w:tr>
        <w:trPr>
          <w:trHeight w:val="162"/>
        </w:trPr>
        <w:tc>
          <w:tcPr>
            <w:tcW w:w="6960" w:type="dxa"/>
            <w:vAlign w:val="bottom"/>
          </w:tcPr>
          <w:p>
            <w:pPr>
              <w:spacing w:after="0"/>
              <w:rPr>
                <w:sz w:val="20"/>
                <w:szCs w:val="20"/>
                <w:color w:val="auto"/>
              </w:rPr>
            </w:pPr>
            <w:r>
              <w:rPr>
                <w:rFonts w:ascii="Arial" w:cs="Arial" w:eastAsia="Arial" w:hAnsi="Arial"/>
                <w:sz w:val="14"/>
                <w:szCs w:val="14"/>
                <w:color w:val="auto"/>
              </w:rPr>
              <w:t>Item 2—Ratification of the Selection of our Independent Registered Public Accounting Firm</w:t>
            </w:r>
          </w:p>
        </w:tc>
        <w:tc>
          <w:tcPr>
            <w:tcW w:w="2620" w:type="dxa"/>
            <w:vAlign w:val="bottom"/>
          </w:tcPr>
          <w:p>
            <w:pPr>
              <w:ind w:left="1180"/>
              <w:spacing w:after="0"/>
              <w:rPr>
                <w:sz w:val="20"/>
                <w:szCs w:val="20"/>
                <w:color w:val="auto"/>
              </w:rPr>
            </w:pPr>
            <w:r>
              <w:rPr>
                <w:rFonts w:ascii="Arial" w:cs="Arial" w:eastAsia="Arial" w:hAnsi="Arial"/>
                <w:sz w:val="14"/>
                <w:szCs w:val="14"/>
                <w:color w:val="auto"/>
              </w:rPr>
              <w:t>FOR</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27</w:t>
            </w:r>
          </w:p>
        </w:tc>
      </w:tr>
      <w:tr>
        <w:trPr>
          <w:trHeight w:val="172"/>
        </w:trPr>
        <w:tc>
          <w:tcPr>
            <w:tcW w:w="6960" w:type="dxa"/>
            <w:vAlign w:val="bottom"/>
          </w:tcPr>
          <w:p>
            <w:pPr>
              <w:spacing w:after="0"/>
              <w:rPr>
                <w:sz w:val="20"/>
                <w:szCs w:val="20"/>
                <w:color w:val="auto"/>
              </w:rPr>
            </w:pPr>
            <w:r>
              <w:rPr>
                <w:rFonts w:ascii="Arial" w:cs="Arial" w:eastAsia="Arial" w:hAnsi="Arial"/>
                <w:sz w:val="14"/>
                <w:szCs w:val="14"/>
                <w:color w:val="auto"/>
              </w:rPr>
              <w:t>Item 3—Advisory Vote on Executive Compensation</w:t>
            </w:r>
          </w:p>
        </w:tc>
        <w:tc>
          <w:tcPr>
            <w:tcW w:w="2620" w:type="dxa"/>
            <w:vAlign w:val="bottom"/>
          </w:tcPr>
          <w:p>
            <w:pPr>
              <w:ind w:left="1180"/>
              <w:spacing w:after="0"/>
              <w:rPr>
                <w:sz w:val="20"/>
                <w:szCs w:val="20"/>
                <w:color w:val="auto"/>
              </w:rPr>
            </w:pPr>
            <w:r>
              <w:rPr>
                <w:rFonts w:ascii="Arial" w:cs="Arial" w:eastAsia="Arial" w:hAnsi="Arial"/>
                <w:sz w:val="14"/>
                <w:szCs w:val="14"/>
                <w:color w:val="auto"/>
              </w:rPr>
              <w:t>FOR</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144780</wp:posOffset>
            </wp:positionV>
            <wp:extent cx="6869430" cy="308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69430" cy="308610"/>
                    </a:xfrm>
                    <a:prstGeom prst="rect">
                      <a:avLst/>
                    </a:prstGeom>
                    <a:noFill/>
                  </pic:spPr>
                </pic:pic>
              </a:graphicData>
            </a:graphic>
          </wp:anchor>
        </w:drawing>
      </w:r>
    </w:p>
    <w:p>
      <w:pPr>
        <w:spacing w:after="0" w:line="391"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FFFFFF"/>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-155575</wp:posOffset>
            </wp:positionV>
            <wp:extent cx="7006590" cy="29927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06590" cy="29927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-155575</wp:posOffset>
            </wp:positionV>
            <wp:extent cx="7006590" cy="29927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06590" cy="299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0"/>
        <w:spacing w:after="0"/>
        <w:rPr>
          <w:sz w:val="20"/>
          <w:szCs w:val="20"/>
          <w:color w:val="auto"/>
        </w:rPr>
      </w:pPr>
      <w:r>
        <w:rPr>
          <w:rFonts w:ascii="Arial" w:cs="Arial" w:eastAsia="Arial" w:hAnsi="Arial"/>
          <w:sz w:val="12"/>
          <w:szCs w:val="12"/>
          <w:color w:val="1A6DB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-78105</wp:posOffset>
            </wp:positionV>
            <wp:extent cx="42037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000000"/>
                        </a:clrFrom>
                        <a:clrTo>
                          <a:srgbClr val="000000">
                            <a:alpha val="0"/>
                          </a:srgbClr>
                        </a:clrTo>
                      </a:clrChange>
                      <a:extLst>
                        <a:ext uri="{28A0092B-C50C-407E-A947-70E740481C1C}"/>
                      </a:extLst>
                    </a:blip>
                    <a:srcRect/>
                    <a:stretch>
                      <a:fillRect/>
                    </a:stretch>
                  </pic:blipFill>
                  <pic:spPr bwMode="auto">
                    <a:xfrm>
                      <a:off x="0" y="0"/>
                      <a:ext cx="420370" cy="137160"/>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-78105</wp:posOffset>
            </wp:positionV>
            <wp:extent cx="42037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42037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2"/>
          <w:szCs w:val="12"/>
          <w:color w:val="1A6DBB"/>
        </w:rPr>
        <w:t>iii-</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0"/>
        <w:spacing w:after="0"/>
        <w:rPr>
          <w:sz w:val="20"/>
          <w:szCs w:val="20"/>
          <w:color w:val="auto"/>
        </w:rPr>
      </w:pPr>
      <w:r>
        <w:rPr>
          <w:rFonts w:ascii="Arial" w:cs="Arial" w:eastAsia="Arial" w:hAnsi="Arial"/>
          <w:sz w:val="41"/>
          <w:szCs w:val="41"/>
          <w:color w:val="1A6DBB"/>
        </w:rPr>
        <w:t xml:space="preserve">Proxy Statement Summary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25400</wp:posOffset>
            </wp:positionV>
            <wp:extent cx="6997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222885</wp:posOffset>
            </wp:positionV>
            <wp:extent cx="6869430" cy="308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69430" cy="30861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FFFFFF"/>
        </w:rPr>
        <w:t>Highlights of 2018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-155575</wp:posOffset>
            </wp:positionV>
            <wp:extent cx="6938010" cy="308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38010" cy="308610"/>
                    </a:xfrm>
                    <a:prstGeom prst="rect">
                      <a:avLst/>
                    </a:prstGeom>
                    <a:noFill/>
                  </pic:spPr>
                </pic:pic>
              </a:graphicData>
            </a:graphic>
          </wp:anchor>
        </w:drawing>
      </w:r>
    </w:p>
    <w:p>
      <w:pPr>
        <w:spacing w:after="0" w:line="330" w:lineRule="exact"/>
        <w:rPr>
          <w:sz w:val="20"/>
          <w:szCs w:val="20"/>
          <w:color w:val="auto"/>
        </w:rPr>
      </w:pPr>
    </w:p>
    <w:p>
      <w:pPr>
        <w:ind w:left="200" w:right="60"/>
        <w:spacing w:after="0" w:line="248" w:lineRule="auto"/>
        <w:rPr>
          <w:sz w:val="20"/>
          <w:szCs w:val="20"/>
          <w:color w:val="auto"/>
        </w:rPr>
      </w:pPr>
      <w:r>
        <w:rPr>
          <w:rFonts w:ascii="Arial" w:cs="Arial" w:eastAsia="Arial" w:hAnsi="Arial"/>
          <w:sz w:val="16"/>
          <w:szCs w:val="16"/>
          <w:color w:val="auto"/>
        </w:rPr>
        <w:t>We are focused on discovering, developing and delivering worldwide innovative therapies for people living with serious neurological and neurodegenerative diseases as well as related therapeutic adjacencies. Our core growth areas include multiple sclerosis (MS) and neuroimmunology, Alzheimer’s disease and dementia, movement disorders, including Parkinson’s disease, and neuromuscular disorders, including spinal muscular atrophy (SMA) and amyotrophic lateral sclerosis (ALS). We are also focused on discovering, developing and delivering worldwide innovative therapies in our emerging growth areas of acute neurology, neurocognitive disorders, pain and ophthalmology. In addition, we are employing innovative technologies to discover potential treatments for rare and genetic disorders, including new ways of treating diseases through gene therapy in our core and emerging growth areas. We also commercialize biosimilars of advanced biologics. For additional information, please see our 2018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71120</wp:posOffset>
            </wp:positionV>
            <wp:extent cx="5102860" cy="11233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02860" cy="1123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1A6DBB"/>
        </w:rPr>
        <w:t>2018 Operating Performance Highlights</w:t>
      </w:r>
    </w:p>
    <w:p>
      <w:pPr>
        <w:spacing w:after="0" w:line="263" w:lineRule="exact"/>
        <w:rPr>
          <w:sz w:val="20"/>
          <w:szCs w:val="20"/>
          <w:color w:val="auto"/>
        </w:rPr>
      </w:pPr>
    </w:p>
    <w:p>
      <w:pPr>
        <w:ind w:left="420" w:hanging="216"/>
        <w:spacing w:after="0"/>
        <w:tabs>
          <w:tab w:leader="none" w:pos="420" w:val="left"/>
        </w:tabs>
        <w:numPr>
          <w:ilvl w:val="0"/>
          <w:numId w:val="8"/>
        </w:numPr>
        <w:rPr>
          <w:rFonts w:ascii="Arial" w:cs="Arial" w:eastAsia="Arial" w:hAnsi="Arial"/>
          <w:sz w:val="16"/>
          <w:szCs w:val="16"/>
          <w:color w:val="1A6DBB"/>
        </w:rPr>
      </w:pPr>
      <w:r>
        <w:rPr>
          <w:rFonts w:ascii="Arial" w:cs="Arial" w:eastAsia="Arial" w:hAnsi="Arial"/>
          <w:sz w:val="16"/>
          <w:szCs w:val="16"/>
          <w:color w:val="auto"/>
        </w:rPr>
        <w:t>Full year total revenues of $13.5 billion, a 10% increase versus the prior year.</w:t>
      </w:r>
    </w:p>
    <w:p>
      <w:pPr>
        <w:spacing w:after="0" w:line="126" w:lineRule="exact"/>
        <w:rPr>
          <w:rFonts w:ascii="Arial" w:cs="Arial" w:eastAsia="Arial" w:hAnsi="Arial"/>
          <w:sz w:val="16"/>
          <w:szCs w:val="16"/>
          <w:color w:val="1A6DBB"/>
        </w:rPr>
      </w:pPr>
    </w:p>
    <w:p>
      <w:pPr>
        <w:ind w:left="420" w:hanging="216"/>
        <w:spacing w:after="0" w:line="260" w:lineRule="auto"/>
        <w:tabs>
          <w:tab w:leader="none" w:pos="420" w:val="left"/>
        </w:tabs>
        <w:numPr>
          <w:ilvl w:val="0"/>
          <w:numId w:val="8"/>
        </w:numPr>
        <w:rPr>
          <w:rFonts w:ascii="Arial" w:cs="Arial" w:eastAsia="Arial" w:hAnsi="Arial"/>
          <w:sz w:val="16"/>
          <w:szCs w:val="16"/>
          <w:color w:val="1A6DBB"/>
        </w:rPr>
      </w:pPr>
      <w:r>
        <w:rPr>
          <w:rFonts w:ascii="Arial" w:cs="Arial" w:eastAsia="Arial" w:hAnsi="Arial"/>
          <w:sz w:val="16"/>
          <w:szCs w:val="16"/>
          <w:color w:val="auto"/>
        </w:rPr>
        <w:t>We continued the successful launch of SPINRAZA, the first approved treatment for SMA. As of December 31, 2018, there were over 6,600 patients on therapy across the post-marketing setting, the Expanded Access Program and clinical trials.</w:t>
      </w:r>
    </w:p>
    <w:p>
      <w:pPr>
        <w:spacing w:after="0" w:line="101" w:lineRule="exact"/>
        <w:rPr>
          <w:rFonts w:ascii="Arial" w:cs="Arial" w:eastAsia="Arial" w:hAnsi="Arial"/>
          <w:sz w:val="16"/>
          <w:szCs w:val="16"/>
          <w:color w:val="1A6DBB"/>
        </w:rPr>
      </w:pPr>
    </w:p>
    <w:p>
      <w:pPr>
        <w:ind w:left="420" w:right="300" w:hanging="216"/>
        <w:spacing w:after="0" w:line="260" w:lineRule="auto"/>
        <w:tabs>
          <w:tab w:leader="none" w:pos="420" w:val="left"/>
        </w:tabs>
        <w:numPr>
          <w:ilvl w:val="0"/>
          <w:numId w:val="8"/>
        </w:numPr>
        <w:rPr>
          <w:rFonts w:ascii="Arial" w:cs="Arial" w:eastAsia="Arial" w:hAnsi="Arial"/>
          <w:sz w:val="16"/>
          <w:szCs w:val="16"/>
          <w:color w:val="1A6DBB"/>
        </w:rPr>
      </w:pPr>
      <w:r>
        <w:rPr>
          <w:rFonts w:ascii="Arial" w:cs="Arial" w:eastAsia="Arial" w:hAnsi="Arial"/>
          <w:sz w:val="16"/>
          <w:szCs w:val="16"/>
          <w:color w:val="auto"/>
        </w:rPr>
        <w:t>In October 2018 we and Samsung Bioepis Co., Ltd. (Samsung Bioepis), our joint venture with Samsung BioLogics Co., Ltd. (Samsung BioLogics), launched IMRALDI, an adalimumab biosimilar referencing HUMIRA, in Europe.</w:t>
      </w:r>
    </w:p>
    <w:p>
      <w:pPr>
        <w:spacing w:after="0" w:line="101" w:lineRule="exact"/>
        <w:rPr>
          <w:rFonts w:ascii="Arial" w:cs="Arial" w:eastAsia="Arial" w:hAnsi="Arial"/>
          <w:sz w:val="16"/>
          <w:szCs w:val="16"/>
          <w:color w:val="1A6DBB"/>
        </w:rPr>
      </w:pPr>
    </w:p>
    <w:p>
      <w:pPr>
        <w:ind w:left="420" w:right="560" w:hanging="216"/>
        <w:spacing w:after="0" w:line="260" w:lineRule="auto"/>
        <w:tabs>
          <w:tab w:leader="none" w:pos="420" w:val="left"/>
        </w:tabs>
        <w:numPr>
          <w:ilvl w:val="0"/>
          <w:numId w:val="8"/>
        </w:numPr>
        <w:rPr>
          <w:rFonts w:ascii="Arial" w:cs="Arial" w:eastAsia="Arial" w:hAnsi="Arial"/>
          <w:sz w:val="16"/>
          <w:szCs w:val="16"/>
          <w:color w:val="1A6DBB"/>
        </w:rPr>
      </w:pPr>
      <w:r>
        <w:rPr>
          <w:rFonts w:ascii="Arial" w:cs="Arial" w:eastAsia="Arial" w:hAnsi="Arial"/>
          <w:sz w:val="16"/>
          <w:szCs w:val="16"/>
          <w:color w:val="auto"/>
        </w:rPr>
        <w:t>We completed six business development transactions and increased our ownership percentage in Samsung Bioepis from approximately 5% to approximately 49.9%.</w:t>
      </w:r>
    </w:p>
    <w:p>
      <w:pPr>
        <w:spacing w:after="0" w:line="101" w:lineRule="exact"/>
        <w:rPr>
          <w:rFonts w:ascii="Arial" w:cs="Arial" w:eastAsia="Arial" w:hAnsi="Arial"/>
          <w:sz w:val="16"/>
          <w:szCs w:val="16"/>
          <w:color w:val="1A6DBB"/>
        </w:rPr>
      </w:pPr>
    </w:p>
    <w:p>
      <w:pPr>
        <w:ind w:left="420" w:hanging="216"/>
        <w:spacing w:after="0" w:line="253" w:lineRule="auto"/>
        <w:tabs>
          <w:tab w:leader="none" w:pos="420" w:val="left"/>
        </w:tabs>
        <w:numPr>
          <w:ilvl w:val="0"/>
          <w:numId w:val="8"/>
        </w:numPr>
        <w:rPr>
          <w:rFonts w:ascii="Arial" w:cs="Arial" w:eastAsia="Arial" w:hAnsi="Arial"/>
          <w:sz w:val="16"/>
          <w:szCs w:val="16"/>
          <w:color w:val="1A6DBB"/>
        </w:rPr>
      </w:pPr>
      <w:r>
        <w:rPr>
          <w:rFonts w:ascii="Arial" w:cs="Arial" w:eastAsia="Arial" w:hAnsi="Arial"/>
          <w:sz w:val="16"/>
          <w:szCs w:val="16"/>
          <w:color w:val="auto"/>
        </w:rPr>
        <w:t>We added six clinical programs to our pipeline in 2018, including BIIB078 (IONIS-C9</w:t>
      </w:r>
      <w:r>
        <w:rPr>
          <w:rFonts w:ascii="Arial" w:cs="Arial" w:eastAsia="Arial" w:hAnsi="Arial"/>
          <w:sz w:val="13"/>
          <w:szCs w:val="13"/>
          <w:color w:val="auto"/>
        </w:rPr>
        <w:t>Rx</w:t>
      </w:r>
      <w:r>
        <w:rPr>
          <w:rFonts w:ascii="Arial" w:cs="Arial" w:eastAsia="Arial" w:hAnsi="Arial"/>
          <w:sz w:val="16"/>
          <w:szCs w:val="16"/>
          <w:color w:val="auto"/>
        </w:rPr>
        <w:t>) for C9ORF72-associated ALS, BIIB110 (ActRIIA/B ligand trap) for muscle enhancement in diseases such as SMA, an option to acquire TMS-007 for acute ischemic stroke, BIIB104 (AMPA receptor potentiator) for cognitive impairment associated with schizophrenia (CIAS), BIIB074 (vixotrigine) for small fiber neuropathy and BIIB095 for neuropathic pain.</w:t>
      </w:r>
    </w:p>
    <w:p>
      <w:pPr>
        <w:spacing w:after="0" w:line="106" w:lineRule="exact"/>
        <w:rPr>
          <w:rFonts w:ascii="Arial" w:cs="Arial" w:eastAsia="Arial" w:hAnsi="Arial"/>
          <w:sz w:val="16"/>
          <w:szCs w:val="16"/>
          <w:color w:val="1A6DBB"/>
        </w:rPr>
      </w:pPr>
    </w:p>
    <w:p>
      <w:pPr>
        <w:ind w:left="420" w:right="220" w:hanging="216"/>
        <w:spacing w:after="0" w:line="260" w:lineRule="auto"/>
        <w:tabs>
          <w:tab w:leader="none" w:pos="420" w:val="left"/>
        </w:tabs>
        <w:numPr>
          <w:ilvl w:val="0"/>
          <w:numId w:val="8"/>
        </w:numPr>
        <w:rPr>
          <w:rFonts w:ascii="Arial" w:cs="Arial" w:eastAsia="Arial" w:hAnsi="Arial"/>
          <w:sz w:val="16"/>
          <w:szCs w:val="16"/>
          <w:color w:val="1A6DBB"/>
        </w:rPr>
      </w:pPr>
      <w:r>
        <w:rPr>
          <w:rFonts w:ascii="Arial" w:cs="Arial" w:eastAsia="Arial" w:hAnsi="Arial"/>
          <w:sz w:val="16"/>
          <w:szCs w:val="16"/>
          <w:color w:val="auto"/>
        </w:rPr>
        <w:t>In December 2018 Alkermes Pharma Ireland Limited, a subsidiary of Alkermes plc (Alkermes), submitted a New Drug Application (NDA) to the U.S. Food and Drug Administration (FDA) for the review of BIIB098 (diroximel fumarate).</w:t>
      </w:r>
    </w:p>
    <w:p>
      <w:pPr>
        <w:spacing w:after="0" w:line="101" w:lineRule="exact"/>
        <w:rPr>
          <w:rFonts w:ascii="Arial" w:cs="Arial" w:eastAsia="Arial" w:hAnsi="Arial"/>
          <w:sz w:val="16"/>
          <w:szCs w:val="16"/>
          <w:color w:val="1A6DBB"/>
        </w:rPr>
      </w:pPr>
    </w:p>
    <w:p>
      <w:pPr>
        <w:ind w:left="420" w:right="320" w:hanging="216"/>
        <w:spacing w:after="0" w:line="260" w:lineRule="auto"/>
        <w:tabs>
          <w:tab w:leader="none" w:pos="420" w:val="left"/>
        </w:tabs>
        <w:numPr>
          <w:ilvl w:val="0"/>
          <w:numId w:val="8"/>
        </w:numPr>
        <w:rPr>
          <w:rFonts w:ascii="Arial" w:cs="Arial" w:eastAsia="Arial" w:hAnsi="Arial"/>
          <w:sz w:val="16"/>
          <w:szCs w:val="16"/>
          <w:color w:val="1A6DBB"/>
        </w:rPr>
      </w:pPr>
      <w:r>
        <w:rPr>
          <w:rFonts w:ascii="Arial" w:cs="Arial" w:eastAsia="Arial" w:hAnsi="Arial"/>
          <w:sz w:val="16"/>
          <w:szCs w:val="16"/>
          <w:color w:val="auto"/>
        </w:rPr>
        <w:t>We were awarded the 2018 International Prix Galien as Best Biotechnology Product for SPINRAZA. The prestigious honor marks the seventh Prix Galien for SPINRAZA, following country recognitions in the U.S., Germany, Italy, Belgium-Luxembourg, the Netherlands and the U.K.</w:t>
      </w:r>
    </w:p>
    <w:p>
      <w:pPr>
        <w:spacing w:after="0" w:line="101" w:lineRule="exact"/>
        <w:rPr>
          <w:rFonts w:ascii="Arial" w:cs="Arial" w:eastAsia="Arial" w:hAnsi="Arial"/>
          <w:sz w:val="16"/>
          <w:szCs w:val="16"/>
          <w:color w:val="1A6DBB"/>
        </w:rPr>
      </w:pPr>
    </w:p>
    <w:p>
      <w:pPr>
        <w:ind w:left="420" w:hanging="216"/>
        <w:spacing w:after="0"/>
        <w:tabs>
          <w:tab w:leader="none" w:pos="420" w:val="left"/>
        </w:tabs>
        <w:numPr>
          <w:ilvl w:val="0"/>
          <w:numId w:val="8"/>
        </w:numPr>
        <w:rPr>
          <w:rFonts w:ascii="Arial" w:cs="Arial" w:eastAsia="Arial" w:hAnsi="Arial"/>
          <w:sz w:val="16"/>
          <w:szCs w:val="16"/>
          <w:color w:val="1A6DBB"/>
        </w:rPr>
      </w:pPr>
      <w:r>
        <w:rPr>
          <w:rFonts w:ascii="Arial" w:cs="Arial" w:eastAsia="Arial" w:hAnsi="Arial"/>
          <w:sz w:val="16"/>
          <w:szCs w:val="16"/>
          <w:color w:val="auto"/>
        </w:rPr>
        <w:t>Throughout 2018 we repurchased approximately 14.8 million shares of our common stock at a total cost of approximately $4.4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88265</wp:posOffset>
            </wp:positionV>
            <wp:extent cx="213995" cy="2139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3995" cy="213995"/>
                    </a:xfrm>
                    <a:prstGeom prst="rect">
                      <a:avLst/>
                    </a:prstGeom>
                    <a:noFill/>
                  </pic:spPr>
                </pic:pic>
              </a:graphicData>
            </a:graphic>
          </wp:anchor>
        </w:drawing>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2"/>
          <w:szCs w:val="12"/>
          <w:color w:val="1A6DB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-78105</wp:posOffset>
            </wp:positionV>
            <wp:extent cx="42037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2037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2"/>
          <w:szCs w:val="12"/>
          <w:color w:val="1A6DBB"/>
        </w:rPr>
        <w:t>iv-</w:t>
      </w:r>
    </w:p>
    <w:p>
      <w:pPr>
        <w:sectPr>
          <w:pgSz w:w="11900" w:h="16838" w:orient="portrait"/>
          <w:cols w:equalWidth="0" w:num="1">
            <w:col w:w="11180"/>
          </w:cols>
          <w:pgMar w:left="24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336550</wp:posOffset>
            </wp:positionV>
            <wp:extent cx="6736080" cy="287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6080" cy="28702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925830</wp:posOffset>
            </wp:positionV>
            <wp:extent cx="6997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Arial" w:cs="Arial" w:eastAsia="Arial" w:hAnsi="Arial"/>
          <w:sz w:val="41"/>
          <w:szCs w:val="41"/>
          <w:color w:val="1A6DBB"/>
        </w:rPr>
        <w:t xml:space="preserve">Proxy Statement Summary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6997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291465</wp:posOffset>
            </wp:positionV>
            <wp:extent cx="6869430" cy="3086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6943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FFFFFF"/>
        </w:rPr>
        <w:t>Our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-155575</wp:posOffset>
            </wp:positionV>
            <wp:extent cx="6938010" cy="3086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38010" cy="308610"/>
                    </a:xfrm>
                    <a:prstGeom prst="rect">
                      <a:avLst/>
                    </a:prstGeom>
                    <a:noFill/>
                  </pic:spPr>
                </pic:pic>
              </a:graphicData>
            </a:graphic>
          </wp:anchor>
        </w:drawing>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1A6DBB"/>
        </w:rPr>
        <w:t>Biogen Elements</w:t>
      </w:r>
    </w:p>
    <w:p>
      <w:pPr>
        <w:spacing w:after="0" w:line="108" w:lineRule="exact"/>
        <w:rPr>
          <w:sz w:val="20"/>
          <w:szCs w:val="20"/>
          <w:color w:val="auto"/>
        </w:rPr>
      </w:pPr>
    </w:p>
    <w:p>
      <w:pPr>
        <w:ind w:left="200" w:right="60"/>
        <w:spacing w:after="0" w:line="259" w:lineRule="auto"/>
        <w:rPr>
          <w:sz w:val="20"/>
          <w:szCs w:val="20"/>
          <w:color w:val="auto"/>
        </w:rPr>
      </w:pPr>
      <w:r>
        <w:rPr>
          <w:rFonts w:ascii="Arial" w:cs="Arial" w:eastAsia="Arial" w:hAnsi="Arial"/>
          <w:sz w:val="16"/>
          <w:szCs w:val="16"/>
          <w:color w:val="auto"/>
        </w:rPr>
        <w:t xml:space="preserve">Much like the periodic table of elements documents the building blocks of the universe around us, the </w:t>
      </w:r>
      <w:r>
        <w:rPr>
          <w:rFonts w:ascii="Arial" w:cs="Arial" w:eastAsia="Arial" w:hAnsi="Arial"/>
          <w:sz w:val="16"/>
          <w:szCs w:val="16"/>
          <w:b w:val="1"/>
          <w:bCs w:val="1"/>
          <w:color w:val="1A6DBB"/>
        </w:rPr>
        <w:t>Biogen Elements</w:t>
      </w:r>
      <w:r>
        <w:rPr>
          <w:rFonts w:ascii="Arial" w:cs="Arial" w:eastAsia="Arial" w:hAnsi="Arial"/>
          <w:sz w:val="16"/>
          <w:szCs w:val="16"/>
          <w:color w:val="auto"/>
        </w:rPr>
        <w:t xml:space="preserve"> give shape to our company’s culture and are embedded into all our people processes, including performance management, goal setting and development programs and activities. The Biogen Elements drive the behaviors, actions and decisions required to achieve our strategy and promote a unified approach to our individual jobs – strengthening our mission, informing our leadership, expanding our impact and fueling our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64770</wp:posOffset>
            </wp:positionV>
            <wp:extent cx="3782060" cy="780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78206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0" w:right="160"/>
        <w:spacing w:after="0" w:line="259" w:lineRule="auto"/>
        <w:rPr>
          <w:sz w:val="20"/>
          <w:szCs w:val="20"/>
          <w:color w:val="auto"/>
        </w:rPr>
      </w:pPr>
      <w:r>
        <w:rPr>
          <w:rFonts w:ascii="Arial" w:cs="Arial" w:eastAsia="Arial" w:hAnsi="Arial"/>
          <w:sz w:val="16"/>
          <w:szCs w:val="16"/>
          <w:color w:val="auto"/>
        </w:rPr>
        <w:t xml:space="preserve">As we remain focused on discovering, developing and delivering worldwide innovative therapies, we remain </w:t>
      </w:r>
      <w:r>
        <w:rPr>
          <w:rFonts w:ascii="Arial" w:cs="Arial" w:eastAsia="Arial" w:hAnsi="Arial"/>
          <w:sz w:val="16"/>
          <w:szCs w:val="16"/>
          <w:b w:val="1"/>
          <w:bCs w:val="1"/>
          <w:color w:val="1A6DBB"/>
        </w:rPr>
        <w:t>customer focused</w:t>
      </w:r>
      <w:r>
        <w:rPr>
          <w:rFonts w:ascii="Arial" w:cs="Arial" w:eastAsia="Arial" w:hAnsi="Arial"/>
          <w:sz w:val="16"/>
          <w:szCs w:val="16"/>
          <w:color w:val="auto"/>
        </w:rPr>
        <w:t xml:space="preserve">. We keep patients, payers and physicians front and center in our daily work and collaborate to solve critical scientific and business challenges. In doing so, we foster an </w:t>
      </w:r>
      <w:r>
        <w:rPr>
          <w:rFonts w:ascii="Arial" w:cs="Arial" w:eastAsia="Arial" w:hAnsi="Arial"/>
          <w:sz w:val="16"/>
          <w:szCs w:val="16"/>
          <w:b w:val="1"/>
          <w:bCs w:val="1"/>
          <w:color w:val="1A6DBB"/>
        </w:rPr>
        <w:t xml:space="preserve">inclusive </w:t>
      </w:r>
      <w:r>
        <w:rPr>
          <w:rFonts w:ascii="Arial" w:cs="Arial" w:eastAsia="Arial" w:hAnsi="Arial"/>
          <w:sz w:val="16"/>
          <w:szCs w:val="16"/>
          <w:color w:val="000000"/>
        </w:rPr>
        <w:t>community, both internally and externally. We work in partnership to break down siloes and encourage diverse perspectives and backgrounds</w:t>
      </w:r>
      <w:r>
        <w:rPr>
          <w:rFonts w:ascii="Arial" w:cs="Arial" w:eastAsia="Arial" w:hAnsi="Arial"/>
          <w:sz w:val="16"/>
          <w:szCs w:val="16"/>
          <w:b w:val="1"/>
          <w:bCs w:val="1"/>
          <w:color w:val="1A6DBB"/>
        </w:rPr>
        <w:t xml:space="preserve"> </w:t>
      </w:r>
      <w:r>
        <w:rPr>
          <w:rFonts w:ascii="Arial" w:cs="Arial" w:eastAsia="Arial" w:hAnsi="Arial"/>
          <w:sz w:val="16"/>
          <w:szCs w:val="16"/>
          <w:color w:val="000000"/>
        </w:rPr>
        <w:t>at all levels.</w:t>
      </w:r>
    </w:p>
    <w:p>
      <w:pPr>
        <w:spacing w:after="0" w:line="70" w:lineRule="exact"/>
        <w:rPr>
          <w:sz w:val="20"/>
          <w:szCs w:val="20"/>
          <w:color w:val="auto"/>
        </w:rPr>
      </w:pPr>
    </w:p>
    <w:p>
      <w:pPr>
        <w:ind w:left="200" w:right="40"/>
        <w:spacing w:after="0" w:line="266"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1A6DBB"/>
        </w:rPr>
        <w:t>pioneering</w:t>
      </w:r>
      <w:r>
        <w:rPr>
          <w:rFonts w:ascii="Arial" w:cs="Arial" w:eastAsia="Arial" w:hAnsi="Arial"/>
          <w:sz w:val="16"/>
          <w:szCs w:val="16"/>
          <w:color w:val="auto"/>
        </w:rPr>
        <w:t xml:space="preserve"> spirit permeates our work. We challenge the status quo and experiment to create new possibilities. We are not afraid to take calculated risks and learn from failure. We are resilient and </w:t>
      </w:r>
      <w:r>
        <w:rPr>
          <w:rFonts w:ascii="Arial" w:cs="Arial" w:eastAsia="Arial" w:hAnsi="Arial"/>
          <w:sz w:val="16"/>
          <w:szCs w:val="16"/>
          <w:b w:val="1"/>
          <w:bCs w:val="1"/>
          <w:color w:val="1A6DBB"/>
        </w:rPr>
        <w:t>agile</w:t>
      </w:r>
      <w:r>
        <w:rPr>
          <w:rFonts w:ascii="Arial" w:cs="Arial" w:eastAsia="Arial" w:hAnsi="Arial"/>
          <w:sz w:val="16"/>
          <w:szCs w:val="16"/>
          <w:color w:val="auto"/>
        </w:rPr>
        <w:t>, adapting in response to internal changes and external disruptors, and developing solutions quickly to take advantage of emerging opportunities.</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As pioneers and leaders, we hold ourselves </w:t>
      </w:r>
      <w:r>
        <w:rPr>
          <w:rFonts w:ascii="Arial" w:cs="Arial" w:eastAsia="Arial" w:hAnsi="Arial"/>
          <w:sz w:val="16"/>
          <w:szCs w:val="16"/>
          <w:b w:val="1"/>
          <w:bCs w:val="1"/>
          <w:color w:val="1A6DBB"/>
        </w:rPr>
        <w:t>accountable</w:t>
      </w:r>
      <w:r>
        <w:rPr>
          <w:rFonts w:ascii="Arial" w:cs="Arial" w:eastAsia="Arial" w:hAnsi="Arial"/>
          <w:sz w:val="16"/>
          <w:szCs w:val="16"/>
          <w:color w:val="auto"/>
        </w:rPr>
        <w:t xml:space="preserve"> for our work and results. We honor our commitments and we never compromise our integrity.</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We sustain an </w:t>
      </w:r>
      <w:r>
        <w:rPr>
          <w:rFonts w:ascii="Arial" w:cs="Arial" w:eastAsia="Arial" w:hAnsi="Arial"/>
          <w:sz w:val="16"/>
          <w:szCs w:val="16"/>
          <w:b w:val="1"/>
          <w:bCs w:val="1"/>
          <w:color w:val="1A6DBB"/>
        </w:rPr>
        <w:t>ethical</w:t>
      </w:r>
      <w:r>
        <w:rPr>
          <w:rFonts w:ascii="Arial" w:cs="Arial" w:eastAsia="Arial" w:hAnsi="Arial"/>
          <w:sz w:val="16"/>
          <w:szCs w:val="16"/>
          <w:color w:val="auto"/>
        </w:rPr>
        <w:t xml:space="preserve"> environment of trust, honesty and transparency while ensuring appropriate confidentiality.</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1A6DBB"/>
        </w:rPr>
        <w:t>Environmental Sustainability</w:t>
      </w:r>
    </w:p>
    <w:p>
      <w:pPr>
        <w:spacing w:after="0" w:line="128" w:lineRule="exact"/>
        <w:rPr>
          <w:sz w:val="20"/>
          <w:szCs w:val="20"/>
          <w:color w:val="auto"/>
        </w:rPr>
      </w:pPr>
    </w:p>
    <w:p>
      <w:pPr>
        <w:ind w:left="200" w:right="160"/>
        <w:spacing w:after="0" w:line="253" w:lineRule="auto"/>
        <w:rPr>
          <w:sz w:val="20"/>
          <w:szCs w:val="20"/>
          <w:color w:val="auto"/>
        </w:rPr>
      </w:pPr>
      <w:r>
        <w:rPr>
          <w:rFonts w:ascii="Arial" w:cs="Arial" w:eastAsia="Arial" w:hAnsi="Arial"/>
          <w:sz w:val="16"/>
          <w:szCs w:val="16"/>
          <w:color w:val="auto"/>
        </w:rPr>
        <w:t>We are committed to solving environmental challenges. We work to improve our operational impact on the environment and have adopted strong sustainability policies. We aspire to be a catalyst for positive change by addressing environmental impacts resulting from our business, including carbon and water, and by increasing the environmental and social performance of our supply chain.</w:t>
      </w:r>
    </w:p>
    <w:p>
      <w:pPr>
        <w:spacing w:after="0" w:line="93"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color w:val="auto"/>
        </w:rPr>
        <w:t>As part of this commitment, we utilize a science-based approach to reduce our environmental footprint, demonstrated by our Science Based Targets Initiative-approved 2030 absolute greenhouse gas reduction target of 35%. Our practice of using science to inform our targets when possible is part of our broader commitment to context-based sustainability. We embrace green chemistry as an opportunity to improve sustainability in our operations, and we work to find new and better ways to minimize waste and maintain zero waste to landfill in our manufacturing facilities.</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2018 accomplishments include:</w:t>
      </w:r>
    </w:p>
    <w:p>
      <w:pPr>
        <w:spacing w:after="0" w:line="46" w:lineRule="exact"/>
        <w:rPr>
          <w:sz w:val="20"/>
          <w:szCs w:val="20"/>
          <w:color w:val="auto"/>
        </w:rPr>
      </w:pPr>
    </w:p>
    <w:p>
      <w:pPr>
        <w:ind w:left="420" w:hanging="216"/>
        <w:spacing w:after="0"/>
        <w:tabs>
          <w:tab w:leader="none" w:pos="420" w:val="left"/>
        </w:tabs>
        <w:numPr>
          <w:ilvl w:val="0"/>
          <w:numId w:val="9"/>
        </w:numPr>
        <w:rPr>
          <w:rFonts w:ascii="Arial" w:cs="Arial" w:eastAsia="Arial" w:hAnsi="Arial"/>
          <w:sz w:val="16"/>
          <w:szCs w:val="16"/>
          <w:color w:val="1A6DBB"/>
        </w:rPr>
      </w:pPr>
      <w:r>
        <w:rPr>
          <w:rFonts w:ascii="Arial" w:cs="Arial" w:eastAsia="Arial" w:hAnsi="Arial"/>
          <w:sz w:val="16"/>
          <w:szCs w:val="16"/>
          <w:color w:val="auto"/>
        </w:rPr>
        <w:t>Named the Biotechnology Industry Leader on the Dow Jones Sustainability World Index.</w:t>
      </w:r>
    </w:p>
    <w:p>
      <w:pPr>
        <w:spacing w:after="0" w:line="126" w:lineRule="exact"/>
        <w:rPr>
          <w:rFonts w:ascii="Arial" w:cs="Arial" w:eastAsia="Arial" w:hAnsi="Arial"/>
          <w:sz w:val="16"/>
          <w:szCs w:val="16"/>
          <w:color w:val="1A6DBB"/>
        </w:rPr>
      </w:pPr>
    </w:p>
    <w:p>
      <w:pPr>
        <w:ind w:left="420" w:hanging="216"/>
        <w:spacing w:after="0"/>
        <w:tabs>
          <w:tab w:leader="none" w:pos="420" w:val="left"/>
        </w:tabs>
        <w:numPr>
          <w:ilvl w:val="0"/>
          <w:numId w:val="9"/>
        </w:numPr>
        <w:rPr>
          <w:rFonts w:ascii="Arial" w:cs="Arial" w:eastAsia="Arial" w:hAnsi="Arial"/>
          <w:sz w:val="16"/>
          <w:szCs w:val="16"/>
          <w:color w:val="1A6DBB"/>
        </w:rPr>
      </w:pPr>
      <w:r>
        <w:rPr>
          <w:rFonts w:ascii="Arial" w:cs="Arial" w:eastAsia="Arial" w:hAnsi="Arial"/>
          <w:sz w:val="16"/>
          <w:szCs w:val="16"/>
          <w:color w:val="auto"/>
        </w:rPr>
        <w:t>Recognized as a corporate sustainability leader with Gold Class and Industry Mover Sustainability Awards from RobecoSAM.</w:t>
      </w:r>
    </w:p>
    <w:p>
      <w:pPr>
        <w:spacing w:after="0" w:line="126" w:lineRule="exact"/>
        <w:rPr>
          <w:rFonts w:ascii="Arial" w:cs="Arial" w:eastAsia="Arial" w:hAnsi="Arial"/>
          <w:sz w:val="16"/>
          <w:szCs w:val="16"/>
          <w:color w:val="1A6DBB"/>
        </w:rPr>
      </w:pPr>
    </w:p>
    <w:p>
      <w:pPr>
        <w:ind w:left="420" w:hanging="216"/>
        <w:spacing w:after="0"/>
        <w:tabs>
          <w:tab w:leader="none" w:pos="420" w:val="left"/>
        </w:tabs>
        <w:numPr>
          <w:ilvl w:val="0"/>
          <w:numId w:val="9"/>
        </w:numPr>
        <w:rPr>
          <w:rFonts w:ascii="Arial" w:cs="Arial" w:eastAsia="Arial" w:hAnsi="Arial"/>
          <w:sz w:val="16"/>
          <w:szCs w:val="16"/>
          <w:color w:val="1A6DBB"/>
        </w:rPr>
      </w:pPr>
      <w:r>
        <w:rPr>
          <w:rFonts w:ascii="Arial" w:cs="Arial" w:eastAsia="Arial" w:hAnsi="Arial"/>
          <w:sz w:val="16"/>
          <w:szCs w:val="16"/>
          <w:color w:val="auto"/>
        </w:rPr>
        <w:t>Continued commitment to operational carbon neutrality highlighted through the use of 100% renewable electricity globally.</w:t>
      </w:r>
    </w:p>
    <w:p>
      <w:pPr>
        <w:spacing w:after="0" w:line="126" w:lineRule="exact"/>
        <w:rPr>
          <w:rFonts w:ascii="Arial" w:cs="Arial" w:eastAsia="Arial" w:hAnsi="Arial"/>
          <w:sz w:val="16"/>
          <w:szCs w:val="16"/>
          <w:color w:val="1A6DBB"/>
        </w:rPr>
      </w:pPr>
    </w:p>
    <w:p>
      <w:pPr>
        <w:ind w:left="420" w:right="160" w:hanging="216"/>
        <w:spacing w:after="0" w:line="260" w:lineRule="auto"/>
        <w:tabs>
          <w:tab w:leader="none" w:pos="420" w:val="left"/>
        </w:tabs>
        <w:numPr>
          <w:ilvl w:val="0"/>
          <w:numId w:val="9"/>
        </w:numPr>
        <w:rPr>
          <w:rFonts w:ascii="Arial" w:cs="Arial" w:eastAsia="Arial" w:hAnsi="Arial"/>
          <w:sz w:val="16"/>
          <w:szCs w:val="16"/>
          <w:color w:val="1A6DBB"/>
        </w:rPr>
      </w:pPr>
      <w:r>
        <w:rPr>
          <w:rFonts w:ascii="Arial" w:cs="Arial" w:eastAsia="Arial" w:hAnsi="Arial"/>
          <w:sz w:val="16"/>
          <w:szCs w:val="16"/>
          <w:color w:val="auto"/>
        </w:rPr>
        <w:t>Committed to reduce carbon emissions by a targeted amount approved by the Science Based Target Initiative, to align ourselves with the global goal of limiting global temperature rise to under two degrees Celsius.</w:t>
      </w:r>
    </w:p>
    <w:p>
      <w:pPr>
        <w:spacing w:after="0" w:line="101" w:lineRule="exact"/>
        <w:rPr>
          <w:rFonts w:ascii="Arial" w:cs="Arial" w:eastAsia="Arial" w:hAnsi="Arial"/>
          <w:sz w:val="16"/>
          <w:szCs w:val="16"/>
          <w:color w:val="1A6DBB"/>
        </w:rPr>
      </w:pPr>
    </w:p>
    <w:p>
      <w:pPr>
        <w:ind w:left="420" w:hanging="216"/>
        <w:spacing w:after="0"/>
        <w:tabs>
          <w:tab w:leader="none" w:pos="420" w:val="left"/>
        </w:tabs>
        <w:numPr>
          <w:ilvl w:val="0"/>
          <w:numId w:val="9"/>
        </w:numPr>
        <w:rPr>
          <w:rFonts w:ascii="Arial" w:cs="Arial" w:eastAsia="Arial" w:hAnsi="Arial"/>
          <w:sz w:val="16"/>
          <w:szCs w:val="16"/>
          <w:color w:val="1A6DBB"/>
        </w:rPr>
      </w:pPr>
      <w:r>
        <w:rPr>
          <w:rFonts w:ascii="Arial" w:cs="Arial" w:eastAsia="Arial" w:hAnsi="Arial"/>
          <w:sz w:val="16"/>
          <w:szCs w:val="16"/>
          <w:color w:val="auto"/>
        </w:rPr>
        <w:t>Earned Carbon Disclosure Project (CDP) scores of A, A- and B in the areas of Supplier Engagement, Climate Change and Water, respectively.</w:t>
      </w:r>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1A6DBB"/>
        </w:rPr>
        <w:t>Diversity and Inclusion</w:t>
      </w:r>
    </w:p>
    <w:p>
      <w:pPr>
        <w:spacing w:after="0" w:line="128" w:lineRule="exact"/>
        <w:rPr>
          <w:sz w:val="20"/>
          <w:szCs w:val="20"/>
          <w:color w:val="auto"/>
        </w:rPr>
      </w:pPr>
    </w:p>
    <w:p>
      <w:pPr>
        <w:ind w:left="200" w:right="20"/>
        <w:spacing w:after="0" w:line="253" w:lineRule="auto"/>
        <w:rPr>
          <w:sz w:val="20"/>
          <w:szCs w:val="20"/>
          <w:color w:val="auto"/>
        </w:rPr>
      </w:pPr>
      <w:r>
        <w:rPr>
          <w:rFonts w:ascii="Arial" w:cs="Arial" w:eastAsia="Arial" w:hAnsi="Arial"/>
          <w:sz w:val="16"/>
          <w:szCs w:val="16"/>
          <w:color w:val="auto"/>
        </w:rPr>
        <w:t>We believe that diversity in all forms is a key to our success. Different perspectives make us stronger as a business. Our diversity and inclusion strategy touches every facet of our business, focusing on three key components: expanding workforce diversity, improving health outcomes for underserved global patient populations and developing a sustainable, diverse supplier base.</w:t>
      </w:r>
    </w:p>
    <w:p>
      <w:pPr>
        <w:spacing w:after="0" w:line="77" w:lineRule="exact"/>
        <w:rPr>
          <w:sz w:val="20"/>
          <w:szCs w:val="20"/>
          <w:color w:val="auto"/>
        </w:rPr>
      </w:pPr>
    </w:p>
    <w:p>
      <w:pPr>
        <w:ind w:left="200" w:right="160"/>
        <w:spacing w:after="0" w:line="258" w:lineRule="auto"/>
        <w:rPr>
          <w:sz w:val="20"/>
          <w:szCs w:val="20"/>
          <w:color w:val="auto"/>
        </w:rPr>
      </w:pPr>
      <w:r>
        <w:rPr>
          <w:rFonts w:ascii="Arial" w:cs="Arial" w:eastAsia="Arial" w:hAnsi="Arial"/>
          <w:sz w:val="16"/>
          <w:szCs w:val="16"/>
          <w:color w:val="auto"/>
        </w:rPr>
        <w:t xml:space="preserve">We are honored to be recognized as a company of choice. In 2018 Biogen was ranked #51 on the </w:t>
      </w:r>
      <w:r>
        <w:rPr>
          <w:rFonts w:ascii="Arial" w:cs="Arial" w:eastAsia="Arial" w:hAnsi="Arial"/>
          <w:sz w:val="16"/>
          <w:szCs w:val="16"/>
          <w:i w:val="1"/>
          <w:iCs w:val="1"/>
          <w:color w:val="auto"/>
        </w:rPr>
        <w:t>Forbes</w:t>
      </w:r>
      <w:r>
        <w:rPr>
          <w:rFonts w:ascii="Arial" w:cs="Arial" w:eastAsia="Arial" w:hAnsi="Arial"/>
          <w:sz w:val="16"/>
          <w:szCs w:val="16"/>
          <w:color w:val="auto"/>
        </w:rPr>
        <w:t xml:space="preserve"> list of World’s Best Employers, as well as one of the Best Employers for Women (at #38). We scored 100% on the 2018 Disability Equality Index, which measures our policies and practices related to disability inclusion. Additionally, for the fifth consecutive year, we were recognized as a Best Place to Work for LGBTQ Equality by the Human Rights Campaign, scoring 100% on their Corporate Equality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73025</wp:posOffset>
            </wp:positionV>
            <wp:extent cx="196850" cy="2139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6850" cy="21399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154" w:lineRule="exact"/>
        <w:rPr>
          <w:sz w:val="20"/>
          <w:szCs w:val="20"/>
          <w:color w:val="auto"/>
        </w:rPr>
      </w:pPr>
    </w:p>
    <w:p>
      <w:pPr>
        <w:ind w:left="400"/>
        <w:spacing w:after="0"/>
        <w:rPr>
          <w:sz w:val="20"/>
          <w:szCs w:val="20"/>
          <w:color w:val="auto"/>
        </w:rPr>
      </w:pPr>
      <w:r>
        <w:rPr>
          <w:rFonts w:ascii="Arial" w:cs="Arial" w:eastAsia="Arial" w:hAnsi="Arial"/>
          <w:sz w:val="12"/>
          <w:szCs w:val="12"/>
          <w:color w:val="1A6DB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-78105</wp:posOffset>
            </wp:positionV>
            <wp:extent cx="42037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2037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2"/>
          <w:szCs w:val="12"/>
          <w:color w:val="1A6DBB"/>
        </w:rPr>
        <w:t>v-</w:t>
      </w:r>
    </w:p>
    <w:p>
      <w:pPr>
        <w:sectPr>
          <w:pgSz w:w="11900" w:h="16838" w:orient="portrait"/>
          <w:cols w:equalWidth="0" w:num="1">
            <w:col w:w="11220"/>
          </w:cols>
          <w:pgMar w:left="240" w:top="459" w:right="4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336550</wp:posOffset>
            </wp:positionV>
            <wp:extent cx="6736080" cy="2870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6080" cy="28702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925830</wp:posOffset>
            </wp:positionV>
            <wp:extent cx="6997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Arial" w:cs="Arial" w:eastAsia="Arial" w:hAnsi="Arial"/>
          <w:sz w:val="41"/>
          <w:szCs w:val="41"/>
          <w:color w:val="1A6DBB"/>
        </w:rPr>
        <w:t xml:space="preserve">Proxy Statement Summary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6997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291465</wp:posOffset>
            </wp:positionV>
            <wp:extent cx="6800850" cy="3086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0085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FFFFF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-155575</wp:posOffset>
            </wp:positionV>
            <wp:extent cx="6938010" cy="3086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38010" cy="30861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00" w:right="260"/>
        <w:spacing w:after="0" w:line="251" w:lineRule="auto"/>
        <w:rPr>
          <w:sz w:val="20"/>
          <w:szCs w:val="20"/>
          <w:color w:val="auto"/>
        </w:rPr>
      </w:pPr>
      <w:r>
        <w:rPr>
          <w:rFonts w:ascii="Arial" w:cs="Arial" w:eastAsia="Arial" w:hAnsi="Arial"/>
          <w:sz w:val="16"/>
          <w:szCs w:val="16"/>
          <w:color w:val="auto"/>
        </w:rPr>
        <w:t>We are committed to the highest standards of ethics, business integrity and corporate governance, which we believe will ensure that our company is managed for the long-term benefit of our stockholders. Our governance practices are designed to establish and preserve accountability of our Board of Directors and management, provide a structure that allows our Board to set objectives and monitor performance, ensure the efficient use and accountability of resources and enhance stockholder value. Please see Part 2 – “Corporate Governance at Biogen” for more information.</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1A6DBB"/>
        </w:rPr>
        <w:t>Corporate Governance Highlights</w:t>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380" w:type="dxa"/>
            <w:vAlign w:val="bottom"/>
            <w:shd w:val="clear" w:color="auto" w:fill="1A6DBB"/>
          </w:tcPr>
          <w:p>
            <w:pPr>
              <w:jc w:val="center"/>
              <w:ind w:left="488"/>
              <w:spacing w:after="0"/>
              <w:rPr>
                <w:sz w:val="20"/>
                <w:szCs w:val="20"/>
                <w:color w:val="auto"/>
              </w:rPr>
            </w:pPr>
            <w:r>
              <w:rPr>
                <w:rFonts w:ascii="Arial" w:cs="Arial" w:eastAsia="Arial" w:hAnsi="Arial"/>
                <w:sz w:val="14"/>
                <w:szCs w:val="14"/>
                <w:color w:val="FFFFFF"/>
              </w:rPr>
              <w:t>Board and Board Committees</w:t>
            </w:r>
          </w:p>
        </w:tc>
        <w:tc>
          <w:tcPr>
            <w:tcW w:w="640" w:type="dxa"/>
            <w:vAlign w:val="bottom"/>
            <w:shd w:val="clear" w:color="auto" w:fill="1A6DBB"/>
          </w:tcPr>
          <w:p>
            <w:pPr>
              <w:spacing w:after="0"/>
              <w:rPr>
                <w:sz w:val="15"/>
                <w:szCs w:val="15"/>
                <w:color w:val="auto"/>
              </w:rPr>
            </w:pPr>
          </w:p>
        </w:tc>
      </w:tr>
      <w:tr>
        <w:trPr>
          <w:trHeight w:val="162"/>
        </w:trPr>
        <w:tc>
          <w:tcPr>
            <w:tcW w:w="10400" w:type="dxa"/>
            <w:vAlign w:val="bottom"/>
            <w:tcBorders>
              <w:bottom w:val="single" w:sz="8" w:color="1A6DBB"/>
            </w:tcBorders>
            <w:gridSpan w:val="2"/>
          </w:tcPr>
          <w:p>
            <w:pPr>
              <w:spacing w:after="0"/>
              <w:rPr>
                <w:sz w:val="20"/>
                <w:szCs w:val="20"/>
                <w:color w:val="auto"/>
              </w:rPr>
            </w:pPr>
            <w:r>
              <w:rPr>
                <w:rFonts w:ascii="Arial" w:cs="Arial" w:eastAsia="Arial" w:hAnsi="Arial"/>
                <w:sz w:val="14"/>
                <w:szCs w:val="14"/>
                <w:color w:val="auto"/>
              </w:rPr>
              <w:t>Number of Independent Director Nominees/Total Number of Director Nominees</w:t>
            </w:r>
          </w:p>
        </w:tc>
        <w:tc>
          <w:tcPr>
            <w:tcW w:w="640" w:type="dxa"/>
            <w:vAlign w:val="bottom"/>
            <w:tcBorders>
              <w:bottom w:val="single" w:sz="8" w:color="1A6DBB"/>
            </w:tcBorders>
          </w:tcPr>
          <w:p>
            <w:pPr>
              <w:jc w:val="right"/>
              <w:spacing w:after="0"/>
              <w:rPr>
                <w:sz w:val="20"/>
                <w:szCs w:val="20"/>
                <w:color w:val="auto"/>
              </w:rPr>
            </w:pPr>
            <w:r>
              <w:rPr>
                <w:rFonts w:ascii="Arial" w:cs="Arial" w:eastAsia="Arial" w:hAnsi="Arial"/>
                <w:sz w:val="14"/>
                <w:szCs w:val="14"/>
                <w:color w:val="auto"/>
              </w:rPr>
              <w:t>13/14</w:t>
            </w:r>
          </w:p>
        </w:tc>
      </w:tr>
      <w:tr>
        <w:trPr>
          <w:trHeight w:val="156"/>
        </w:trPr>
        <w:tc>
          <w:tcPr>
            <w:tcW w:w="10400" w:type="dxa"/>
            <w:vAlign w:val="bottom"/>
            <w:tcBorders>
              <w:bottom w:val="single" w:sz="8" w:color="1A6DBB"/>
            </w:tcBorders>
            <w:gridSpan w:val="2"/>
          </w:tcPr>
          <w:p>
            <w:pPr>
              <w:spacing w:after="0" w:line="155" w:lineRule="exact"/>
              <w:rPr>
                <w:sz w:val="20"/>
                <w:szCs w:val="20"/>
                <w:color w:val="auto"/>
              </w:rPr>
            </w:pPr>
            <w:r>
              <w:rPr>
                <w:rFonts w:ascii="Arial" w:cs="Arial" w:eastAsia="Arial" w:hAnsi="Arial"/>
                <w:sz w:val="14"/>
                <w:szCs w:val="14"/>
                <w:color w:val="auto"/>
              </w:rPr>
              <w:t>Number of Female Director Nominees/Total Number of Director Nominees</w:t>
            </w:r>
          </w:p>
        </w:tc>
        <w:tc>
          <w:tcPr>
            <w:tcW w:w="640" w:type="dxa"/>
            <w:vAlign w:val="bottom"/>
            <w:tcBorders>
              <w:bottom w:val="single" w:sz="8" w:color="1A6DBB"/>
            </w:tcBorders>
          </w:tcPr>
          <w:p>
            <w:pPr>
              <w:jc w:val="right"/>
              <w:spacing w:after="0" w:line="155" w:lineRule="exact"/>
              <w:rPr>
                <w:sz w:val="20"/>
                <w:szCs w:val="20"/>
                <w:color w:val="auto"/>
              </w:rPr>
            </w:pPr>
            <w:r>
              <w:rPr>
                <w:rFonts w:ascii="Arial" w:cs="Arial" w:eastAsia="Arial" w:hAnsi="Arial"/>
                <w:sz w:val="14"/>
                <w:szCs w:val="14"/>
                <w:color w:val="auto"/>
              </w:rPr>
              <w:t>3/14</w:t>
            </w:r>
          </w:p>
        </w:tc>
      </w:tr>
      <w:tr>
        <w:trPr>
          <w:trHeight w:val="156"/>
        </w:trPr>
        <w:tc>
          <w:tcPr>
            <w:tcW w:w="10400" w:type="dxa"/>
            <w:vAlign w:val="bottom"/>
            <w:tcBorders>
              <w:bottom w:val="single" w:sz="8" w:color="1A6DBB"/>
            </w:tcBorders>
            <w:gridSpan w:val="2"/>
          </w:tcPr>
          <w:p>
            <w:pPr>
              <w:spacing w:after="0" w:line="155" w:lineRule="exact"/>
              <w:rPr>
                <w:sz w:val="20"/>
                <w:szCs w:val="20"/>
                <w:color w:val="auto"/>
              </w:rPr>
            </w:pPr>
            <w:r>
              <w:rPr>
                <w:rFonts w:ascii="Arial" w:cs="Arial" w:eastAsia="Arial" w:hAnsi="Arial"/>
                <w:sz w:val="14"/>
                <w:szCs w:val="14"/>
                <w:color w:val="auto"/>
              </w:rPr>
              <w:t>Number of Director Nominees of International Origin/Total Number of Director Nominees</w:t>
            </w:r>
          </w:p>
        </w:tc>
        <w:tc>
          <w:tcPr>
            <w:tcW w:w="640" w:type="dxa"/>
            <w:vAlign w:val="bottom"/>
            <w:tcBorders>
              <w:bottom w:val="single" w:sz="8" w:color="1A6DBB"/>
            </w:tcBorders>
          </w:tcPr>
          <w:p>
            <w:pPr>
              <w:jc w:val="right"/>
              <w:spacing w:after="0" w:line="155" w:lineRule="exact"/>
              <w:rPr>
                <w:sz w:val="20"/>
                <w:szCs w:val="20"/>
                <w:color w:val="auto"/>
              </w:rPr>
            </w:pPr>
            <w:r>
              <w:rPr>
                <w:rFonts w:ascii="Arial" w:cs="Arial" w:eastAsia="Arial" w:hAnsi="Arial"/>
                <w:sz w:val="14"/>
                <w:szCs w:val="14"/>
                <w:color w:val="auto"/>
              </w:rPr>
              <w:t>3/14</w:t>
            </w:r>
          </w:p>
        </w:tc>
      </w:tr>
      <w:tr>
        <w:trPr>
          <w:trHeight w:val="156"/>
        </w:trPr>
        <w:tc>
          <w:tcPr>
            <w:tcW w:w="10400" w:type="dxa"/>
            <w:vAlign w:val="bottom"/>
            <w:tcBorders>
              <w:bottom w:val="single" w:sz="8" w:color="1A6DBB"/>
            </w:tcBorders>
            <w:gridSpan w:val="2"/>
          </w:tcPr>
          <w:p>
            <w:pPr>
              <w:spacing w:after="0" w:line="155" w:lineRule="exact"/>
              <w:rPr>
                <w:sz w:val="20"/>
                <w:szCs w:val="20"/>
                <w:color w:val="auto"/>
              </w:rPr>
            </w:pPr>
            <w:r>
              <w:rPr>
                <w:rFonts w:ascii="Arial" w:cs="Arial" w:eastAsia="Arial" w:hAnsi="Arial"/>
                <w:sz w:val="14"/>
                <w:szCs w:val="14"/>
                <w:color w:val="auto"/>
              </w:rPr>
              <w:t>Average Age of Directors Standing for Election (as of April 22, 2019)</w:t>
            </w:r>
          </w:p>
        </w:tc>
        <w:tc>
          <w:tcPr>
            <w:tcW w:w="640" w:type="dxa"/>
            <w:vAlign w:val="bottom"/>
            <w:tcBorders>
              <w:bottom w:val="single" w:sz="8" w:color="1A6DBB"/>
            </w:tcBorders>
          </w:tcPr>
          <w:p>
            <w:pPr>
              <w:jc w:val="right"/>
              <w:spacing w:after="0" w:line="155" w:lineRule="exact"/>
              <w:rPr>
                <w:sz w:val="20"/>
                <w:szCs w:val="20"/>
                <w:color w:val="auto"/>
              </w:rPr>
            </w:pPr>
            <w:r>
              <w:rPr>
                <w:rFonts w:ascii="Arial" w:cs="Arial" w:eastAsia="Arial" w:hAnsi="Arial"/>
                <w:sz w:val="14"/>
                <w:szCs w:val="14"/>
                <w:color w:val="auto"/>
              </w:rPr>
              <w:t>63</w:t>
            </w:r>
          </w:p>
        </w:tc>
      </w:tr>
      <w:tr>
        <w:trPr>
          <w:trHeight w:val="156"/>
        </w:trPr>
        <w:tc>
          <w:tcPr>
            <w:tcW w:w="10400" w:type="dxa"/>
            <w:vAlign w:val="bottom"/>
            <w:tcBorders>
              <w:bottom w:val="single" w:sz="8" w:color="1A6DBB"/>
            </w:tcBorders>
            <w:gridSpan w:val="2"/>
          </w:tcPr>
          <w:p>
            <w:pPr>
              <w:spacing w:after="0" w:line="155" w:lineRule="exact"/>
              <w:rPr>
                <w:sz w:val="20"/>
                <w:szCs w:val="20"/>
                <w:color w:val="auto"/>
              </w:rPr>
            </w:pPr>
            <w:r>
              <w:rPr>
                <w:rFonts w:ascii="Arial" w:cs="Arial" w:eastAsia="Arial" w:hAnsi="Arial"/>
                <w:sz w:val="14"/>
                <w:szCs w:val="14"/>
                <w:color w:val="auto"/>
              </w:rPr>
              <w:t>All Board Committees Consist of Independent Directors</w:t>
            </w:r>
          </w:p>
        </w:tc>
        <w:tc>
          <w:tcPr>
            <w:tcW w:w="640" w:type="dxa"/>
            <w:vAlign w:val="bottom"/>
            <w:tcBorders>
              <w:bottom w:val="single" w:sz="8" w:color="1A6DBB"/>
            </w:tcBorders>
          </w:tcPr>
          <w:p>
            <w:pPr>
              <w:jc w:val="right"/>
              <w:spacing w:after="0" w:line="155" w:lineRule="exact"/>
              <w:rPr>
                <w:sz w:val="20"/>
                <w:szCs w:val="20"/>
                <w:color w:val="auto"/>
              </w:rPr>
            </w:pPr>
            <w:r>
              <w:rPr>
                <w:rFonts w:ascii="Arial" w:cs="Arial" w:eastAsia="Arial" w:hAnsi="Arial"/>
                <w:sz w:val="14"/>
                <w:szCs w:val="14"/>
                <w:color w:val="auto"/>
              </w:rPr>
              <w:t>Yes</w:t>
            </w:r>
          </w:p>
        </w:tc>
      </w:tr>
      <w:tr>
        <w:trPr>
          <w:trHeight w:val="156"/>
        </w:trPr>
        <w:tc>
          <w:tcPr>
            <w:tcW w:w="10400" w:type="dxa"/>
            <w:vAlign w:val="bottom"/>
            <w:tcBorders>
              <w:bottom w:val="single" w:sz="8" w:color="1A6DBB"/>
            </w:tcBorders>
            <w:gridSpan w:val="2"/>
          </w:tcPr>
          <w:p>
            <w:pPr>
              <w:spacing w:after="0" w:line="155" w:lineRule="exact"/>
              <w:rPr>
                <w:sz w:val="20"/>
                <w:szCs w:val="20"/>
                <w:color w:val="auto"/>
              </w:rPr>
            </w:pPr>
            <w:r>
              <w:rPr>
                <w:rFonts w:ascii="Arial" w:cs="Arial" w:eastAsia="Arial" w:hAnsi="Arial"/>
                <w:sz w:val="14"/>
                <w:szCs w:val="14"/>
                <w:color w:val="auto"/>
              </w:rPr>
              <w:t>Risk Oversight by Full Board and Committees</w:t>
            </w:r>
          </w:p>
        </w:tc>
        <w:tc>
          <w:tcPr>
            <w:tcW w:w="640" w:type="dxa"/>
            <w:vAlign w:val="bottom"/>
            <w:tcBorders>
              <w:bottom w:val="single" w:sz="8" w:color="1A6DBB"/>
            </w:tcBorders>
          </w:tcPr>
          <w:p>
            <w:pPr>
              <w:jc w:val="right"/>
              <w:spacing w:after="0" w:line="155" w:lineRule="exact"/>
              <w:rPr>
                <w:sz w:val="20"/>
                <w:szCs w:val="20"/>
                <w:color w:val="auto"/>
              </w:rPr>
            </w:pPr>
            <w:r>
              <w:rPr>
                <w:rFonts w:ascii="Arial" w:cs="Arial" w:eastAsia="Arial" w:hAnsi="Arial"/>
                <w:sz w:val="14"/>
                <w:szCs w:val="14"/>
                <w:color w:val="auto"/>
              </w:rPr>
              <w:t>Yes</w:t>
            </w:r>
          </w:p>
        </w:tc>
      </w:tr>
      <w:tr>
        <w:trPr>
          <w:trHeight w:val="156"/>
        </w:trPr>
        <w:tc>
          <w:tcPr>
            <w:tcW w:w="10400" w:type="dxa"/>
            <w:vAlign w:val="bottom"/>
            <w:tcBorders>
              <w:bottom w:val="single" w:sz="8" w:color="1A6DBB"/>
            </w:tcBorders>
            <w:gridSpan w:val="2"/>
          </w:tcPr>
          <w:p>
            <w:pPr>
              <w:spacing w:after="0" w:line="155" w:lineRule="exact"/>
              <w:rPr>
                <w:sz w:val="20"/>
                <w:szCs w:val="20"/>
                <w:color w:val="auto"/>
              </w:rPr>
            </w:pPr>
            <w:r>
              <w:rPr>
                <w:rFonts w:ascii="Arial" w:cs="Arial" w:eastAsia="Arial" w:hAnsi="Arial"/>
                <w:sz w:val="14"/>
                <w:szCs w:val="14"/>
                <w:color w:val="auto"/>
              </w:rPr>
              <w:t>Separate Risk Committee</w:t>
            </w:r>
          </w:p>
        </w:tc>
        <w:tc>
          <w:tcPr>
            <w:tcW w:w="640" w:type="dxa"/>
            <w:vAlign w:val="bottom"/>
            <w:tcBorders>
              <w:bottom w:val="single" w:sz="8" w:color="1A6DBB"/>
            </w:tcBorders>
          </w:tcPr>
          <w:p>
            <w:pPr>
              <w:jc w:val="right"/>
              <w:spacing w:after="0" w:line="155" w:lineRule="exact"/>
              <w:rPr>
                <w:sz w:val="20"/>
                <w:szCs w:val="20"/>
                <w:color w:val="auto"/>
              </w:rPr>
            </w:pPr>
            <w:r>
              <w:rPr>
                <w:rFonts w:ascii="Arial" w:cs="Arial" w:eastAsia="Arial" w:hAnsi="Arial"/>
                <w:sz w:val="14"/>
                <w:szCs w:val="14"/>
                <w:color w:val="auto"/>
              </w:rPr>
              <w:t>Yes</w:t>
            </w:r>
          </w:p>
        </w:tc>
      </w:tr>
      <w:tr>
        <w:trPr>
          <w:trHeight w:val="156"/>
        </w:trPr>
        <w:tc>
          <w:tcPr>
            <w:tcW w:w="10400" w:type="dxa"/>
            <w:vAlign w:val="bottom"/>
            <w:tcBorders>
              <w:bottom w:val="single" w:sz="8" w:color="1A6DBB"/>
            </w:tcBorders>
            <w:gridSpan w:val="2"/>
          </w:tcPr>
          <w:p>
            <w:pPr>
              <w:spacing w:after="0" w:line="155" w:lineRule="exact"/>
              <w:rPr>
                <w:sz w:val="20"/>
                <w:szCs w:val="20"/>
                <w:color w:val="auto"/>
              </w:rPr>
            </w:pPr>
            <w:r>
              <w:rPr>
                <w:rFonts w:ascii="Arial" w:cs="Arial" w:eastAsia="Arial" w:hAnsi="Arial"/>
                <w:sz w:val="14"/>
                <w:szCs w:val="14"/>
                <w:color w:val="auto"/>
              </w:rPr>
              <w:t>Active Board Oversight of Enterprise Risk Management</w:t>
            </w:r>
          </w:p>
        </w:tc>
        <w:tc>
          <w:tcPr>
            <w:tcW w:w="640" w:type="dxa"/>
            <w:vAlign w:val="bottom"/>
            <w:tcBorders>
              <w:bottom w:val="single" w:sz="8" w:color="1A6DBB"/>
            </w:tcBorders>
          </w:tcPr>
          <w:p>
            <w:pPr>
              <w:jc w:val="right"/>
              <w:spacing w:after="0" w:line="155" w:lineRule="exact"/>
              <w:rPr>
                <w:sz w:val="20"/>
                <w:szCs w:val="20"/>
                <w:color w:val="auto"/>
              </w:rPr>
            </w:pPr>
            <w:r>
              <w:rPr>
                <w:rFonts w:ascii="Arial" w:cs="Arial" w:eastAsia="Arial" w:hAnsi="Arial"/>
                <w:sz w:val="14"/>
                <w:szCs w:val="14"/>
                <w:color w:val="auto"/>
              </w:rPr>
              <w:t>Yes</w:t>
            </w:r>
          </w:p>
        </w:tc>
      </w:tr>
      <w:tr>
        <w:trPr>
          <w:trHeight w:val="156"/>
        </w:trPr>
        <w:tc>
          <w:tcPr>
            <w:tcW w:w="10400" w:type="dxa"/>
            <w:vAlign w:val="bottom"/>
            <w:tcBorders>
              <w:bottom w:val="single" w:sz="8" w:color="1A6DBB"/>
            </w:tcBorders>
            <w:gridSpan w:val="2"/>
          </w:tcPr>
          <w:p>
            <w:pPr>
              <w:spacing w:after="0" w:line="155" w:lineRule="exact"/>
              <w:rPr>
                <w:sz w:val="20"/>
                <w:szCs w:val="20"/>
                <w:color w:val="auto"/>
              </w:rPr>
            </w:pPr>
            <w:r>
              <w:rPr>
                <w:rFonts w:ascii="Arial" w:cs="Arial" w:eastAsia="Arial" w:hAnsi="Arial"/>
                <w:sz w:val="14"/>
                <w:szCs w:val="14"/>
                <w:color w:val="auto"/>
              </w:rPr>
              <w:t>Separate Independent Chairman and CEO</w:t>
            </w:r>
          </w:p>
        </w:tc>
        <w:tc>
          <w:tcPr>
            <w:tcW w:w="640" w:type="dxa"/>
            <w:vAlign w:val="bottom"/>
            <w:tcBorders>
              <w:bottom w:val="single" w:sz="8" w:color="1A6DBB"/>
            </w:tcBorders>
          </w:tcPr>
          <w:p>
            <w:pPr>
              <w:jc w:val="right"/>
              <w:spacing w:after="0" w:line="155" w:lineRule="exact"/>
              <w:rPr>
                <w:sz w:val="20"/>
                <w:szCs w:val="20"/>
                <w:color w:val="auto"/>
              </w:rPr>
            </w:pPr>
            <w:r>
              <w:rPr>
                <w:rFonts w:ascii="Arial" w:cs="Arial" w:eastAsia="Arial" w:hAnsi="Arial"/>
                <w:sz w:val="14"/>
                <w:szCs w:val="14"/>
                <w:color w:val="auto"/>
              </w:rPr>
              <w:t>Yes</w:t>
            </w:r>
          </w:p>
        </w:tc>
      </w:tr>
      <w:tr>
        <w:trPr>
          <w:trHeight w:val="156"/>
        </w:trPr>
        <w:tc>
          <w:tcPr>
            <w:tcW w:w="10400" w:type="dxa"/>
            <w:vAlign w:val="bottom"/>
            <w:tcBorders>
              <w:bottom w:val="single" w:sz="8" w:color="1A6DBB"/>
            </w:tcBorders>
            <w:gridSpan w:val="2"/>
          </w:tcPr>
          <w:p>
            <w:pPr>
              <w:spacing w:after="0" w:line="155" w:lineRule="exact"/>
              <w:rPr>
                <w:sz w:val="20"/>
                <w:szCs w:val="20"/>
                <w:color w:val="auto"/>
              </w:rPr>
            </w:pPr>
            <w:r>
              <w:rPr>
                <w:rFonts w:ascii="Arial" w:cs="Arial" w:eastAsia="Arial" w:hAnsi="Arial"/>
                <w:sz w:val="14"/>
                <w:szCs w:val="14"/>
                <w:color w:val="auto"/>
              </w:rPr>
              <w:t>Regular Executive Sessions of Independent Directors</w:t>
            </w:r>
          </w:p>
        </w:tc>
        <w:tc>
          <w:tcPr>
            <w:tcW w:w="640" w:type="dxa"/>
            <w:vAlign w:val="bottom"/>
            <w:tcBorders>
              <w:bottom w:val="single" w:sz="8" w:color="1A6DBB"/>
            </w:tcBorders>
          </w:tcPr>
          <w:p>
            <w:pPr>
              <w:jc w:val="right"/>
              <w:spacing w:after="0" w:line="155" w:lineRule="exact"/>
              <w:rPr>
                <w:sz w:val="20"/>
                <w:szCs w:val="20"/>
                <w:color w:val="auto"/>
              </w:rPr>
            </w:pPr>
            <w:r>
              <w:rPr>
                <w:rFonts w:ascii="Arial" w:cs="Arial" w:eastAsia="Arial" w:hAnsi="Arial"/>
                <w:sz w:val="14"/>
                <w:szCs w:val="14"/>
                <w:color w:val="auto"/>
              </w:rPr>
              <w:t>Yes</w:t>
            </w:r>
          </w:p>
        </w:tc>
      </w:tr>
      <w:tr>
        <w:trPr>
          <w:trHeight w:val="156"/>
        </w:trPr>
        <w:tc>
          <w:tcPr>
            <w:tcW w:w="10400" w:type="dxa"/>
            <w:vAlign w:val="bottom"/>
            <w:tcBorders>
              <w:bottom w:val="single" w:sz="8" w:color="1A6DBB"/>
            </w:tcBorders>
            <w:gridSpan w:val="2"/>
          </w:tcPr>
          <w:p>
            <w:pPr>
              <w:spacing w:after="0" w:line="155" w:lineRule="exact"/>
              <w:rPr>
                <w:sz w:val="20"/>
                <w:szCs w:val="20"/>
                <w:color w:val="auto"/>
              </w:rPr>
            </w:pPr>
            <w:r>
              <w:rPr>
                <w:rFonts w:ascii="Arial" w:cs="Arial" w:eastAsia="Arial" w:hAnsi="Arial"/>
                <w:sz w:val="14"/>
                <w:szCs w:val="14"/>
                <w:color w:val="auto"/>
              </w:rPr>
              <w:t>Annual Anonymous Board and Committee Self-Evaluations</w:t>
            </w:r>
          </w:p>
        </w:tc>
        <w:tc>
          <w:tcPr>
            <w:tcW w:w="640" w:type="dxa"/>
            <w:vAlign w:val="bottom"/>
            <w:tcBorders>
              <w:bottom w:val="single" w:sz="8" w:color="1A6DBB"/>
            </w:tcBorders>
          </w:tcPr>
          <w:p>
            <w:pPr>
              <w:jc w:val="right"/>
              <w:spacing w:after="0" w:line="155" w:lineRule="exact"/>
              <w:rPr>
                <w:sz w:val="20"/>
                <w:szCs w:val="20"/>
                <w:color w:val="auto"/>
              </w:rPr>
            </w:pPr>
            <w:r>
              <w:rPr>
                <w:rFonts w:ascii="Arial" w:cs="Arial" w:eastAsia="Arial" w:hAnsi="Arial"/>
                <w:sz w:val="14"/>
                <w:szCs w:val="14"/>
                <w:color w:val="auto"/>
              </w:rPr>
              <w:t>Yes</w:t>
            </w:r>
          </w:p>
        </w:tc>
      </w:tr>
      <w:tr>
        <w:trPr>
          <w:trHeight w:val="156"/>
        </w:trPr>
        <w:tc>
          <w:tcPr>
            <w:tcW w:w="10400" w:type="dxa"/>
            <w:vAlign w:val="bottom"/>
            <w:tcBorders>
              <w:bottom w:val="single" w:sz="8" w:color="1A6DBB"/>
            </w:tcBorders>
            <w:gridSpan w:val="2"/>
          </w:tcPr>
          <w:p>
            <w:pPr>
              <w:spacing w:after="0" w:line="155" w:lineRule="exact"/>
              <w:rPr>
                <w:sz w:val="20"/>
                <w:szCs w:val="20"/>
                <w:color w:val="auto"/>
              </w:rPr>
            </w:pPr>
            <w:r>
              <w:rPr>
                <w:rFonts w:ascii="Arial" w:cs="Arial" w:eastAsia="Arial" w:hAnsi="Arial"/>
                <w:sz w:val="14"/>
                <w:szCs w:val="14"/>
                <w:color w:val="auto"/>
              </w:rPr>
              <w:t>Annual Independent Director Evaluation of CEO</w:t>
            </w:r>
          </w:p>
        </w:tc>
        <w:tc>
          <w:tcPr>
            <w:tcW w:w="640" w:type="dxa"/>
            <w:vAlign w:val="bottom"/>
            <w:tcBorders>
              <w:bottom w:val="single" w:sz="8" w:color="1A6DBB"/>
            </w:tcBorders>
          </w:tcPr>
          <w:p>
            <w:pPr>
              <w:jc w:val="right"/>
              <w:spacing w:after="0" w:line="155" w:lineRule="exact"/>
              <w:rPr>
                <w:sz w:val="20"/>
                <w:szCs w:val="20"/>
                <w:color w:val="auto"/>
              </w:rPr>
            </w:pPr>
            <w:r>
              <w:rPr>
                <w:rFonts w:ascii="Arial" w:cs="Arial" w:eastAsia="Arial" w:hAnsi="Arial"/>
                <w:sz w:val="14"/>
                <w:szCs w:val="14"/>
                <w:color w:val="auto"/>
              </w:rPr>
              <w:t>Yes</w:t>
            </w:r>
          </w:p>
        </w:tc>
      </w:tr>
      <w:tr>
        <w:trPr>
          <w:trHeight w:val="156"/>
        </w:trPr>
        <w:tc>
          <w:tcPr>
            <w:tcW w:w="10400" w:type="dxa"/>
            <w:vAlign w:val="bottom"/>
            <w:tcBorders>
              <w:bottom w:val="single" w:sz="8" w:color="1A6DBB"/>
            </w:tcBorders>
            <w:gridSpan w:val="2"/>
          </w:tcPr>
          <w:p>
            <w:pPr>
              <w:spacing w:after="0" w:line="155" w:lineRule="exact"/>
              <w:rPr>
                <w:sz w:val="20"/>
                <w:szCs w:val="20"/>
                <w:color w:val="auto"/>
              </w:rPr>
            </w:pPr>
            <w:r>
              <w:rPr>
                <w:rFonts w:ascii="Arial" w:cs="Arial" w:eastAsia="Arial" w:hAnsi="Arial"/>
                <w:sz w:val="14"/>
                <w:szCs w:val="14"/>
                <w:color w:val="auto"/>
              </w:rPr>
              <w:t>Mandatory Retirement Age for Directors (75 years old)</w:t>
            </w:r>
          </w:p>
        </w:tc>
        <w:tc>
          <w:tcPr>
            <w:tcW w:w="640" w:type="dxa"/>
            <w:vAlign w:val="bottom"/>
            <w:tcBorders>
              <w:bottom w:val="single" w:sz="8" w:color="1A6DBB"/>
            </w:tcBorders>
          </w:tcPr>
          <w:p>
            <w:pPr>
              <w:jc w:val="right"/>
              <w:spacing w:after="0" w:line="155" w:lineRule="exact"/>
              <w:rPr>
                <w:sz w:val="20"/>
                <w:szCs w:val="20"/>
                <w:color w:val="auto"/>
              </w:rPr>
            </w:pPr>
            <w:r>
              <w:rPr>
                <w:rFonts w:ascii="Arial" w:cs="Arial" w:eastAsia="Arial" w:hAnsi="Arial"/>
                <w:sz w:val="14"/>
                <w:szCs w:val="14"/>
                <w:color w:val="auto"/>
              </w:rPr>
              <w:t>Yes</w:t>
            </w:r>
          </w:p>
        </w:tc>
      </w:tr>
      <w:tr>
        <w:trPr>
          <w:trHeight w:val="156"/>
        </w:trPr>
        <w:tc>
          <w:tcPr>
            <w:tcW w:w="10400" w:type="dxa"/>
            <w:vAlign w:val="bottom"/>
            <w:tcBorders>
              <w:bottom w:val="single" w:sz="8" w:color="1A6DBB"/>
            </w:tcBorders>
            <w:gridSpan w:val="2"/>
          </w:tcPr>
          <w:p>
            <w:pPr>
              <w:spacing w:after="0" w:line="155" w:lineRule="exact"/>
              <w:rPr>
                <w:sz w:val="20"/>
                <w:szCs w:val="20"/>
                <w:color w:val="auto"/>
              </w:rPr>
            </w:pPr>
            <w:r>
              <w:rPr>
                <w:rFonts w:ascii="Arial" w:cs="Arial" w:eastAsia="Arial" w:hAnsi="Arial"/>
                <w:sz w:val="14"/>
                <w:szCs w:val="14"/>
                <w:color w:val="auto"/>
              </w:rPr>
              <w:t>Director Education and Orientation</w:t>
            </w:r>
          </w:p>
        </w:tc>
        <w:tc>
          <w:tcPr>
            <w:tcW w:w="640" w:type="dxa"/>
            <w:vAlign w:val="bottom"/>
            <w:tcBorders>
              <w:bottom w:val="single" w:sz="8" w:color="1A6DBB"/>
            </w:tcBorders>
          </w:tcPr>
          <w:p>
            <w:pPr>
              <w:jc w:val="right"/>
              <w:spacing w:after="0" w:line="155" w:lineRule="exact"/>
              <w:rPr>
                <w:sz w:val="20"/>
                <w:szCs w:val="20"/>
                <w:color w:val="auto"/>
              </w:rPr>
            </w:pPr>
            <w:r>
              <w:rPr>
                <w:rFonts w:ascii="Arial" w:cs="Arial" w:eastAsia="Arial" w:hAnsi="Arial"/>
                <w:sz w:val="14"/>
                <w:szCs w:val="14"/>
                <w:color w:val="auto"/>
              </w:rPr>
              <w:t>Yes</w:t>
            </w:r>
          </w:p>
        </w:tc>
      </w:tr>
      <w:tr>
        <w:trPr>
          <w:trHeight w:val="156"/>
        </w:trPr>
        <w:tc>
          <w:tcPr>
            <w:tcW w:w="10400" w:type="dxa"/>
            <w:vAlign w:val="bottom"/>
            <w:tcBorders>
              <w:bottom w:val="single" w:sz="8" w:color="1A6DBB"/>
            </w:tcBorders>
            <w:gridSpan w:val="2"/>
          </w:tcPr>
          <w:p>
            <w:pPr>
              <w:spacing w:after="0" w:line="155" w:lineRule="exact"/>
              <w:rPr>
                <w:sz w:val="20"/>
                <w:szCs w:val="20"/>
                <w:color w:val="auto"/>
              </w:rPr>
            </w:pPr>
            <w:r>
              <w:rPr>
                <w:rFonts w:ascii="Arial" w:cs="Arial" w:eastAsia="Arial" w:hAnsi="Arial"/>
                <w:sz w:val="14"/>
                <w:szCs w:val="14"/>
                <w:color w:val="auto"/>
              </w:rPr>
              <w:t>Annual Equity Grant to Directors</w:t>
            </w:r>
          </w:p>
        </w:tc>
        <w:tc>
          <w:tcPr>
            <w:tcW w:w="640" w:type="dxa"/>
            <w:vAlign w:val="bottom"/>
            <w:tcBorders>
              <w:bottom w:val="single" w:sz="8" w:color="1A6DBB"/>
            </w:tcBorders>
          </w:tcPr>
          <w:p>
            <w:pPr>
              <w:jc w:val="right"/>
              <w:spacing w:after="0" w:line="155" w:lineRule="exact"/>
              <w:rPr>
                <w:sz w:val="20"/>
                <w:szCs w:val="20"/>
                <w:color w:val="auto"/>
              </w:rPr>
            </w:pPr>
            <w:r>
              <w:rPr>
                <w:rFonts w:ascii="Arial" w:cs="Arial" w:eastAsia="Arial" w:hAnsi="Arial"/>
                <w:sz w:val="14"/>
                <w:szCs w:val="14"/>
                <w:color w:val="auto"/>
              </w:rPr>
              <w:t>Yes</w:t>
            </w:r>
          </w:p>
        </w:tc>
      </w:tr>
      <w:tr>
        <w:trPr>
          <w:trHeight w:val="156"/>
        </w:trPr>
        <w:tc>
          <w:tcPr>
            <w:tcW w:w="10400" w:type="dxa"/>
            <w:vAlign w:val="bottom"/>
            <w:gridSpan w:val="2"/>
          </w:tcPr>
          <w:p>
            <w:pPr>
              <w:spacing w:after="0" w:line="155" w:lineRule="exact"/>
              <w:rPr>
                <w:sz w:val="20"/>
                <w:szCs w:val="20"/>
                <w:color w:val="auto"/>
              </w:rPr>
            </w:pPr>
            <w:r>
              <w:rPr>
                <w:rFonts w:ascii="Arial" w:cs="Arial" w:eastAsia="Arial" w:hAnsi="Arial"/>
                <w:sz w:val="14"/>
                <w:szCs w:val="14"/>
                <w:color w:val="auto"/>
              </w:rPr>
              <w:t>Director Stockholder Engagement Initiative</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Yes</w:t>
            </w:r>
          </w:p>
        </w:tc>
      </w:tr>
      <w:tr>
        <w:trPr>
          <w:trHeight w:val="176"/>
        </w:trPr>
        <w:tc>
          <w:tcPr>
            <w:tcW w:w="20" w:type="dxa"/>
            <w:vAlign w:val="bottom"/>
          </w:tcPr>
          <w:p>
            <w:pPr>
              <w:spacing w:after="0"/>
              <w:rPr>
                <w:sz w:val="15"/>
                <w:szCs w:val="15"/>
                <w:color w:val="auto"/>
              </w:rPr>
            </w:pPr>
          </w:p>
        </w:tc>
        <w:tc>
          <w:tcPr>
            <w:tcW w:w="10380" w:type="dxa"/>
            <w:vAlign w:val="bottom"/>
            <w:shd w:val="clear" w:color="auto" w:fill="1A6DBB"/>
          </w:tcPr>
          <w:p>
            <w:pPr>
              <w:jc w:val="center"/>
              <w:ind w:left="488"/>
              <w:spacing w:after="0"/>
              <w:rPr>
                <w:sz w:val="20"/>
                <w:szCs w:val="20"/>
                <w:color w:val="auto"/>
              </w:rPr>
            </w:pPr>
            <w:r>
              <w:rPr>
                <w:rFonts w:ascii="Arial" w:cs="Arial" w:eastAsia="Arial" w:hAnsi="Arial"/>
                <w:sz w:val="14"/>
                <w:szCs w:val="14"/>
                <w:color w:val="FFFFFF"/>
              </w:rPr>
              <w:t>Stockholder Rights, Accountability and Other Governance Practices</w:t>
            </w:r>
          </w:p>
        </w:tc>
        <w:tc>
          <w:tcPr>
            <w:tcW w:w="640" w:type="dxa"/>
            <w:vAlign w:val="bottom"/>
            <w:shd w:val="clear" w:color="auto" w:fill="1A6DBB"/>
          </w:tcPr>
          <w:p>
            <w:pPr>
              <w:spacing w:after="0"/>
              <w:rPr>
                <w:sz w:val="15"/>
                <w:szCs w:val="15"/>
                <w:color w:val="auto"/>
              </w:rPr>
            </w:pPr>
          </w:p>
        </w:tc>
      </w:tr>
      <w:tr>
        <w:trPr>
          <w:trHeight w:val="162"/>
        </w:trPr>
        <w:tc>
          <w:tcPr>
            <w:tcW w:w="10400" w:type="dxa"/>
            <w:vAlign w:val="bottom"/>
            <w:tcBorders>
              <w:bottom w:val="single" w:sz="8" w:color="1A6DBB"/>
            </w:tcBorders>
            <w:gridSpan w:val="2"/>
          </w:tcPr>
          <w:p>
            <w:pPr>
              <w:spacing w:after="0"/>
              <w:rPr>
                <w:sz w:val="20"/>
                <w:szCs w:val="20"/>
                <w:color w:val="auto"/>
              </w:rPr>
            </w:pPr>
            <w:r>
              <w:rPr>
                <w:rFonts w:ascii="Arial" w:cs="Arial" w:eastAsia="Arial" w:hAnsi="Arial"/>
                <w:sz w:val="14"/>
                <w:szCs w:val="14"/>
                <w:color w:val="auto"/>
              </w:rPr>
              <w:t>Annual Election of All Directors</w:t>
            </w:r>
          </w:p>
        </w:tc>
        <w:tc>
          <w:tcPr>
            <w:tcW w:w="640" w:type="dxa"/>
            <w:vAlign w:val="bottom"/>
            <w:tcBorders>
              <w:bottom w:val="single" w:sz="8" w:color="1A6DBB"/>
            </w:tcBorders>
          </w:tcPr>
          <w:p>
            <w:pPr>
              <w:jc w:val="right"/>
              <w:spacing w:after="0"/>
              <w:rPr>
                <w:sz w:val="20"/>
                <w:szCs w:val="20"/>
                <w:color w:val="auto"/>
              </w:rPr>
            </w:pPr>
            <w:r>
              <w:rPr>
                <w:rFonts w:ascii="Arial" w:cs="Arial" w:eastAsia="Arial" w:hAnsi="Arial"/>
                <w:sz w:val="14"/>
                <w:szCs w:val="14"/>
                <w:color w:val="auto"/>
              </w:rPr>
              <w:t>Yes</w:t>
            </w:r>
          </w:p>
        </w:tc>
      </w:tr>
      <w:tr>
        <w:trPr>
          <w:trHeight w:val="156"/>
        </w:trPr>
        <w:tc>
          <w:tcPr>
            <w:tcW w:w="10400" w:type="dxa"/>
            <w:vAlign w:val="bottom"/>
            <w:tcBorders>
              <w:bottom w:val="single" w:sz="8" w:color="1A6DBB"/>
            </w:tcBorders>
            <w:gridSpan w:val="2"/>
          </w:tcPr>
          <w:p>
            <w:pPr>
              <w:spacing w:after="0" w:line="155" w:lineRule="exact"/>
              <w:rPr>
                <w:sz w:val="20"/>
                <w:szCs w:val="20"/>
                <w:color w:val="auto"/>
              </w:rPr>
            </w:pPr>
            <w:r>
              <w:rPr>
                <w:rFonts w:ascii="Arial" w:cs="Arial" w:eastAsia="Arial" w:hAnsi="Arial"/>
                <w:sz w:val="14"/>
                <w:szCs w:val="14"/>
                <w:color w:val="auto"/>
              </w:rPr>
              <w:t>Majority Voting for Directors and Resignation Policy</w:t>
            </w:r>
          </w:p>
        </w:tc>
        <w:tc>
          <w:tcPr>
            <w:tcW w:w="640" w:type="dxa"/>
            <w:vAlign w:val="bottom"/>
            <w:tcBorders>
              <w:bottom w:val="single" w:sz="8" w:color="1A6DBB"/>
            </w:tcBorders>
          </w:tcPr>
          <w:p>
            <w:pPr>
              <w:jc w:val="right"/>
              <w:spacing w:after="0" w:line="155" w:lineRule="exact"/>
              <w:rPr>
                <w:sz w:val="20"/>
                <w:szCs w:val="20"/>
                <w:color w:val="auto"/>
              </w:rPr>
            </w:pPr>
            <w:r>
              <w:rPr>
                <w:rFonts w:ascii="Arial" w:cs="Arial" w:eastAsia="Arial" w:hAnsi="Arial"/>
                <w:sz w:val="14"/>
                <w:szCs w:val="14"/>
                <w:color w:val="auto"/>
              </w:rPr>
              <w:t>Yes</w:t>
            </w:r>
          </w:p>
        </w:tc>
      </w:tr>
      <w:tr>
        <w:trPr>
          <w:trHeight w:val="156"/>
        </w:trPr>
        <w:tc>
          <w:tcPr>
            <w:tcW w:w="10400" w:type="dxa"/>
            <w:vAlign w:val="bottom"/>
            <w:tcBorders>
              <w:bottom w:val="single" w:sz="8" w:color="1A6DBB"/>
            </w:tcBorders>
            <w:gridSpan w:val="2"/>
          </w:tcPr>
          <w:p>
            <w:pPr>
              <w:spacing w:after="0" w:line="155" w:lineRule="exact"/>
              <w:rPr>
                <w:sz w:val="20"/>
                <w:szCs w:val="20"/>
                <w:color w:val="auto"/>
              </w:rPr>
            </w:pPr>
            <w:r>
              <w:rPr>
                <w:rFonts w:ascii="Arial" w:cs="Arial" w:eastAsia="Arial" w:hAnsi="Arial"/>
                <w:sz w:val="14"/>
                <w:szCs w:val="14"/>
                <w:color w:val="auto"/>
              </w:rPr>
              <w:t>One-Share, One-Vote Policy</w:t>
            </w:r>
          </w:p>
        </w:tc>
        <w:tc>
          <w:tcPr>
            <w:tcW w:w="640" w:type="dxa"/>
            <w:vAlign w:val="bottom"/>
            <w:tcBorders>
              <w:bottom w:val="single" w:sz="8" w:color="1A6DBB"/>
            </w:tcBorders>
          </w:tcPr>
          <w:p>
            <w:pPr>
              <w:jc w:val="right"/>
              <w:spacing w:after="0" w:line="155" w:lineRule="exact"/>
              <w:rPr>
                <w:sz w:val="20"/>
                <w:szCs w:val="20"/>
                <w:color w:val="auto"/>
              </w:rPr>
            </w:pPr>
            <w:r>
              <w:rPr>
                <w:rFonts w:ascii="Arial" w:cs="Arial" w:eastAsia="Arial" w:hAnsi="Arial"/>
                <w:sz w:val="14"/>
                <w:szCs w:val="14"/>
                <w:color w:val="auto"/>
              </w:rPr>
              <w:t>Yes</w:t>
            </w:r>
          </w:p>
        </w:tc>
      </w:tr>
      <w:tr>
        <w:trPr>
          <w:trHeight w:val="156"/>
        </w:trPr>
        <w:tc>
          <w:tcPr>
            <w:tcW w:w="10400" w:type="dxa"/>
            <w:vAlign w:val="bottom"/>
            <w:tcBorders>
              <w:bottom w:val="single" w:sz="8" w:color="1A6DBB"/>
            </w:tcBorders>
            <w:gridSpan w:val="2"/>
          </w:tcPr>
          <w:p>
            <w:pPr>
              <w:spacing w:after="0" w:line="155" w:lineRule="exact"/>
              <w:rPr>
                <w:sz w:val="20"/>
                <w:szCs w:val="20"/>
                <w:color w:val="auto"/>
              </w:rPr>
            </w:pPr>
            <w:r>
              <w:rPr>
                <w:rFonts w:ascii="Arial" w:cs="Arial" w:eastAsia="Arial" w:hAnsi="Arial"/>
                <w:sz w:val="14"/>
                <w:szCs w:val="14"/>
                <w:color w:val="auto"/>
              </w:rPr>
              <w:t>Proxy Access Bylaw (3% ownership, 3 years, nominees for up to 25% of our Board)</w:t>
            </w:r>
          </w:p>
        </w:tc>
        <w:tc>
          <w:tcPr>
            <w:tcW w:w="640" w:type="dxa"/>
            <w:vAlign w:val="bottom"/>
            <w:tcBorders>
              <w:bottom w:val="single" w:sz="8" w:color="1A6DBB"/>
            </w:tcBorders>
          </w:tcPr>
          <w:p>
            <w:pPr>
              <w:jc w:val="right"/>
              <w:spacing w:after="0" w:line="155" w:lineRule="exact"/>
              <w:rPr>
                <w:sz w:val="20"/>
                <w:szCs w:val="20"/>
                <w:color w:val="auto"/>
              </w:rPr>
            </w:pPr>
            <w:r>
              <w:rPr>
                <w:rFonts w:ascii="Arial" w:cs="Arial" w:eastAsia="Arial" w:hAnsi="Arial"/>
                <w:sz w:val="14"/>
                <w:szCs w:val="14"/>
                <w:color w:val="auto"/>
              </w:rPr>
              <w:t>Yes</w:t>
            </w:r>
          </w:p>
        </w:tc>
      </w:tr>
      <w:tr>
        <w:trPr>
          <w:trHeight w:val="156"/>
        </w:trPr>
        <w:tc>
          <w:tcPr>
            <w:tcW w:w="10400" w:type="dxa"/>
            <w:vAlign w:val="bottom"/>
            <w:tcBorders>
              <w:bottom w:val="single" w:sz="8" w:color="1A6DBB"/>
            </w:tcBorders>
            <w:gridSpan w:val="2"/>
          </w:tcPr>
          <w:p>
            <w:pPr>
              <w:spacing w:after="0" w:line="155" w:lineRule="exact"/>
              <w:rPr>
                <w:sz w:val="20"/>
                <w:szCs w:val="20"/>
                <w:color w:val="auto"/>
              </w:rPr>
            </w:pPr>
            <w:r>
              <w:rPr>
                <w:rFonts w:ascii="Arial" w:cs="Arial" w:eastAsia="Arial" w:hAnsi="Arial"/>
                <w:sz w:val="14"/>
                <w:szCs w:val="14"/>
                <w:color w:val="auto"/>
              </w:rPr>
              <w:t>Annual Advisory Stockholder Vote on Executive Compensation</w:t>
            </w:r>
          </w:p>
        </w:tc>
        <w:tc>
          <w:tcPr>
            <w:tcW w:w="640" w:type="dxa"/>
            <w:vAlign w:val="bottom"/>
            <w:tcBorders>
              <w:bottom w:val="single" w:sz="8" w:color="1A6DBB"/>
            </w:tcBorders>
          </w:tcPr>
          <w:p>
            <w:pPr>
              <w:jc w:val="right"/>
              <w:spacing w:after="0" w:line="155" w:lineRule="exact"/>
              <w:rPr>
                <w:sz w:val="20"/>
                <w:szCs w:val="20"/>
                <w:color w:val="auto"/>
              </w:rPr>
            </w:pPr>
            <w:r>
              <w:rPr>
                <w:rFonts w:ascii="Arial" w:cs="Arial" w:eastAsia="Arial" w:hAnsi="Arial"/>
                <w:sz w:val="14"/>
                <w:szCs w:val="14"/>
                <w:color w:val="auto"/>
              </w:rPr>
              <w:t>Yes</w:t>
            </w:r>
          </w:p>
        </w:tc>
      </w:tr>
      <w:tr>
        <w:trPr>
          <w:trHeight w:val="156"/>
        </w:trPr>
        <w:tc>
          <w:tcPr>
            <w:tcW w:w="10400" w:type="dxa"/>
            <w:vAlign w:val="bottom"/>
            <w:tcBorders>
              <w:bottom w:val="single" w:sz="8" w:color="1A6DBB"/>
            </w:tcBorders>
            <w:gridSpan w:val="2"/>
          </w:tcPr>
          <w:p>
            <w:pPr>
              <w:spacing w:after="0" w:line="155" w:lineRule="exact"/>
              <w:rPr>
                <w:sz w:val="20"/>
                <w:szCs w:val="20"/>
                <w:color w:val="auto"/>
              </w:rPr>
            </w:pPr>
            <w:r>
              <w:rPr>
                <w:rFonts w:ascii="Arial" w:cs="Arial" w:eastAsia="Arial" w:hAnsi="Arial"/>
                <w:sz w:val="14"/>
                <w:szCs w:val="14"/>
                <w:color w:val="auto"/>
              </w:rPr>
              <w:t>Stockholder Ability to Call Special Meetings (25% Threshold)</w:t>
            </w:r>
          </w:p>
        </w:tc>
        <w:tc>
          <w:tcPr>
            <w:tcW w:w="640" w:type="dxa"/>
            <w:vAlign w:val="bottom"/>
            <w:tcBorders>
              <w:bottom w:val="single" w:sz="8" w:color="1A6DBB"/>
            </w:tcBorders>
          </w:tcPr>
          <w:p>
            <w:pPr>
              <w:jc w:val="right"/>
              <w:spacing w:after="0" w:line="155" w:lineRule="exact"/>
              <w:rPr>
                <w:sz w:val="20"/>
                <w:szCs w:val="20"/>
                <w:color w:val="auto"/>
              </w:rPr>
            </w:pPr>
            <w:r>
              <w:rPr>
                <w:rFonts w:ascii="Arial" w:cs="Arial" w:eastAsia="Arial" w:hAnsi="Arial"/>
                <w:sz w:val="14"/>
                <w:szCs w:val="14"/>
                <w:color w:val="auto"/>
              </w:rPr>
              <w:t>Yes</w:t>
            </w:r>
          </w:p>
        </w:tc>
      </w:tr>
      <w:tr>
        <w:trPr>
          <w:trHeight w:val="156"/>
        </w:trPr>
        <w:tc>
          <w:tcPr>
            <w:tcW w:w="10400" w:type="dxa"/>
            <w:vAlign w:val="bottom"/>
            <w:tcBorders>
              <w:bottom w:val="single" w:sz="8" w:color="1A6DBB"/>
            </w:tcBorders>
            <w:gridSpan w:val="2"/>
          </w:tcPr>
          <w:p>
            <w:pPr>
              <w:spacing w:after="0" w:line="155" w:lineRule="exact"/>
              <w:rPr>
                <w:sz w:val="20"/>
                <w:szCs w:val="20"/>
                <w:color w:val="auto"/>
              </w:rPr>
            </w:pPr>
            <w:r>
              <w:rPr>
                <w:rFonts w:ascii="Arial" w:cs="Arial" w:eastAsia="Arial" w:hAnsi="Arial"/>
                <w:sz w:val="14"/>
                <w:szCs w:val="14"/>
                <w:color w:val="auto"/>
              </w:rPr>
              <w:t>Stockholder Ability to Act by Written Consent</w:t>
            </w:r>
          </w:p>
        </w:tc>
        <w:tc>
          <w:tcPr>
            <w:tcW w:w="640" w:type="dxa"/>
            <w:vAlign w:val="bottom"/>
            <w:tcBorders>
              <w:bottom w:val="single" w:sz="8" w:color="1A6DBB"/>
            </w:tcBorders>
          </w:tcPr>
          <w:p>
            <w:pPr>
              <w:jc w:val="right"/>
              <w:spacing w:after="0" w:line="155" w:lineRule="exact"/>
              <w:rPr>
                <w:sz w:val="20"/>
                <w:szCs w:val="20"/>
                <w:color w:val="auto"/>
              </w:rPr>
            </w:pPr>
            <w:r>
              <w:rPr>
                <w:rFonts w:ascii="Arial" w:cs="Arial" w:eastAsia="Arial" w:hAnsi="Arial"/>
                <w:sz w:val="14"/>
                <w:szCs w:val="14"/>
                <w:color w:val="auto"/>
              </w:rPr>
              <w:t>Yes</w:t>
            </w:r>
          </w:p>
        </w:tc>
      </w:tr>
      <w:tr>
        <w:trPr>
          <w:trHeight w:val="160"/>
        </w:trPr>
        <w:tc>
          <w:tcPr>
            <w:tcW w:w="10400" w:type="dxa"/>
            <w:vAlign w:val="bottom"/>
            <w:gridSpan w:val="2"/>
          </w:tcPr>
          <w:p>
            <w:pPr>
              <w:spacing w:after="0"/>
              <w:rPr>
                <w:sz w:val="20"/>
                <w:szCs w:val="20"/>
                <w:color w:val="auto"/>
              </w:rPr>
            </w:pPr>
            <w:r>
              <w:rPr>
                <w:rFonts w:ascii="Arial" w:cs="Arial" w:eastAsia="Arial" w:hAnsi="Arial"/>
                <w:sz w:val="14"/>
                <w:szCs w:val="14"/>
                <w:color w:val="auto"/>
              </w:rPr>
              <w:t>Anti-Overboarding Policy Limiting the Number of Other Public Company Boards on which our Directors May Serve (four for Non-Employee Directors and one for</w:t>
            </w:r>
          </w:p>
        </w:tc>
        <w:tc>
          <w:tcPr>
            <w:tcW w:w="640" w:type="dxa"/>
            <w:vAlign w:val="bottom"/>
          </w:tcPr>
          <w:p>
            <w:pPr>
              <w:spacing w:after="0"/>
              <w:rPr>
                <w:sz w:val="13"/>
                <w:szCs w:val="13"/>
                <w:color w:val="auto"/>
              </w:rPr>
            </w:pPr>
          </w:p>
        </w:tc>
      </w:tr>
      <w:tr>
        <w:trPr>
          <w:trHeight w:val="157"/>
        </w:trPr>
        <w:tc>
          <w:tcPr>
            <w:tcW w:w="10400" w:type="dxa"/>
            <w:vAlign w:val="bottom"/>
            <w:tcBorders>
              <w:bottom w:val="single" w:sz="8" w:color="1A6DBB"/>
            </w:tcBorders>
            <w:gridSpan w:val="2"/>
          </w:tcPr>
          <w:p>
            <w:pPr>
              <w:spacing w:after="0" w:line="157" w:lineRule="exact"/>
              <w:rPr>
                <w:sz w:val="20"/>
                <w:szCs w:val="20"/>
                <w:color w:val="auto"/>
              </w:rPr>
            </w:pPr>
            <w:r>
              <w:rPr>
                <w:rFonts w:ascii="Arial" w:cs="Arial" w:eastAsia="Arial" w:hAnsi="Arial"/>
                <w:sz w:val="14"/>
                <w:szCs w:val="14"/>
                <w:color w:val="auto"/>
              </w:rPr>
              <w:t>the CEO)</w:t>
            </w:r>
          </w:p>
        </w:tc>
        <w:tc>
          <w:tcPr>
            <w:tcW w:w="640" w:type="dxa"/>
            <w:vAlign w:val="bottom"/>
            <w:tcBorders>
              <w:bottom w:val="single" w:sz="8" w:color="1A6DBB"/>
            </w:tcBorders>
          </w:tcPr>
          <w:p>
            <w:pPr>
              <w:jc w:val="right"/>
              <w:spacing w:after="0" w:line="157" w:lineRule="exact"/>
              <w:rPr>
                <w:sz w:val="20"/>
                <w:szCs w:val="20"/>
                <w:color w:val="auto"/>
              </w:rPr>
            </w:pPr>
            <w:r>
              <w:rPr>
                <w:rFonts w:ascii="Arial" w:cs="Arial" w:eastAsia="Arial" w:hAnsi="Arial"/>
                <w:sz w:val="14"/>
                <w:szCs w:val="14"/>
                <w:color w:val="auto"/>
              </w:rPr>
              <w:t>Yes</w:t>
            </w:r>
          </w:p>
        </w:tc>
      </w:tr>
      <w:tr>
        <w:trPr>
          <w:trHeight w:val="156"/>
        </w:trPr>
        <w:tc>
          <w:tcPr>
            <w:tcW w:w="10400" w:type="dxa"/>
            <w:vAlign w:val="bottom"/>
            <w:tcBorders>
              <w:bottom w:val="single" w:sz="8" w:color="1A6DBB"/>
            </w:tcBorders>
            <w:gridSpan w:val="2"/>
          </w:tcPr>
          <w:p>
            <w:pPr>
              <w:spacing w:after="0" w:line="155" w:lineRule="exact"/>
              <w:rPr>
                <w:sz w:val="20"/>
                <w:szCs w:val="20"/>
                <w:color w:val="auto"/>
              </w:rPr>
            </w:pPr>
            <w:r>
              <w:rPr>
                <w:rFonts w:ascii="Arial" w:cs="Arial" w:eastAsia="Arial" w:hAnsi="Arial"/>
                <w:sz w:val="14"/>
                <w:szCs w:val="14"/>
                <w:color w:val="auto"/>
              </w:rPr>
              <w:t>Stock Ownership Guidelines for Directors and Executives</w:t>
            </w:r>
          </w:p>
        </w:tc>
        <w:tc>
          <w:tcPr>
            <w:tcW w:w="640" w:type="dxa"/>
            <w:vAlign w:val="bottom"/>
            <w:tcBorders>
              <w:bottom w:val="single" w:sz="8" w:color="1A6DBB"/>
            </w:tcBorders>
          </w:tcPr>
          <w:p>
            <w:pPr>
              <w:jc w:val="right"/>
              <w:spacing w:after="0" w:line="155" w:lineRule="exact"/>
              <w:rPr>
                <w:sz w:val="20"/>
                <w:szCs w:val="20"/>
                <w:color w:val="auto"/>
              </w:rPr>
            </w:pPr>
            <w:r>
              <w:rPr>
                <w:rFonts w:ascii="Arial" w:cs="Arial" w:eastAsia="Arial" w:hAnsi="Arial"/>
                <w:sz w:val="14"/>
                <w:szCs w:val="14"/>
                <w:color w:val="auto"/>
              </w:rPr>
              <w:t>Yes</w:t>
            </w:r>
          </w:p>
        </w:tc>
      </w:tr>
      <w:tr>
        <w:trPr>
          <w:trHeight w:val="156"/>
        </w:trPr>
        <w:tc>
          <w:tcPr>
            <w:tcW w:w="10400" w:type="dxa"/>
            <w:vAlign w:val="bottom"/>
            <w:tcBorders>
              <w:bottom w:val="single" w:sz="8" w:color="1A6DBB"/>
            </w:tcBorders>
            <w:gridSpan w:val="2"/>
          </w:tcPr>
          <w:p>
            <w:pPr>
              <w:spacing w:after="0" w:line="155" w:lineRule="exact"/>
              <w:rPr>
                <w:sz w:val="20"/>
                <w:szCs w:val="20"/>
                <w:color w:val="auto"/>
              </w:rPr>
            </w:pPr>
            <w:r>
              <w:rPr>
                <w:rFonts w:ascii="Arial" w:cs="Arial" w:eastAsia="Arial" w:hAnsi="Arial"/>
                <w:sz w:val="14"/>
                <w:szCs w:val="14"/>
                <w:color w:val="auto"/>
              </w:rPr>
              <w:t>Prohibition from Hedging and Pledging Securities or Otherwise Engaging in Derivative Transactions</w:t>
            </w:r>
          </w:p>
        </w:tc>
        <w:tc>
          <w:tcPr>
            <w:tcW w:w="640" w:type="dxa"/>
            <w:vAlign w:val="bottom"/>
            <w:tcBorders>
              <w:bottom w:val="single" w:sz="8" w:color="1A6DBB"/>
            </w:tcBorders>
          </w:tcPr>
          <w:p>
            <w:pPr>
              <w:jc w:val="right"/>
              <w:spacing w:after="0" w:line="155" w:lineRule="exact"/>
              <w:rPr>
                <w:sz w:val="20"/>
                <w:szCs w:val="20"/>
                <w:color w:val="auto"/>
              </w:rPr>
            </w:pPr>
            <w:r>
              <w:rPr>
                <w:rFonts w:ascii="Arial" w:cs="Arial" w:eastAsia="Arial" w:hAnsi="Arial"/>
                <w:sz w:val="14"/>
                <w:szCs w:val="14"/>
                <w:color w:val="auto"/>
              </w:rPr>
              <w:t>Yes</w:t>
            </w:r>
          </w:p>
        </w:tc>
      </w:tr>
      <w:tr>
        <w:trPr>
          <w:trHeight w:val="156"/>
        </w:trPr>
        <w:tc>
          <w:tcPr>
            <w:tcW w:w="10400" w:type="dxa"/>
            <w:vAlign w:val="bottom"/>
            <w:tcBorders>
              <w:bottom w:val="single" w:sz="8" w:color="1A6DBB"/>
            </w:tcBorders>
            <w:gridSpan w:val="2"/>
          </w:tcPr>
          <w:p>
            <w:pPr>
              <w:spacing w:after="0" w:line="155" w:lineRule="exact"/>
              <w:rPr>
                <w:sz w:val="20"/>
                <w:szCs w:val="20"/>
                <w:color w:val="auto"/>
              </w:rPr>
            </w:pPr>
            <w:r>
              <w:rPr>
                <w:rFonts w:ascii="Arial" w:cs="Arial" w:eastAsia="Arial" w:hAnsi="Arial"/>
                <w:sz w:val="14"/>
                <w:szCs w:val="14"/>
                <w:color w:val="auto"/>
              </w:rPr>
              <w:t>Compensation Recovery in Equity and Annual Bonus Plans</w:t>
            </w:r>
          </w:p>
        </w:tc>
        <w:tc>
          <w:tcPr>
            <w:tcW w:w="640" w:type="dxa"/>
            <w:vAlign w:val="bottom"/>
            <w:tcBorders>
              <w:bottom w:val="single" w:sz="8" w:color="1A6DBB"/>
            </w:tcBorders>
          </w:tcPr>
          <w:p>
            <w:pPr>
              <w:jc w:val="right"/>
              <w:spacing w:after="0" w:line="155" w:lineRule="exact"/>
              <w:rPr>
                <w:sz w:val="20"/>
                <w:szCs w:val="20"/>
                <w:color w:val="auto"/>
              </w:rPr>
            </w:pPr>
            <w:r>
              <w:rPr>
                <w:rFonts w:ascii="Arial" w:cs="Arial" w:eastAsia="Arial" w:hAnsi="Arial"/>
                <w:sz w:val="14"/>
                <w:szCs w:val="14"/>
                <w:color w:val="auto"/>
              </w:rPr>
              <w:t>Yes</w:t>
            </w:r>
          </w:p>
        </w:tc>
      </w:tr>
      <w:tr>
        <w:trPr>
          <w:trHeight w:val="156"/>
        </w:trPr>
        <w:tc>
          <w:tcPr>
            <w:tcW w:w="10400" w:type="dxa"/>
            <w:vAlign w:val="bottom"/>
            <w:tcBorders>
              <w:bottom w:val="single" w:sz="8" w:color="1A6DBB"/>
            </w:tcBorders>
            <w:gridSpan w:val="2"/>
          </w:tcPr>
          <w:p>
            <w:pPr>
              <w:spacing w:after="0" w:line="155" w:lineRule="exact"/>
              <w:rPr>
                <w:sz w:val="20"/>
                <w:szCs w:val="20"/>
                <w:color w:val="auto"/>
              </w:rPr>
            </w:pPr>
            <w:r>
              <w:rPr>
                <w:rFonts w:ascii="Arial" w:cs="Arial" w:eastAsia="Arial" w:hAnsi="Arial"/>
                <w:sz w:val="14"/>
                <w:szCs w:val="14"/>
                <w:color w:val="auto"/>
              </w:rPr>
              <w:t>Comprehensive Code of Conduct and Corporate Governance Princples</w:t>
            </w:r>
          </w:p>
        </w:tc>
        <w:tc>
          <w:tcPr>
            <w:tcW w:w="640" w:type="dxa"/>
            <w:vAlign w:val="bottom"/>
            <w:tcBorders>
              <w:bottom w:val="single" w:sz="8" w:color="1A6DBB"/>
            </w:tcBorders>
          </w:tcPr>
          <w:p>
            <w:pPr>
              <w:jc w:val="right"/>
              <w:spacing w:after="0" w:line="155" w:lineRule="exact"/>
              <w:rPr>
                <w:sz w:val="20"/>
                <w:szCs w:val="20"/>
                <w:color w:val="auto"/>
              </w:rPr>
            </w:pPr>
            <w:r>
              <w:rPr>
                <w:rFonts w:ascii="Arial" w:cs="Arial" w:eastAsia="Arial" w:hAnsi="Arial"/>
                <w:sz w:val="14"/>
                <w:szCs w:val="14"/>
                <w:color w:val="auto"/>
              </w:rPr>
              <w:t>Yes</w:t>
            </w:r>
          </w:p>
        </w:tc>
      </w:tr>
      <w:tr>
        <w:trPr>
          <w:trHeight w:val="156"/>
        </w:trPr>
        <w:tc>
          <w:tcPr>
            <w:tcW w:w="10400" w:type="dxa"/>
            <w:vAlign w:val="bottom"/>
            <w:tcBorders>
              <w:bottom w:val="single" w:sz="8" w:color="1A6DBB"/>
            </w:tcBorders>
            <w:gridSpan w:val="2"/>
          </w:tcPr>
          <w:p>
            <w:pPr>
              <w:spacing w:after="0" w:line="155" w:lineRule="exact"/>
              <w:rPr>
                <w:sz w:val="20"/>
                <w:szCs w:val="20"/>
                <w:color w:val="auto"/>
              </w:rPr>
            </w:pPr>
            <w:r>
              <w:rPr>
                <w:rFonts w:ascii="Arial" w:cs="Arial" w:eastAsia="Arial" w:hAnsi="Arial"/>
                <w:sz w:val="14"/>
                <w:szCs w:val="14"/>
                <w:color w:val="auto"/>
              </w:rPr>
              <w:t>Related Person Transaction Policy and Conflicts of Interest and Outside Activities Policy with Oversight by the Corporate Governance Committee</w:t>
            </w:r>
          </w:p>
        </w:tc>
        <w:tc>
          <w:tcPr>
            <w:tcW w:w="640" w:type="dxa"/>
            <w:vAlign w:val="bottom"/>
            <w:tcBorders>
              <w:bottom w:val="single" w:sz="8" w:color="1A6DBB"/>
            </w:tcBorders>
          </w:tcPr>
          <w:p>
            <w:pPr>
              <w:jc w:val="right"/>
              <w:spacing w:after="0" w:line="155" w:lineRule="exact"/>
              <w:rPr>
                <w:sz w:val="20"/>
                <w:szCs w:val="20"/>
                <w:color w:val="auto"/>
              </w:rPr>
            </w:pPr>
            <w:r>
              <w:rPr>
                <w:rFonts w:ascii="Arial" w:cs="Arial" w:eastAsia="Arial" w:hAnsi="Arial"/>
                <w:sz w:val="14"/>
                <w:szCs w:val="14"/>
                <w:color w:val="auto"/>
              </w:rPr>
              <w:t>Yes</w:t>
            </w:r>
          </w:p>
        </w:tc>
      </w:tr>
      <w:tr>
        <w:trPr>
          <w:trHeight w:val="156"/>
        </w:trPr>
        <w:tc>
          <w:tcPr>
            <w:tcW w:w="10400" w:type="dxa"/>
            <w:vAlign w:val="bottom"/>
            <w:tcBorders>
              <w:bottom w:val="single" w:sz="8" w:color="1A6DBB"/>
            </w:tcBorders>
            <w:gridSpan w:val="2"/>
          </w:tcPr>
          <w:p>
            <w:pPr>
              <w:spacing w:after="0" w:line="155" w:lineRule="exact"/>
              <w:rPr>
                <w:sz w:val="20"/>
                <w:szCs w:val="20"/>
                <w:color w:val="auto"/>
              </w:rPr>
            </w:pPr>
            <w:r>
              <w:rPr>
                <w:rFonts w:ascii="Arial" w:cs="Arial" w:eastAsia="Arial" w:hAnsi="Arial"/>
                <w:sz w:val="14"/>
                <w:szCs w:val="14"/>
                <w:color w:val="auto"/>
              </w:rPr>
              <w:t>Stock Ownership Guidelines for Directors and Executives</w:t>
            </w:r>
          </w:p>
        </w:tc>
        <w:tc>
          <w:tcPr>
            <w:tcW w:w="640" w:type="dxa"/>
            <w:vAlign w:val="bottom"/>
            <w:tcBorders>
              <w:bottom w:val="single" w:sz="8" w:color="1A6DBB"/>
            </w:tcBorders>
          </w:tcPr>
          <w:p>
            <w:pPr>
              <w:jc w:val="right"/>
              <w:spacing w:after="0" w:line="155" w:lineRule="exact"/>
              <w:rPr>
                <w:sz w:val="20"/>
                <w:szCs w:val="20"/>
                <w:color w:val="auto"/>
              </w:rPr>
            </w:pPr>
            <w:r>
              <w:rPr>
                <w:rFonts w:ascii="Arial" w:cs="Arial" w:eastAsia="Arial" w:hAnsi="Arial"/>
                <w:sz w:val="14"/>
                <w:szCs w:val="14"/>
                <w:color w:val="auto"/>
              </w:rPr>
              <w:t>Yes</w:t>
            </w:r>
          </w:p>
        </w:tc>
      </w:tr>
      <w:tr>
        <w:trPr>
          <w:trHeight w:val="156"/>
        </w:trPr>
        <w:tc>
          <w:tcPr>
            <w:tcW w:w="10400" w:type="dxa"/>
            <w:vAlign w:val="bottom"/>
            <w:tcBorders>
              <w:bottom w:val="single" w:sz="8" w:color="1A6DBB"/>
            </w:tcBorders>
            <w:gridSpan w:val="2"/>
          </w:tcPr>
          <w:p>
            <w:pPr>
              <w:spacing w:after="0" w:line="155" w:lineRule="exact"/>
              <w:rPr>
                <w:sz w:val="20"/>
                <w:szCs w:val="20"/>
                <w:color w:val="auto"/>
              </w:rPr>
            </w:pPr>
            <w:r>
              <w:rPr>
                <w:rFonts w:ascii="Arial" w:cs="Arial" w:eastAsia="Arial" w:hAnsi="Arial"/>
                <w:sz w:val="14"/>
                <w:szCs w:val="14"/>
                <w:color w:val="auto"/>
              </w:rPr>
              <w:t>Active Board Engagement in Succession Planning of Executive Officers</w:t>
            </w:r>
          </w:p>
        </w:tc>
        <w:tc>
          <w:tcPr>
            <w:tcW w:w="640" w:type="dxa"/>
            <w:vAlign w:val="bottom"/>
            <w:tcBorders>
              <w:bottom w:val="single" w:sz="8" w:color="1A6DBB"/>
            </w:tcBorders>
          </w:tcPr>
          <w:p>
            <w:pPr>
              <w:jc w:val="right"/>
              <w:spacing w:after="0" w:line="155" w:lineRule="exact"/>
              <w:rPr>
                <w:sz w:val="20"/>
                <w:szCs w:val="20"/>
                <w:color w:val="auto"/>
              </w:rPr>
            </w:pPr>
            <w:r>
              <w:rPr>
                <w:rFonts w:ascii="Arial" w:cs="Arial" w:eastAsia="Arial" w:hAnsi="Arial"/>
                <w:sz w:val="14"/>
                <w:szCs w:val="14"/>
                <w:color w:val="auto"/>
              </w:rPr>
              <w:t>Yes</w:t>
            </w:r>
          </w:p>
        </w:tc>
      </w:tr>
      <w:tr>
        <w:trPr>
          <w:trHeight w:val="156"/>
        </w:trPr>
        <w:tc>
          <w:tcPr>
            <w:tcW w:w="10400" w:type="dxa"/>
            <w:vAlign w:val="bottom"/>
            <w:tcBorders>
              <w:bottom w:val="single" w:sz="8" w:color="1A6DBB"/>
            </w:tcBorders>
            <w:gridSpan w:val="2"/>
          </w:tcPr>
          <w:p>
            <w:pPr>
              <w:spacing w:after="0" w:line="155" w:lineRule="exact"/>
              <w:rPr>
                <w:sz w:val="20"/>
                <w:szCs w:val="20"/>
                <w:color w:val="auto"/>
              </w:rPr>
            </w:pPr>
            <w:r>
              <w:rPr>
                <w:rFonts w:ascii="Arial" w:cs="Arial" w:eastAsia="Arial" w:hAnsi="Arial"/>
                <w:sz w:val="14"/>
                <w:szCs w:val="14"/>
                <w:color w:val="auto"/>
              </w:rPr>
              <w:t>Absence of a Stockholder Rights Plan (referred to as “Poison Pill”)</w:t>
            </w:r>
          </w:p>
        </w:tc>
        <w:tc>
          <w:tcPr>
            <w:tcW w:w="640" w:type="dxa"/>
            <w:vAlign w:val="bottom"/>
            <w:tcBorders>
              <w:bottom w:val="single" w:sz="8" w:color="1A6DBB"/>
            </w:tcBorders>
          </w:tcPr>
          <w:p>
            <w:pPr>
              <w:jc w:val="right"/>
              <w:spacing w:after="0" w:line="155" w:lineRule="exact"/>
              <w:rPr>
                <w:sz w:val="20"/>
                <w:szCs w:val="20"/>
                <w:color w:val="auto"/>
              </w:rPr>
            </w:pPr>
            <w:r>
              <w:rPr>
                <w:rFonts w:ascii="Arial" w:cs="Arial" w:eastAsia="Arial" w:hAnsi="Arial"/>
                <w:sz w:val="14"/>
                <w:szCs w:val="14"/>
                <w:color w:val="auto"/>
              </w:rPr>
              <w:t>Yes</w:t>
            </w:r>
          </w:p>
        </w:tc>
      </w:tr>
      <w:tr>
        <w:trPr>
          <w:trHeight w:val="156"/>
        </w:trPr>
        <w:tc>
          <w:tcPr>
            <w:tcW w:w="10400" w:type="dxa"/>
            <w:vAlign w:val="bottom"/>
            <w:tcBorders>
              <w:bottom w:val="single" w:sz="8" w:color="1A6DBB"/>
            </w:tcBorders>
            <w:gridSpan w:val="2"/>
          </w:tcPr>
          <w:p>
            <w:pPr>
              <w:spacing w:after="0" w:line="155" w:lineRule="exact"/>
              <w:rPr>
                <w:sz w:val="20"/>
                <w:szCs w:val="20"/>
                <w:color w:val="auto"/>
              </w:rPr>
            </w:pPr>
            <w:r>
              <w:rPr>
                <w:rFonts w:ascii="Arial" w:cs="Arial" w:eastAsia="Arial" w:hAnsi="Arial"/>
                <w:sz w:val="14"/>
                <w:szCs w:val="14"/>
                <w:color w:val="auto"/>
              </w:rPr>
              <w:t>Strong Commitment to Environmental and Sustainability Matters</w:t>
            </w:r>
          </w:p>
        </w:tc>
        <w:tc>
          <w:tcPr>
            <w:tcW w:w="640" w:type="dxa"/>
            <w:vAlign w:val="bottom"/>
            <w:tcBorders>
              <w:bottom w:val="single" w:sz="8" w:color="1A6DBB"/>
            </w:tcBorders>
          </w:tcPr>
          <w:p>
            <w:pPr>
              <w:jc w:val="right"/>
              <w:spacing w:after="0" w:line="155" w:lineRule="exact"/>
              <w:rPr>
                <w:sz w:val="20"/>
                <w:szCs w:val="20"/>
                <w:color w:val="auto"/>
              </w:rPr>
            </w:pPr>
            <w:r>
              <w:rPr>
                <w:rFonts w:ascii="Arial" w:cs="Arial" w:eastAsia="Arial" w:hAnsi="Arial"/>
                <w:sz w:val="14"/>
                <w:szCs w:val="14"/>
                <w:color w:val="auto"/>
              </w:rPr>
              <w:t>Yes</w:t>
            </w:r>
          </w:p>
        </w:tc>
      </w:tr>
      <w:tr>
        <w:trPr>
          <w:trHeight w:val="156"/>
        </w:trPr>
        <w:tc>
          <w:tcPr>
            <w:tcW w:w="10400" w:type="dxa"/>
            <w:vAlign w:val="bottom"/>
            <w:tcBorders>
              <w:bottom w:val="single" w:sz="8" w:color="1A6DBB"/>
            </w:tcBorders>
            <w:gridSpan w:val="2"/>
          </w:tcPr>
          <w:p>
            <w:pPr>
              <w:spacing w:after="0" w:line="155" w:lineRule="exact"/>
              <w:rPr>
                <w:sz w:val="20"/>
                <w:szCs w:val="20"/>
                <w:color w:val="auto"/>
              </w:rPr>
            </w:pPr>
            <w:r>
              <w:rPr>
                <w:rFonts w:ascii="Arial" w:cs="Arial" w:eastAsia="Arial" w:hAnsi="Arial"/>
                <w:sz w:val="14"/>
                <w:szCs w:val="14"/>
                <w:color w:val="auto"/>
              </w:rPr>
              <w:t>Board Oversight and Expanded Disclosure on Website Related to Corporate Political Contributions and Expenditures</w:t>
            </w:r>
          </w:p>
        </w:tc>
        <w:tc>
          <w:tcPr>
            <w:tcW w:w="640" w:type="dxa"/>
            <w:vAlign w:val="bottom"/>
            <w:tcBorders>
              <w:bottom w:val="single" w:sz="8" w:color="1A6DBB"/>
            </w:tcBorders>
          </w:tcPr>
          <w:p>
            <w:pPr>
              <w:jc w:val="right"/>
              <w:spacing w:after="0" w:line="155" w:lineRule="exact"/>
              <w:rPr>
                <w:sz w:val="20"/>
                <w:szCs w:val="20"/>
                <w:color w:val="auto"/>
              </w:rPr>
            </w:pPr>
            <w:r>
              <w:rPr>
                <w:rFonts w:ascii="Arial" w:cs="Arial" w:eastAsia="Arial" w:hAnsi="Arial"/>
                <w:sz w:val="14"/>
                <w:szCs w:val="14"/>
                <w:color w:val="auto"/>
              </w:rPr>
              <w:t>Yes</w:t>
            </w:r>
          </w:p>
        </w:tc>
      </w:tr>
    </w:tbl>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1A6DBB"/>
        </w:rPr>
        <w:t>Director Stockholder Engagement Initiative</w:t>
      </w:r>
    </w:p>
    <w:p>
      <w:pPr>
        <w:spacing w:after="0" w:line="128" w:lineRule="exact"/>
        <w:rPr>
          <w:sz w:val="20"/>
          <w:szCs w:val="20"/>
          <w:color w:val="auto"/>
        </w:rPr>
      </w:pPr>
    </w:p>
    <w:p>
      <w:pPr>
        <w:ind w:left="200" w:right="60"/>
        <w:spacing w:after="0" w:line="253" w:lineRule="auto"/>
        <w:rPr>
          <w:sz w:val="20"/>
          <w:szCs w:val="20"/>
          <w:color w:val="auto"/>
        </w:rPr>
      </w:pPr>
      <w:r>
        <w:rPr>
          <w:rFonts w:ascii="Arial" w:cs="Arial" w:eastAsia="Arial" w:hAnsi="Arial"/>
          <w:sz w:val="16"/>
          <w:szCs w:val="16"/>
          <w:color w:val="auto"/>
        </w:rPr>
        <w:t>We value the views of our stockholders and other stakeholders, and we solicit input throughout the year. During 2018 independent members of our Board of Directors met with several stockholders to discuss a variety of issues, including business strategy, capital allocation, corporate governance, executive compensation, sustainability and corporate social responsibility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75565</wp:posOffset>
            </wp:positionV>
            <wp:extent cx="213995" cy="2139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3995" cy="21399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158" w:lineRule="exact"/>
        <w:rPr>
          <w:sz w:val="20"/>
          <w:szCs w:val="20"/>
          <w:color w:val="auto"/>
        </w:rPr>
      </w:pPr>
    </w:p>
    <w:p>
      <w:pPr>
        <w:ind w:left="420"/>
        <w:spacing w:after="0"/>
        <w:rPr>
          <w:sz w:val="20"/>
          <w:szCs w:val="20"/>
          <w:color w:val="auto"/>
        </w:rPr>
      </w:pPr>
      <w:r>
        <w:rPr>
          <w:rFonts w:ascii="Arial" w:cs="Arial" w:eastAsia="Arial" w:hAnsi="Arial"/>
          <w:sz w:val="12"/>
          <w:szCs w:val="12"/>
          <w:color w:val="1A6DB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-78105</wp:posOffset>
            </wp:positionV>
            <wp:extent cx="42037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2037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2"/>
          <w:szCs w:val="12"/>
          <w:color w:val="1A6DBB"/>
        </w:rPr>
        <w:t>vi-</w:t>
      </w:r>
    </w:p>
    <w:p>
      <w:pPr>
        <w:sectPr>
          <w:pgSz w:w="11900" w:h="16838" w:orient="portrait"/>
          <w:cols w:equalWidth="0" w:num="1">
            <w:col w:w="11240"/>
          </w:cols>
          <w:pgMar w:left="240" w:top="459" w:right="41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336550</wp:posOffset>
            </wp:positionV>
            <wp:extent cx="6736080" cy="2870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6080" cy="28702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925830</wp:posOffset>
            </wp:positionV>
            <wp:extent cx="6997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0"/>
        <w:spacing w:after="0"/>
        <w:rPr>
          <w:sz w:val="20"/>
          <w:szCs w:val="20"/>
          <w:color w:val="auto"/>
        </w:rPr>
      </w:pPr>
      <w:r>
        <w:rPr>
          <w:rFonts w:ascii="Arial" w:cs="Arial" w:eastAsia="Arial" w:hAnsi="Arial"/>
          <w:sz w:val="41"/>
          <w:szCs w:val="41"/>
          <w:color w:val="1A6DBB"/>
        </w:rPr>
        <w:t xml:space="preserve">Proxy Statement Summary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25400</wp:posOffset>
            </wp:positionV>
            <wp:extent cx="6997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145415</wp:posOffset>
            </wp:positionV>
            <wp:extent cx="6869430" cy="3600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69430" cy="360045"/>
                    </a:xfrm>
                    <a:prstGeom prst="rect">
                      <a:avLst/>
                    </a:prstGeom>
                    <a:noFill/>
                  </pic:spPr>
                </pic:pic>
              </a:graphicData>
            </a:graphic>
          </wp:anchor>
        </w:drawing>
      </w:r>
    </w:p>
    <w:p>
      <w:pPr>
        <w:spacing w:after="0" w:line="392"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FFFFFF"/>
        </w:rPr>
        <w:t>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-155575</wp:posOffset>
            </wp:positionV>
            <wp:extent cx="6938010" cy="3600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3801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1A6DBB"/>
        </w:rPr>
        <w:t>Proposal 1 — Election of Directors</w:t>
      </w:r>
    </w:p>
    <w:p>
      <w:pPr>
        <w:spacing w:after="0" w:line="128" w:lineRule="exact"/>
        <w:rPr>
          <w:sz w:val="20"/>
          <w:szCs w:val="20"/>
          <w:color w:val="auto"/>
        </w:rPr>
      </w:pPr>
    </w:p>
    <w:p>
      <w:pPr>
        <w:ind w:left="200" w:right="40"/>
        <w:spacing w:after="0" w:line="260" w:lineRule="auto"/>
        <w:rPr>
          <w:sz w:val="20"/>
          <w:szCs w:val="20"/>
          <w:color w:val="auto"/>
        </w:rPr>
      </w:pPr>
      <w:r>
        <w:rPr>
          <w:rFonts w:ascii="Arial" w:cs="Arial" w:eastAsia="Arial" w:hAnsi="Arial"/>
          <w:sz w:val="16"/>
          <w:szCs w:val="16"/>
          <w:color w:val="auto"/>
        </w:rPr>
        <w:t>You are being asked to vote on the election of the following 14 nominees for director. All directors are elected annually by the affirmative vote of a majority of votes cast. Detailed information about each director’s background, skill sets and areas of expertise can be found beginning on page 11.</w:t>
      </w:r>
    </w:p>
    <w:p>
      <w:pPr>
        <w:spacing w:after="0" w:line="221" w:lineRule="exact"/>
        <w:rPr>
          <w:sz w:val="20"/>
          <w:szCs w:val="20"/>
          <w:color w:val="auto"/>
        </w:rPr>
      </w:pPr>
    </w:p>
    <w:tbl>
      <w:tblPr>
        <w:tblLayout w:type="fixed"/>
        <w:tblInd w:w="220" w:type="dxa"/>
        <w:tblCellMar>
          <w:top w:w="0" w:type="dxa"/>
          <w:left w:w="0" w:type="dxa"/>
          <w:bottom w:w="0" w:type="dxa"/>
          <w:right w:w="0" w:type="dxa"/>
        </w:tblCellMar>
      </w:tblPr>
      <w:tr>
        <w:trPr>
          <w:trHeight w:val="180"/>
        </w:trPr>
        <w:tc>
          <w:tcPr>
            <w:tcW w:w="6500" w:type="dxa"/>
            <w:vAlign w:val="bottom"/>
            <w:shd w:val="clear" w:color="auto" w:fill="1A6DBB"/>
          </w:tcPr>
          <w:p>
            <w:pPr>
              <w:spacing w:after="0"/>
              <w:rPr>
                <w:sz w:val="15"/>
                <w:szCs w:val="15"/>
                <w:color w:val="auto"/>
              </w:rPr>
            </w:pPr>
          </w:p>
        </w:tc>
        <w:tc>
          <w:tcPr>
            <w:tcW w:w="480" w:type="dxa"/>
            <w:vAlign w:val="bottom"/>
            <w:shd w:val="clear" w:color="auto" w:fill="1A6DBB"/>
          </w:tcPr>
          <w:p>
            <w:pPr>
              <w:spacing w:after="0"/>
              <w:rPr>
                <w:sz w:val="15"/>
                <w:szCs w:val="15"/>
                <w:color w:val="auto"/>
              </w:rPr>
            </w:pPr>
          </w:p>
        </w:tc>
        <w:tc>
          <w:tcPr>
            <w:tcW w:w="3300" w:type="dxa"/>
            <w:vAlign w:val="bottom"/>
            <w:vMerge w:val="restart"/>
            <w:shd w:val="clear" w:color="auto" w:fill="1A6DBB"/>
          </w:tcPr>
          <w:p>
            <w:pPr>
              <w:ind w:left="1300"/>
              <w:spacing w:after="0"/>
              <w:rPr>
                <w:sz w:val="20"/>
                <w:szCs w:val="20"/>
                <w:color w:val="auto"/>
              </w:rPr>
            </w:pPr>
            <w:r>
              <w:rPr>
                <w:rFonts w:ascii="Arial" w:cs="Arial" w:eastAsia="Arial" w:hAnsi="Arial"/>
                <w:sz w:val="14"/>
                <w:szCs w:val="14"/>
                <w:color w:val="FFFFFF"/>
              </w:rPr>
              <w:t>Committee Memberships*</w:t>
            </w:r>
          </w:p>
        </w:tc>
        <w:tc>
          <w:tcPr>
            <w:tcW w:w="740" w:type="dxa"/>
            <w:vAlign w:val="bottom"/>
            <w:shd w:val="clear" w:color="auto" w:fill="1A6DBB"/>
          </w:tcPr>
          <w:p>
            <w:pPr>
              <w:jc w:val="center"/>
              <w:ind w:left="28"/>
              <w:spacing w:after="0"/>
              <w:rPr>
                <w:sz w:val="20"/>
                <w:szCs w:val="20"/>
                <w:color w:val="auto"/>
              </w:rPr>
            </w:pPr>
            <w:r>
              <w:rPr>
                <w:rFonts w:ascii="Arial" w:cs="Arial" w:eastAsia="Arial" w:hAnsi="Arial"/>
                <w:sz w:val="14"/>
                <w:szCs w:val="14"/>
                <w:color w:val="FFFFFF"/>
              </w:rPr>
              <w:t>Other</w:t>
            </w:r>
          </w:p>
        </w:tc>
        <w:tc>
          <w:tcPr>
            <w:tcW w:w="0" w:type="dxa"/>
            <w:vAlign w:val="bottom"/>
          </w:tcPr>
          <w:p>
            <w:pPr>
              <w:spacing w:after="0"/>
              <w:rPr>
                <w:sz w:val="1"/>
                <w:szCs w:val="1"/>
                <w:color w:val="auto"/>
              </w:rPr>
            </w:pPr>
          </w:p>
        </w:tc>
      </w:tr>
      <w:tr>
        <w:trPr>
          <w:trHeight w:val="63"/>
        </w:trPr>
        <w:tc>
          <w:tcPr>
            <w:tcW w:w="6500" w:type="dxa"/>
            <w:vAlign w:val="bottom"/>
            <w:shd w:val="clear" w:color="auto" w:fill="1A6DBB"/>
          </w:tcPr>
          <w:p>
            <w:pPr>
              <w:spacing w:after="0"/>
              <w:rPr>
                <w:sz w:val="5"/>
                <w:szCs w:val="5"/>
                <w:color w:val="auto"/>
              </w:rPr>
            </w:pPr>
          </w:p>
        </w:tc>
        <w:tc>
          <w:tcPr>
            <w:tcW w:w="480" w:type="dxa"/>
            <w:vAlign w:val="bottom"/>
            <w:shd w:val="clear" w:color="auto" w:fill="1A6DBB"/>
          </w:tcPr>
          <w:p>
            <w:pPr>
              <w:spacing w:after="0"/>
              <w:rPr>
                <w:sz w:val="5"/>
                <w:szCs w:val="5"/>
                <w:color w:val="auto"/>
              </w:rPr>
            </w:pPr>
          </w:p>
        </w:tc>
        <w:tc>
          <w:tcPr>
            <w:tcW w:w="3300" w:type="dxa"/>
            <w:vAlign w:val="bottom"/>
            <w:vMerge w:val="continue"/>
            <w:shd w:val="clear" w:color="auto" w:fill="1A6DBB"/>
          </w:tcPr>
          <w:p>
            <w:pPr>
              <w:spacing w:after="0"/>
              <w:rPr>
                <w:sz w:val="5"/>
                <w:szCs w:val="5"/>
                <w:color w:val="auto"/>
              </w:rPr>
            </w:pPr>
          </w:p>
        </w:tc>
        <w:tc>
          <w:tcPr>
            <w:tcW w:w="740" w:type="dxa"/>
            <w:vAlign w:val="bottom"/>
            <w:vMerge w:val="restart"/>
            <w:shd w:val="clear" w:color="auto" w:fill="1A6DBB"/>
          </w:tcPr>
          <w:p>
            <w:pPr>
              <w:jc w:val="center"/>
              <w:ind w:left="8"/>
              <w:spacing w:after="0"/>
              <w:rPr>
                <w:sz w:val="20"/>
                <w:szCs w:val="20"/>
                <w:color w:val="auto"/>
              </w:rPr>
            </w:pPr>
            <w:r>
              <w:rPr>
                <w:rFonts w:ascii="Arial" w:cs="Arial" w:eastAsia="Arial" w:hAnsi="Arial"/>
                <w:sz w:val="14"/>
                <w:szCs w:val="14"/>
                <w:color w:val="FFFFFF"/>
                <w:w w:val="99"/>
              </w:rPr>
              <w:t>Public</w:t>
            </w:r>
          </w:p>
        </w:tc>
        <w:tc>
          <w:tcPr>
            <w:tcW w:w="0" w:type="dxa"/>
            <w:vAlign w:val="bottom"/>
          </w:tcPr>
          <w:p>
            <w:pPr>
              <w:spacing w:after="0"/>
              <w:rPr>
                <w:sz w:val="1"/>
                <w:szCs w:val="1"/>
                <w:color w:val="auto"/>
              </w:rPr>
            </w:pPr>
          </w:p>
        </w:tc>
      </w:tr>
      <w:tr>
        <w:trPr>
          <w:trHeight w:val="99"/>
        </w:trPr>
        <w:tc>
          <w:tcPr>
            <w:tcW w:w="6500" w:type="dxa"/>
            <w:vAlign w:val="bottom"/>
            <w:shd w:val="clear" w:color="auto" w:fill="1A6DBB"/>
          </w:tcPr>
          <w:p>
            <w:pPr>
              <w:spacing w:after="0"/>
              <w:rPr>
                <w:sz w:val="8"/>
                <w:szCs w:val="8"/>
                <w:color w:val="auto"/>
              </w:rPr>
            </w:pPr>
          </w:p>
        </w:tc>
        <w:tc>
          <w:tcPr>
            <w:tcW w:w="480" w:type="dxa"/>
            <w:vAlign w:val="bottom"/>
            <w:shd w:val="clear" w:color="auto" w:fill="1A6DBB"/>
          </w:tcPr>
          <w:p>
            <w:pPr>
              <w:spacing w:after="0"/>
              <w:rPr>
                <w:sz w:val="8"/>
                <w:szCs w:val="8"/>
                <w:color w:val="auto"/>
              </w:rPr>
            </w:pPr>
          </w:p>
        </w:tc>
        <w:tc>
          <w:tcPr>
            <w:tcW w:w="3300" w:type="dxa"/>
            <w:vAlign w:val="bottom"/>
            <w:shd w:val="clear" w:color="auto" w:fill="1A6DBB"/>
          </w:tcPr>
          <w:p>
            <w:pPr>
              <w:spacing w:after="0"/>
              <w:rPr>
                <w:sz w:val="8"/>
                <w:szCs w:val="8"/>
                <w:color w:val="auto"/>
              </w:rPr>
            </w:pPr>
          </w:p>
        </w:tc>
        <w:tc>
          <w:tcPr>
            <w:tcW w:w="740" w:type="dxa"/>
            <w:vAlign w:val="bottom"/>
            <w:vMerge w:val="continue"/>
            <w:shd w:val="clear" w:color="auto" w:fill="1A6DBB"/>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6500" w:type="dxa"/>
            <w:vAlign w:val="bottom"/>
            <w:shd w:val="clear" w:color="auto" w:fill="1A6DBB"/>
          </w:tcPr>
          <w:p>
            <w:pPr>
              <w:ind w:left="2120"/>
              <w:spacing w:after="0"/>
              <w:rPr>
                <w:sz w:val="20"/>
                <w:szCs w:val="20"/>
                <w:color w:val="auto"/>
              </w:rPr>
            </w:pPr>
            <w:r>
              <w:rPr>
                <w:rFonts w:ascii="Arial" w:cs="Arial" w:eastAsia="Arial" w:hAnsi="Arial"/>
                <w:sz w:val="14"/>
                <w:szCs w:val="14"/>
                <w:color w:val="FFFFFF"/>
              </w:rPr>
              <w:t>Name, Occupation and Experience</w:t>
            </w:r>
          </w:p>
        </w:tc>
        <w:tc>
          <w:tcPr>
            <w:tcW w:w="48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Age*</w:t>
            </w:r>
          </w:p>
        </w:tc>
        <w:tc>
          <w:tcPr>
            <w:tcW w:w="3300" w:type="dxa"/>
            <w:vAlign w:val="bottom"/>
            <w:shd w:val="clear" w:color="auto" w:fill="1A6DBB"/>
          </w:tcPr>
          <w:p>
            <w:pPr>
              <w:ind w:left="60"/>
              <w:spacing w:after="0"/>
              <w:rPr>
                <w:sz w:val="20"/>
                <w:szCs w:val="20"/>
                <w:color w:val="auto"/>
              </w:rPr>
            </w:pPr>
            <w:r>
              <w:rPr>
                <w:rFonts w:ascii="Arial" w:cs="Arial" w:eastAsia="Arial" w:hAnsi="Arial"/>
                <w:sz w:val="14"/>
                <w:szCs w:val="14"/>
                <w:color w:val="FFFFFF"/>
              </w:rPr>
              <w:t>Independent  AC  C&amp;MDC  CGC  FC  RC  STC</w:t>
            </w:r>
          </w:p>
        </w:tc>
        <w:tc>
          <w:tcPr>
            <w:tcW w:w="740" w:type="dxa"/>
            <w:vAlign w:val="bottom"/>
            <w:shd w:val="clear" w:color="auto" w:fill="1A6DBB"/>
          </w:tcPr>
          <w:p>
            <w:pPr>
              <w:jc w:val="center"/>
              <w:ind w:left="8"/>
              <w:spacing w:after="0"/>
              <w:rPr>
                <w:sz w:val="20"/>
                <w:szCs w:val="20"/>
                <w:color w:val="auto"/>
              </w:rPr>
            </w:pPr>
            <w:r>
              <w:rPr>
                <w:rFonts w:ascii="Arial" w:cs="Arial" w:eastAsia="Arial" w:hAnsi="Arial"/>
                <w:sz w:val="14"/>
                <w:szCs w:val="14"/>
                <w:color w:val="FFFFFF"/>
              </w:rPr>
              <w:t>Boards</w:t>
            </w:r>
          </w:p>
        </w:tc>
        <w:tc>
          <w:tcPr>
            <w:tcW w:w="0" w:type="dxa"/>
            <w:vAlign w:val="bottom"/>
          </w:tcPr>
          <w:p>
            <w:pPr>
              <w:spacing w:after="0"/>
              <w:rPr>
                <w:sz w:val="1"/>
                <w:szCs w:val="1"/>
                <w:color w:val="auto"/>
              </w:rPr>
            </w:pPr>
          </w:p>
        </w:tc>
      </w:tr>
      <w:tr>
        <w:trPr>
          <w:trHeight w:val="156"/>
        </w:trPr>
        <w:tc>
          <w:tcPr>
            <w:tcW w:w="6500" w:type="dxa"/>
            <w:vAlign w:val="bottom"/>
          </w:tcPr>
          <w:p>
            <w:pPr>
              <w:ind w:left="60"/>
              <w:spacing w:after="0" w:line="156" w:lineRule="exact"/>
              <w:rPr>
                <w:sz w:val="20"/>
                <w:szCs w:val="20"/>
                <w:color w:val="auto"/>
              </w:rPr>
            </w:pPr>
            <w:r>
              <w:rPr>
                <w:rFonts w:ascii="Arial" w:cs="Arial" w:eastAsia="Arial" w:hAnsi="Arial"/>
                <w:sz w:val="14"/>
                <w:szCs w:val="14"/>
                <w:b w:val="1"/>
                <w:bCs w:val="1"/>
                <w:color w:val="auto"/>
              </w:rPr>
              <w:t>John R. Chiminski*</w:t>
            </w:r>
          </w:p>
        </w:tc>
        <w:tc>
          <w:tcPr>
            <w:tcW w:w="480" w:type="dxa"/>
            <w:vAlign w:val="bottom"/>
            <w:vMerge w:val="restart"/>
          </w:tcPr>
          <w:p>
            <w:pPr>
              <w:jc w:val="center"/>
              <w:spacing w:after="0"/>
              <w:rPr>
                <w:sz w:val="20"/>
                <w:szCs w:val="20"/>
                <w:color w:val="auto"/>
              </w:rPr>
            </w:pPr>
            <w:r>
              <w:rPr>
                <w:rFonts w:ascii="Arial" w:cs="Arial" w:eastAsia="Arial" w:hAnsi="Arial"/>
                <w:sz w:val="14"/>
                <w:szCs w:val="14"/>
                <w:color w:val="auto"/>
              </w:rPr>
              <w:t>55</w:t>
            </w:r>
          </w:p>
        </w:tc>
        <w:tc>
          <w:tcPr>
            <w:tcW w:w="3300" w:type="dxa"/>
            <w:vAlign w:val="bottom"/>
            <w:vMerge w:val="restart"/>
          </w:tcPr>
          <w:p>
            <w:pPr>
              <w:jc w:val="center"/>
              <w:ind w:right="2308"/>
              <w:spacing w:after="0"/>
              <w:rPr>
                <w:sz w:val="20"/>
                <w:szCs w:val="20"/>
                <w:color w:val="auto"/>
              </w:rPr>
            </w:pPr>
            <w:r>
              <w:rPr>
                <w:rFonts w:ascii="Arial" w:cs="Arial" w:eastAsia="Arial" w:hAnsi="Arial"/>
                <w:sz w:val="14"/>
                <w:szCs w:val="14"/>
                <w:color w:val="auto"/>
                <w:w w:val="99"/>
              </w:rPr>
              <w:t>Yes</w:t>
            </w:r>
          </w:p>
        </w:tc>
        <w:tc>
          <w:tcPr>
            <w:tcW w:w="740" w:type="dxa"/>
            <w:vAlign w:val="bottom"/>
            <w:vMerge w:val="restart"/>
          </w:tcPr>
          <w:p>
            <w:pPr>
              <w:jc w:val="center"/>
              <w:ind w:lef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5"/>
        </w:trPr>
        <w:tc>
          <w:tcPr>
            <w:tcW w:w="6500" w:type="dxa"/>
            <w:vAlign w:val="bottom"/>
            <w:tcBorders>
              <w:bottom w:val="single" w:sz="8" w:color="1A6DBB"/>
            </w:tcBorders>
          </w:tcPr>
          <w:p>
            <w:pPr>
              <w:ind w:left="60"/>
              <w:spacing w:after="0"/>
              <w:rPr>
                <w:sz w:val="20"/>
                <w:szCs w:val="20"/>
                <w:color w:val="auto"/>
              </w:rPr>
            </w:pPr>
            <w:r>
              <w:rPr>
                <w:rFonts w:ascii="Arial" w:cs="Arial" w:eastAsia="Arial" w:hAnsi="Arial"/>
                <w:sz w:val="13"/>
                <w:szCs w:val="13"/>
                <w:color w:val="auto"/>
              </w:rPr>
              <w:t>Chair of the Board, President and Chief Executive Officer, Catalent, Inc.</w:t>
            </w:r>
          </w:p>
        </w:tc>
        <w:tc>
          <w:tcPr>
            <w:tcW w:w="480" w:type="dxa"/>
            <w:vAlign w:val="bottom"/>
            <w:tcBorders>
              <w:bottom w:val="single" w:sz="8" w:color="1A6DBB"/>
            </w:tcBorders>
            <w:vMerge w:val="continue"/>
          </w:tcPr>
          <w:p>
            <w:pPr>
              <w:spacing w:after="0"/>
              <w:rPr>
                <w:sz w:val="13"/>
                <w:szCs w:val="13"/>
                <w:color w:val="auto"/>
              </w:rPr>
            </w:pPr>
          </w:p>
        </w:tc>
        <w:tc>
          <w:tcPr>
            <w:tcW w:w="3300" w:type="dxa"/>
            <w:vAlign w:val="bottom"/>
            <w:tcBorders>
              <w:bottom w:val="single" w:sz="8" w:color="1A6DBB"/>
            </w:tcBorders>
            <w:vMerge w:val="continue"/>
          </w:tcPr>
          <w:p>
            <w:pPr>
              <w:spacing w:after="0"/>
              <w:rPr>
                <w:sz w:val="13"/>
                <w:szCs w:val="13"/>
                <w:color w:val="auto"/>
              </w:rPr>
            </w:pPr>
          </w:p>
        </w:tc>
        <w:tc>
          <w:tcPr>
            <w:tcW w:w="740" w:type="dxa"/>
            <w:vAlign w:val="bottom"/>
            <w:tcBorders>
              <w:bottom w:val="single" w:sz="8" w:color="1A6DBB"/>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5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Alexander J. Denner, Ph.D.</w:t>
            </w:r>
          </w:p>
        </w:tc>
        <w:tc>
          <w:tcPr>
            <w:tcW w:w="4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500" w:type="dxa"/>
            <w:vAlign w:val="bottom"/>
          </w:tcPr>
          <w:p>
            <w:pPr>
              <w:ind w:left="60"/>
              <w:spacing w:after="0" w:line="135" w:lineRule="exact"/>
              <w:rPr>
                <w:sz w:val="20"/>
                <w:szCs w:val="20"/>
                <w:color w:val="auto"/>
              </w:rPr>
            </w:pPr>
            <w:r>
              <w:rPr>
                <w:rFonts w:ascii="Arial" w:cs="Arial" w:eastAsia="Arial" w:hAnsi="Arial"/>
                <w:sz w:val="13"/>
                <w:szCs w:val="13"/>
                <w:color w:val="auto"/>
              </w:rPr>
              <w:t>Founding Partner and Chief Investment Officer, Sarissa Capital</w:t>
            </w:r>
          </w:p>
        </w:tc>
        <w:tc>
          <w:tcPr>
            <w:tcW w:w="480" w:type="dxa"/>
            <w:vAlign w:val="bottom"/>
            <w:vMerge w:val="restart"/>
          </w:tcPr>
          <w:p>
            <w:pPr>
              <w:jc w:val="center"/>
              <w:spacing w:after="0"/>
              <w:rPr>
                <w:sz w:val="20"/>
                <w:szCs w:val="20"/>
                <w:color w:val="auto"/>
              </w:rPr>
            </w:pPr>
            <w:r>
              <w:rPr>
                <w:rFonts w:ascii="Arial" w:cs="Arial" w:eastAsia="Arial" w:hAnsi="Arial"/>
                <w:sz w:val="14"/>
                <w:szCs w:val="14"/>
                <w:color w:val="auto"/>
              </w:rPr>
              <w:t>49</w:t>
            </w:r>
          </w:p>
        </w:tc>
        <w:tc>
          <w:tcPr>
            <w:tcW w:w="3300" w:type="dxa"/>
            <w:vAlign w:val="bottom"/>
            <w:vMerge w:val="restart"/>
          </w:tcPr>
          <w:p>
            <w:pPr>
              <w:jc w:val="center"/>
              <w:ind w:right="2308"/>
              <w:spacing w:after="0"/>
              <w:rPr>
                <w:sz w:val="20"/>
                <w:szCs w:val="20"/>
                <w:color w:val="auto"/>
              </w:rPr>
            </w:pPr>
            <w:r>
              <w:rPr>
                <w:rFonts w:ascii="Arial" w:cs="Arial" w:eastAsia="Arial" w:hAnsi="Arial"/>
                <w:sz w:val="14"/>
                <w:szCs w:val="14"/>
                <w:color w:val="auto"/>
                <w:w w:val="99"/>
              </w:rPr>
              <w:t>Yes</w:t>
            </w:r>
          </w:p>
        </w:tc>
        <w:tc>
          <w:tcPr>
            <w:tcW w:w="740" w:type="dxa"/>
            <w:vAlign w:val="bottom"/>
            <w:vMerge w:val="restart"/>
          </w:tcPr>
          <w:p>
            <w:pPr>
              <w:jc w:val="center"/>
              <w:ind w:lef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5"/>
        </w:trPr>
        <w:tc>
          <w:tcPr>
            <w:tcW w:w="6500" w:type="dxa"/>
            <w:vAlign w:val="bottom"/>
            <w:tcBorders>
              <w:bottom w:val="single" w:sz="8" w:color="1A6DBB"/>
            </w:tcBorders>
          </w:tcPr>
          <w:p>
            <w:pPr>
              <w:ind w:left="60"/>
              <w:spacing w:after="0"/>
              <w:rPr>
                <w:sz w:val="20"/>
                <w:szCs w:val="20"/>
                <w:color w:val="auto"/>
              </w:rPr>
            </w:pPr>
            <w:r>
              <w:rPr>
                <w:rFonts w:ascii="Arial" w:cs="Arial" w:eastAsia="Arial" w:hAnsi="Arial"/>
                <w:sz w:val="13"/>
                <w:szCs w:val="13"/>
                <w:color w:val="auto"/>
              </w:rPr>
              <w:t>Management LP</w:t>
            </w:r>
          </w:p>
        </w:tc>
        <w:tc>
          <w:tcPr>
            <w:tcW w:w="480" w:type="dxa"/>
            <w:vAlign w:val="bottom"/>
            <w:tcBorders>
              <w:bottom w:val="single" w:sz="8" w:color="1A6DBB"/>
            </w:tcBorders>
            <w:vMerge w:val="continue"/>
          </w:tcPr>
          <w:p>
            <w:pPr>
              <w:spacing w:after="0"/>
              <w:rPr>
                <w:sz w:val="13"/>
                <w:szCs w:val="13"/>
                <w:color w:val="auto"/>
              </w:rPr>
            </w:pPr>
          </w:p>
        </w:tc>
        <w:tc>
          <w:tcPr>
            <w:tcW w:w="3300" w:type="dxa"/>
            <w:vAlign w:val="bottom"/>
            <w:tcBorders>
              <w:bottom w:val="single" w:sz="8" w:color="1A6DBB"/>
            </w:tcBorders>
            <w:vMerge w:val="continue"/>
          </w:tcPr>
          <w:p>
            <w:pPr>
              <w:spacing w:after="0"/>
              <w:rPr>
                <w:sz w:val="13"/>
                <w:szCs w:val="13"/>
                <w:color w:val="auto"/>
              </w:rPr>
            </w:pPr>
          </w:p>
        </w:tc>
        <w:tc>
          <w:tcPr>
            <w:tcW w:w="740" w:type="dxa"/>
            <w:vAlign w:val="bottom"/>
            <w:tcBorders>
              <w:bottom w:val="single" w:sz="8" w:color="1A6DBB"/>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5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Caroline D. Dorsa</w:t>
            </w:r>
          </w:p>
        </w:tc>
        <w:tc>
          <w:tcPr>
            <w:tcW w:w="4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500" w:type="dxa"/>
            <w:vAlign w:val="bottom"/>
          </w:tcPr>
          <w:p>
            <w:pPr>
              <w:ind w:left="60"/>
              <w:spacing w:after="0" w:line="135" w:lineRule="exact"/>
              <w:rPr>
                <w:sz w:val="20"/>
                <w:szCs w:val="20"/>
                <w:color w:val="auto"/>
              </w:rPr>
            </w:pPr>
            <w:r>
              <w:rPr>
                <w:rFonts w:ascii="Arial" w:cs="Arial" w:eastAsia="Arial" w:hAnsi="Arial"/>
                <w:sz w:val="13"/>
                <w:szCs w:val="13"/>
                <w:color w:val="auto"/>
              </w:rPr>
              <w:t>Retired Executive Vice President and Chief Financial Officer,</w:t>
            </w:r>
          </w:p>
        </w:tc>
        <w:tc>
          <w:tcPr>
            <w:tcW w:w="48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500" w:type="dxa"/>
            <w:vAlign w:val="bottom"/>
            <w:tcBorders>
              <w:bottom w:val="single" w:sz="8" w:color="1A6DBB"/>
            </w:tcBorders>
          </w:tcPr>
          <w:p>
            <w:pPr>
              <w:ind w:left="60"/>
              <w:spacing w:after="0"/>
              <w:rPr>
                <w:sz w:val="20"/>
                <w:szCs w:val="20"/>
                <w:color w:val="auto"/>
              </w:rPr>
            </w:pPr>
            <w:r>
              <w:rPr>
                <w:rFonts w:ascii="Arial" w:cs="Arial" w:eastAsia="Arial" w:hAnsi="Arial"/>
                <w:sz w:val="13"/>
                <w:szCs w:val="13"/>
                <w:color w:val="auto"/>
              </w:rPr>
              <w:t>Public Service Enterprise Group Incorporated</w:t>
            </w:r>
          </w:p>
        </w:tc>
        <w:tc>
          <w:tcPr>
            <w:tcW w:w="480" w:type="dxa"/>
            <w:vAlign w:val="bottom"/>
            <w:tcBorders>
              <w:bottom w:val="single" w:sz="8" w:color="1A6DBB"/>
            </w:tcBorders>
          </w:tcPr>
          <w:p>
            <w:pPr>
              <w:jc w:val="center"/>
              <w:spacing w:after="0"/>
              <w:rPr>
                <w:sz w:val="20"/>
                <w:szCs w:val="20"/>
                <w:color w:val="auto"/>
              </w:rPr>
            </w:pPr>
            <w:r>
              <w:rPr>
                <w:rFonts w:ascii="Arial" w:cs="Arial" w:eastAsia="Arial" w:hAnsi="Arial"/>
                <w:sz w:val="14"/>
                <w:szCs w:val="14"/>
                <w:color w:val="auto"/>
              </w:rPr>
              <w:t>59</w:t>
            </w:r>
          </w:p>
        </w:tc>
        <w:tc>
          <w:tcPr>
            <w:tcW w:w="3300" w:type="dxa"/>
            <w:vAlign w:val="bottom"/>
            <w:tcBorders>
              <w:bottom w:val="single" w:sz="8" w:color="1A6DBB"/>
            </w:tcBorders>
          </w:tcPr>
          <w:p>
            <w:pPr>
              <w:jc w:val="center"/>
              <w:ind w:right="2308"/>
              <w:spacing w:after="0"/>
              <w:rPr>
                <w:sz w:val="20"/>
                <w:szCs w:val="20"/>
                <w:color w:val="auto"/>
              </w:rPr>
            </w:pPr>
            <w:r>
              <w:rPr>
                <w:rFonts w:ascii="Arial" w:cs="Arial" w:eastAsia="Arial" w:hAnsi="Arial"/>
                <w:sz w:val="14"/>
                <w:szCs w:val="14"/>
                <w:color w:val="auto"/>
                <w:w w:val="99"/>
              </w:rPr>
              <w:t>Yes</w:t>
            </w:r>
          </w:p>
        </w:tc>
        <w:tc>
          <w:tcPr>
            <w:tcW w:w="740" w:type="dxa"/>
            <w:vAlign w:val="bottom"/>
            <w:tcBorders>
              <w:bottom w:val="single" w:sz="8" w:color="1A6DBB"/>
            </w:tcBorders>
          </w:tcPr>
          <w:p>
            <w:pPr>
              <w:jc w:val="center"/>
              <w:ind w:lef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0"/>
        </w:trPr>
        <w:tc>
          <w:tcPr>
            <w:tcW w:w="65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William A. Hawkins*</w:t>
            </w:r>
          </w:p>
        </w:tc>
        <w:tc>
          <w:tcPr>
            <w:tcW w:w="480" w:type="dxa"/>
            <w:vAlign w:val="bottom"/>
            <w:vMerge w:val="restart"/>
          </w:tcPr>
          <w:p>
            <w:pPr>
              <w:jc w:val="center"/>
              <w:spacing w:after="0"/>
              <w:rPr>
                <w:sz w:val="20"/>
                <w:szCs w:val="20"/>
                <w:color w:val="auto"/>
              </w:rPr>
            </w:pPr>
            <w:r>
              <w:rPr>
                <w:rFonts w:ascii="Arial" w:cs="Arial" w:eastAsia="Arial" w:hAnsi="Arial"/>
                <w:sz w:val="14"/>
                <w:szCs w:val="14"/>
                <w:color w:val="auto"/>
              </w:rPr>
              <w:t>65</w:t>
            </w:r>
          </w:p>
        </w:tc>
        <w:tc>
          <w:tcPr>
            <w:tcW w:w="3300" w:type="dxa"/>
            <w:vAlign w:val="bottom"/>
            <w:vMerge w:val="restart"/>
          </w:tcPr>
          <w:p>
            <w:pPr>
              <w:jc w:val="center"/>
              <w:ind w:right="2308"/>
              <w:spacing w:after="0"/>
              <w:rPr>
                <w:sz w:val="20"/>
                <w:szCs w:val="20"/>
                <w:color w:val="auto"/>
              </w:rPr>
            </w:pPr>
            <w:r>
              <w:rPr>
                <w:rFonts w:ascii="Arial" w:cs="Arial" w:eastAsia="Arial" w:hAnsi="Arial"/>
                <w:sz w:val="14"/>
                <w:szCs w:val="14"/>
                <w:color w:val="auto"/>
                <w:w w:val="99"/>
              </w:rPr>
              <w:t>Yes</w:t>
            </w:r>
          </w:p>
        </w:tc>
        <w:tc>
          <w:tcPr>
            <w:tcW w:w="740" w:type="dxa"/>
            <w:vAlign w:val="bottom"/>
            <w:vMerge w:val="restart"/>
          </w:tcPr>
          <w:p>
            <w:pPr>
              <w:jc w:val="center"/>
              <w:ind w:lef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5"/>
        </w:trPr>
        <w:tc>
          <w:tcPr>
            <w:tcW w:w="6500" w:type="dxa"/>
            <w:vAlign w:val="bottom"/>
            <w:tcBorders>
              <w:bottom w:val="single" w:sz="8" w:color="1A6DBB"/>
            </w:tcBorders>
          </w:tcPr>
          <w:p>
            <w:pPr>
              <w:ind w:left="60"/>
              <w:spacing w:after="0"/>
              <w:rPr>
                <w:sz w:val="20"/>
                <w:szCs w:val="20"/>
                <w:color w:val="auto"/>
              </w:rPr>
            </w:pPr>
            <w:r>
              <w:rPr>
                <w:rFonts w:ascii="Arial" w:cs="Arial" w:eastAsia="Arial" w:hAnsi="Arial"/>
                <w:sz w:val="13"/>
                <w:szCs w:val="13"/>
                <w:color w:val="auto"/>
              </w:rPr>
              <w:t>Senior Advisor, EW Healthcare Partners</w:t>
            </w:r>
          </w:p>
        </w:tc>
        <w:tc>
          <w:tcPr>
            <w:tcW w:w="480" w:type="dxa"/>
            <w:vAlign w:val="bottom"/>
            <w:tcBorders>
              <w:bottom w:val="single" w:sz="8" w:color="1A6DBB"/>
            </w:tcBorders>
            <w:vMerge w:val="continue"/>
          </w:tcPr>
          <w:p>
            <w:pPr>
              <w:spacing w:after="0"/>
              <w:rPr>
                <w:sz w:val="13"/>
                <w:szCs w:val="13"/>
                <w:color w:val="auto"/>
              </w:rPr>
            </w:pPr>
          </w:p>
        </w:tc>
        <w:tc>
          <w:tcPr>
            <w:tcW w:w="3300" w:type="dxa"/>
            <w:vAlign w:val="bottom"/>
            <w:tcBorders>
              <w:bottom w:val="single" w:sz="8" w:color="1A6DBB"/>
            </w:tcBorders>
            <w:vMerge w:val="continue"/>
          </w:tcPr>
          <w:p>
            <w:pPr>
              <w:spacing w:after="0"/>
              <w:rPr>
                <w:sz w:val="13"/>
                <w:szCs w:val="13"/>
                <w:color w:val="auto"/>
              </w:rPr>
            </w:pPr>
          </w:p>
        </w:tc>
        <w:tc>
          <w:tcPr>
            <w:tcW w:w="740" w:type="dxa"/>
            <w:vAlign w:val="bottom"/>
            <w:tcBorders>
              <w:bottom w:val="single" w:sz="8" w:color="1A6DBB"/>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5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Nancy L. Leaming</w:t>
            </w:r>
          </w:p>
        </w:tc>
        <w:tc>
          <w:tcPr>
            <w:tcW w:w="480" w:type="dxa"/>
            <w:vAlign w:val="bottom"/>
            <w:vMerge w:val="restart"/>
          </w:tcPr>
          <w:p>
            <w:pPr>
              <w:jc w:val="center"/>
              <w:spacing w:after="0"/>
              <w:rPr>
                <w:sz w:val="20"/>
                <w:szCs w:val="20"/>
                <w:color w:val="auto"/>
              </w:rPr>
            </w:pPr>
            <w:r>
              <w:rPr>
                <w:rFonts w:ascii="Arial" w:cs="Arial" w:eastAsia="Arial" w:hAnsi="Arial"/>
                <w:sz w:val="14"/>
                <w:szCs w:val="14"/>
                <w:color w:val="auto"/>
              </w:rPr>
              <w:t>71</w:t>
            </w:r>
          </w:p>
        </w:tc>
        <w:tc>
          <w:tcPr>
            <w:tcW w:w="3300" w:type="dxa"/>
            <w:vAlign w:val="bottom"/>
            <w:vMerge w:val="restart"/>
          </w:tcPr>
          <w:p>
            <w:pPr>
              <w:jc w:val="center"/>
              <w:ind w:right="2308"/>
              <w:spacing w:after="0"/>
              <w:rPr>
                <w:sz w:val="20"/>
                <w:szCs w:val="20"/>
                <w:color w:val="auto"/>
              </w:rPr>
            </w:pPr>
            <w:r>
              <w:rPr>
                <w:rFonts w:ascii="Arial" w:cs="Arial" w:eastAsia="Arial" w:hAnsi="Arial"/>
                <w:sz w:val="14"/>
                <w:szCs w:val="14"/>
                <w:color w:val="auto"/>
                <w:w w:val="99"/>
              </w:rPr>
              <w:t>Yes</w:t>
            </w:r>
          </w:p>
        </w:tc>
        <w:tc>
          <w:tcPr>
            <w:tcW w:w="740" w:type="dxa"/>
            <w:vAlign w:val="bottom"/>
            <w:vMerge w:val="restart"/>
          </w:tcPr>
          <w:p>
            <w:pPr>
              <w:jc w:val="center"/>
              <w:ind w:left="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55"/>
        </w:trPr>
        <w:tc>
          <w:tcPr>
            <w:tcW w:w="6500" w:type="dxa"/>
            <w:vAlign w:val="bottom"/>
            <w:tcBorders>
              <w:bottom w:val="single" w:sz="8" w:color="1A6DBB"/>
            </w:tcBorders>
          </w:tcPr>
          <w:p>
            <w:pPr>
              <w:ind w:left="60"/>
              <w:spacing w:after="0"/>
              <w:rPr>
                <w:sz w:val="20"/>
                <w:szCs w:val="20"/>
                <w:color w:val="auto"/>
              </w:rPr>
            </w:pPr>
            <w:r>
              <w:rPr>
                <w:rFonts w:ascii="Arial" w:cs="Arial" w:eastAsia="Arial" w:hAnsi="Arial"/>
                <w:sz w:val="13"/>
                <w:szCs w:val="13"/>
                <w:color w:val="auto"/>
              </w:rPr>
              <w:t>Retired Chief Executive Officer and President, Tufts Health Plan</w:t>
            </w:r>
          </w:p>
        </w:tc>
        <w:tc>
          <w:tcPr>
            <w:tcW w:w="480" w:type="dxa"/>
            <w:vAlign w:val="bottom"/>
            <w:tcBorders>
              <w:bottom w:val="single" w:sz="8" w:color="1A6DBB"/>
            </w:tcBorders>
            <w:vMerge w:val="continue"/>
          </w:tcPr>
          <w:p>
            <w:pPr>
              <w:spacing w:after="0"/>
              <w:rPr>
                <w:sz w:val="13"/>
                <w:szCs w:val="13"/>
                <w:color w:val="auto"/>
              </w:rPr>
            </w:pPr>
          </w:p>
        </w:tc>
        <w:tc>
          <w:tcPr>
            <w:tcW w:w="3300" w:type="dxa"/>
            <w:vAlign w:val="bottom"/>
            <w:tcBorders>
              <w:bottom w:val="single" w:sz="8" w:color="1A6DBB"/>
            </w:tcBorders>
            <w:vMerge w:val="continue"/>
          </w:tcPr>
          <w:p>
            <w:pPr>
              <w:spacing w:after="0"/>
              <w:rPr>
                <w:sz w:val="13"/>
                <w:szCs w:val="13"/>
                <w:color w:val="auto"/>
              </w:rPr>
            </w:pPr>
          </w:p>
        </w:tc>
        <w:tc>
          <w:tcPr>
            <w:tcW w:w="740" w:type="dxa"/>
            <w:vAlign w:val="bottom"/>
            <w:tcBorders>
              <w:bottom w:val="single" w:sz="8" w:color="1A6DBB"/>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5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Jesus B. Mantas*</w:t>
            </w:r>
          </w:p>
        </w:tc>
        <w:tc>
          <w:tcPr>
            <w:tcW w:w="480" w:type="dxa"/>
            <w:vAlign w:val="bottom"/>
            <w:vMerge w:val="restart"/>
          </w:tcPr>
          <w:p>
            <w:pPr>
              <w:jc w:val="center"/>
              <w:spacing w:after="0"/>
              <w:rPr>
                <w:sz w:val="20"/>
                <w:szCs w:val="20"/>
                <w:color w:val="auto"/>
              </w:rPr>
            </w:pPr>
            <w:r>
              <w:rPr>
                <w:rFonts w:ascii="Arial" w:cs="Arial" w:eastAsia="Arial" w:hAnsi="Arial"/>
                <w:sz w:val="14"/>
                <w:szCs w:val="14"/>
                <w:color w:val="auto"/>
              </w:rPr>
              <w:t>50</w:t>
            </w:r>
          </w:p>
        </w:tc>
        <w:tc>
          <w:tcPr>
            <w:tcW w:w="3300" w:type="dxa"/>
            <w:vAlign w:val="bottom"/>
            <w:vMerge w:val="restart"/>
          </w:tcPr>
          <w:p>
            <w:pPr>
              <w:jc w:val="center"/>
              <w:ind w:right="2308"/>
              <w:spacing w:after="0"/>
              <w:rPr>
                <w:sz w:val="20"/>
                <w:szCs w:val="20"/>
                <w:color w:val="auto"/>
              </w:rPr>
            </w:pPr>
            <w:r>
              <w:rPr>
                <w:rFonts w:ascii="Arial" w:cs="Arial" w:eastAsia="Arial" w:hAnsi="Arial"/>
                <w:sz w:val="14"/>
                <w:szCs w:val="14"/>
                <w:color w:val="auto"/>
                <w:w w:val="99"/>
              </w:rPr>
              <w:t>Yes</w:t>
            </w:r>
          </w:p>
        </w:tc>
        <w:tc>
          <w:tcPr>
            <w:tcW w:w="740" w:type="dxa"/>
            <w:vAlign w:val="bottom"/>
            <w:vMerge w:val="restart"/>
          </w:tcPr>
          <w:p>
            <w:pPr>
              <w:jc w:val="center"/>
              <w:ind w:left="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55"/>
        </w:trPr>
        <w:tc>
          <w:tcPr>
            <w:tcW w:w="6500" w:type="dxa"/>
            <w:vAlign w:val="bottom"/>
            <w:tcBorders>
              <w:bottom w:val="single" w:sz="8" w:color="1A6DBB"/>
            </w:tcBorders>
          </w:tcPr>
          <w:p>
            <w:pPr>
              <w:ind w:left="60"/>
              <w:spacing w:after="0"/>
              <w:rPr>
                <w:sz w:val="20"/>
                <w:szCs w:val="20"/>
                <w:color w:val="auto"/>
              </w:rPr>
            </w:pPr>
            <w:r>
              <w:rPr>
                <w:rFonts w:ascii="Arial" w:cs="Arial" w:eastAsia="Arial" w:hAnsi="Arial"/>
                <w:sz w:val="13"/>
                <w:szCs w:val="13"/>
                <w:color w:val="auto"/>
              </w:rPr>
              <w:t>Managing Partner and General Manager, IBM Global Services</w:t>
            </w:r>
          </w:p>
        </w:tc>
        <w:tc>
          <w:tcPr>
            <w:tcW w:w="480" w:type="dxa"/>
            <w:vAlign w:val="bottom"/>
            <w:tcBorders>
              <w:bottom w:val="single" w:sz="8" w:color="1A6DBB"/>
            </w:tcBorders>
            <w:vMerge w:val="continue"/>
          </w:tcPr>
          <w:p>
            <w:pPr>
              <w:spacing w:after="0"/>
              <w:rPr>
                <w:sz w:val="13"/>
                <w:szCs w:val="13"/>
                <w:color w:val="auto"/>
              </w:rPr>
            </w:pPr>
          </w:p>
        </w:tc>
        <w:tc>
          <w:tcPr>
            <w:tcW w:w="3300" w:type="dxa"/>
            <w:vAlign w:val="bottom"/>
            <w:tcBorders>
              <w:bottom w:val="single" w:sz="8" w:color="1A6DBB"/>
            </w:tcBorders>
            <w:vMerge w:val="continue"/>
          </w:tcPr>
          <w:p>
            <w:pPr>
              <w:spacing w:after="0"/>
              <w:rPr>
                <w:sz w:val="13"/>
                <w:szCs w:val="13"/>
                <w:color w:val="auto"/>
              </w:rPr>
            </w:pPr>
          </w:p>
        </w:tc>
        <w:tc>
          <w:tcPr>
            <w:tcW w:w="740" w:type="dxa"/>
            <w:vAlign w:val="bottom"/>
            <w:tcBorders>
              <w:bottom w:val="single" w:sz="8" w:color="1A6DBB"/>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5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Richard C. Mulligan, Ph.D.</w:t>
            </w:r>
          </w:p>
        </w:tc>
        <w:tc>
          <w:tcPr>
            <w:tcW w:w="4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500" w:type="dxa"/>
            <w:vAlign w:val="bottom"/>
          </w:tcPr>
          <w:p>
            <w:pPr>
              <w:ind w:left="60"/>
              <w:spacing w:after="0" w:line="135" w:lineRule="exact"/>
              <w:rPr>
                <w:sz w:val="20"/>
                <w:szCs w:val="20"/>
                <w:color w:val="auto"/>
              </w:rPr>
            </w:pPr>
            <w:r>
              <w:rPr>
                <w:rFonts w:ascii="Arial" w:cs="Arial" w:eastAsia="Arial" w:hAnsi="Arial"/>
                <w:sz w:val="13"/>
                <w:szCs w:val="13"/>
                <w:color w:val="auto"/>
              </w:rPr>
              <w:t>Mallinckrodt Professor of Genetics, Emeritus, Harvard Medical School and</w:t>
            </w:r>
          </w:p>
        </w:tc>
        <w:tc>
          <w:tcPr>
            <w:tcW w:w="480" w:type="dxa"/>
            <w:vAlign w:val="bottom"/>
            <w:vMerge w:val="restart"/>
          </w:tcPr>
          <w:p>
            <w:pPr>
              <w:jc w:val="center"/>
              <w:spacing w:after="0"/>
              <w:rPr>
                <w:sz w:val="20"/>
                <w:szCs w:val="20"/>
                <w:color w:val="auto"/>
              </w:rPr>
            </w:pPr>
            <w:r>
              <w:rPr>
                <w:rFonts w:ascii="Arial" w:cs="Arial" w:eastAsia="Arial" w:hAnsi="Arial"/>
                <w:sz w:val="14"/>
                <w:szCs w:val="14"/>
                <w:color w:val="auto"/>
              </w:rPr>
              <w:t>64</w:t>
            </w:r>
          </w:p>
        </w:tc>
        <w:tc>
          <w:tcPr>
            <w:tcW w:w="3300" w:type="dxa"/>
            <w:vAlign w:val="bottom"/>
            <w:vMerge w:val="restart"/>
          </w:tcPr>
          <w:p>
            <w:pPr>
              <w:jc w:val="center"/>
              <w:ind w:right="2308"/>
              <w:spacing w:after="0"/>
              <w:rPr>
                <w:sz w:val="20"/>
                <w:szCs w:val="20"/>
                <w:color w:val="auto"/>
              </w:rPr>
            </w:pPr>
            <w:r>
              <w:rPr>
                <w:rFonts w:ascii="Arial" w:cs="Arial" w:eastAsia="Arial" w:hAnsi="Arial"/>
                <w:sz w:val="14"/>
                <w:szCs w:val="14"/>
                <w:color w:val="auto"/>
                <w:w w:val="99"/>
              </w:rPr>
              <w:t>Yes</w:t>
            </w:r>
          </w:p>
        </w:tc>
        <w:tc>
          <w:tcPr>
            <w:tcW w:w="740" w:type="dxa"/>
            <w:vAlign w:val="bottom"/>
            <w:vMerge w:val="restart"/>
          </w:tcPr>
          <w:p>
            <w:pPr>
              <w:jc w:val="center"/>
              <w:ind w:left="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55"/>
        </w:trPr>
        <w:tc>
          <w:tcPr>
            <w:tcW w:w="6500" w:type="dxa"/>
            <w:vAlign w:val="bottom"/>
            <w:tcBorders>
              <w:bottom w:val="single" w:sz="8" w:color="1A6DBB"/>
            </w:tcBorders>
          </w:tcPr>
          <w:p>
            <w:pPr>
              <w:ind w:left="60"/>
              <w:spacing w:after="0"/>
              <w:rPr>
                <w:sz w:val="20"/>
                <w:szCs w:val="20"/>
                <w:color w:val="auto"/>
              </w:rPr>
            </w:pPr>
            <w:r>
              <w:rPr>
                <w:rFonts w:ascii="Arial" w:cs="Arial" w:eastAsia="Arial" w:hAnsi="Arial"/>
                <w:sz w:val="13"/>
                <w:szCs w:val="13"/>
                <w:color w:val="auto"/>
              </w:rPr>
              <w:t>Executive Vice Chairman, Sana Biotechnology</w:t>
            </w:r>
          </w:p>
        </w:tc>
        <w:tc>
          <w:tcPr>
            <w:tcW w:w="480" w:type="dxa"/>
            <w:vAlign w:val="bottom"/>
            <w:tcBorders>
              <w:bottom w:val="single" w:sz="8" w:color="1A6DBB"/>
            </w:tcBorders>
            <w:vMerge w:val="continue"/>
          </w:tcPr>
          <w:p>
            <w:pPr>
              <w:spacing w:after="0"/>
              <w:rPr>
                <w:sz w:val="13"/>
                <w:szCs w:val="13"/>
                <w:color w:val="auto"/>
              </w:rPr>
            </w:pPr>
          </w:p>
        </w:tc>
        <w:tc>
          <w:tcPr>
            <w:tcW w:w="3300" w:type="dxa"/>
            <w:vAlign w:val="bottom"/>
            <w:tcBorders>
              <w:bottom w:val="single" w:sz="8" w:color="1A6DBB"/>
            </w:tcBorders>
            <w:vMerge w:val="continue"/>
          </w:tcPr>
          <w:p>
            <w:pPr>
              <w:spacing w:after="0"/>
              <w:rPr>
                <w:sz w:val="13"/>
                <w:szCs w:val="13"/>
                <w:color w:val="auto"/>
              </w:rPr>
            </w:pPr>
          </w:p>
        </w:tc>
        <w:tc>
          <w:tcPr>
            <w:tcW w:w="740" w:type="dxa"/>
            <w:vAlign w:val="bottom"/>
            <w:tcBorders>
              <w:bottom w:val="single" w:sz="8" w:color="1A6DBB"/>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5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Robert W. Pangia</w:t>
            </w:r>
          </w:p>
        </w:tc>
        <w:tc>
          <w:tcPr>
            <w:tcW w:w="480" w:type="dxa"/>
            <w:vAlign w:val="bottom"/>
            <w:vMerge w:val="restart"/>
          </w:tcPr>
          <w:p>
            <w:pPr>
              <w:jc w:val="center"/>
              <w:spacing w:after="0"/>
              <w:rPr>
                <w:sz w:val="20"/>
                <w:szCs w:val="20"/>
                <w:color w:val="auto"/>
              </w:rPr>
            </w:pPr>
            <w:r>
              <w:rPr>
                <w:rFonts w:ascii="Arial" w:cs="Arial" w:eastAsia="Arial" w:hAnsi="Arial"/>
                <w:sz w:val="14"/>
                <w:szCs w:val="14"/>
                <w:color w:val="auto"/>
              </w:rPr>
              <w:t>67</w:t>
            </w:r>
          </w:p>
        </w:tc>
        <w:tc>
          <w:tcPr>
            <w:tcW w:w="3300" w:type="dxa"/>
            <w:vAlign w:val="bottom"/>
            <w:vMerge w:val="restart"/>
          </w:tcPr>
          <w:p>
            <w:pPr>
              <w:jc w:val="center"/>
              <w:ind w:right="2308"/>
              <w:spacing w:after="0"/>
              <w:rPr>
                <w:sz w:val="20"/>
                <w:szCs w:val="20"/>
                <w:color w:val="auto"/>
              </w:rPr>
            </w:pPr>
            <w:r>
              <w:rPr>
                <w:rFonts w:ascii="Arial" w:cs="Arial" w:eastAsia="Arial" w:hAnsi="Arial"/>
                <w:sz w:val="14"/>
                <w:szCs w:val="14"/>
                <w:color w:val="auto"/>
                <w:w w:val="99"/>
              </w:rPr>
              <w:t>Yes</w:t>
            </w:r>
          </w:p>
        </w:tc>
        <w:tc>
          <w:tcPr>
            <w:tcW w:w="740" w:type="dxa"/>
            <w:vAlign w:val="bottom"/>
            <w:vMerge w:val="restart"/>
          </w:tcPr>
          <w:p>
            <w:pPr>
              <w:jc w:val="center"/>
              <w:ind w:left="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55"/>
        </w:trPr>
        <w:tc>
          <w:tcPr>
            <w:tcW w:w="6500" w:type="dxa"/>
            <w:vAlign w:val="bottom"/>
            <w:tcBorders>
              <w:bottom w:val="single" w:sz="8" w:color="1A6DBB"/>
            </w:tcBorders>
          </w:tcPr>
          <w:p>
            <w:pPr>
              <w:ind w:left="60"/>
              <w:spacing w:after="0"/>
              <w:rPr>
                <w:sz w:val="20"/>
                <w:szCs w:val="20"/>
                <w:color w:val="auto"/>
              </w:rPr>
            </w:pPr>
            <w:r>
              <w:rPr>
                <w:rFonts w:ascii="Arial" w:cs="Arial" w:eastAsia="Arial" w:hAnsi="Arial"/>
                <w:sz w:val="13"/>
                <w:szCs w:val="13"/>
                <w:color w:val="auto"/>
              </w:rPr>
              <w:t>Retired Chief Executive Officer, Ivy Sports Medicine, LLC</w:t>
            </w:r>
          </w:p>
        </w:tc>
        <w:tc>
          <w:tcPr>
            <w:tcW w:w="480" w:type="dxa"/>
            <w:vAlign w:val="bottom"/>
            <w:tcBorders>
              <w:bottom w:val="single" w:sz="8" w:color="1A6DBB"/>
            </w:tcBorders>
            <w:vMerge w:val="continue"/>
          </w:tcPr>
          <w:p>
            <w:pPr>
              <w:spacing w:after="0"/>
              <w:rPr>
                <w:sz w:val="13"/>
                <w:szCs w:val="13"/>
                <w:color w:val="auto"/>
              </w:rPr>
            </w:pPr>
          </w:p>
        </w:tc>
        <w:tc>
          <w:tcPr>
            <w:tcW w:w="3300" w:type="dxa"/>
            <w:vAlign w:val="bottom"/>
            <w:tcBorders>
              <w:bottom w:val="single" w:sz="8" w:color="1A6DBB"/>
            </w:tcBorders>
            <w:vMerge w:val="continue"/>
          </w:tcPr>
          <w:p>
            <w:pPr>
              <w:spacing w:after="0"/>
              <w:rPr>
                <w:sz w:val="13"/>
                <w:szCs w:val="13"/>
                <w:color w:val="auto"/>
              </w:rPr>
            </w:pPr>
          </w:p>
        </w:tc>
        <w:tc>
          <w:tcPr>
            <w:tcW w:w="740" w:type="dxa"/>
            <w:vAlign w:val="bottom"/>
            <w:tcBorders>
              <w:bottom w:val="single" w:sz="8" w:color="1A6DBB"/>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5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Stelios Papadopoulos, Ph.D.</w:t>
            </w:r>
          </w:p>
        </w:tc>
        <w:tc>
          <w:tcPr>
            <w:tcW w:w="4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500" w:type="dxa"/>
            <w:vAlign w:val="bottom"/>
          </w:tcPr>
          <w:p>
            <w:pPr>
              <w:ind w:left="60"/>
              <w:spacing w:after="0" w:line="135" w:lineRule="exact"/>
              <w:rPr>
                <w:sz w:val="20"/>
                <w:szCs w:val="20"/>
                <w:color w:val="auto"/>
              </w:rPr>
            </w:pPr>
            <w:r>
              <w:rPr>
                <w:rFonts w:ascii="Arial" w:cs="Arial" w:eastAsia="Arial" w:hAnsi="Arial"/>
                <w:sz w:val="13"/>
                <w:szCs w:val="13"/>
                <w:color w:val="auto"/>
              </w:rPr>
              <w:t>Chairman, Biogen Inc., Chairman, Exelixis, Inc. and Chairman,</w:t>
            </w:r>
          </w:p>
        </w:tc>
        <w:tc>
          <w:tcPr>
            <w:tcW w:w="480" w:type="dxa"/>
            <w:vAlign w:val="bottom"/>
            <w:vMerge w:val="restart"/>
          </w:tcPr>
          <w:p>
            <w:pPr>
              <w:jc w:val="center"/>
              <w:spacing w:after="0"/>
              <w:rPr>
                <w:sz w:val="20"/>
                <w:szCs w:val="20"/>
                <w:color w:val="auto"/>
              </w:rPr>
            </w:pPr>
            <w:r>
              <w:rPr>
                <w:rFonts w:ascii="Arial" w:cs="Arial" w:eastAsia="Arial" w:hAnsi="Arial"/>
                <w:sz w:val="14"/>
                <w:szCs w:val="14"/>
                <w:color w:val="auto"/>
              </w:rPr>
              <w:t>70</w:t>
            </w:r>
          </w:p>
        </w:tc>
        <w:tc>
          <w:tcPr>
            <w:tcW w:w="3300" w:type="dxa"/>
            <w:vAlign w:val="bottom"/>
            <w:vMerge w:val="restart"/>
          </w:tcPr>
          <w:p>
            <w:pPr>
              <w:jc w:val="center"/>
              <w:ind w:right="2308"/>
              <w:spacing w:after="0"/>
              <w:rPr>
                <w:sz w:val="20"/>
                <w:szCs w:val="20"/>
                <w:color w:val="auto"/>
              </w:rPr>
            </w:pPr>
            <w:r>
              <w:rPr>
                <w:rFonts w:ascii="Arial" w:cs="Arial" w:eastAsia="Arial" w:hAnsi="Arial"/>
                <w:sz w:val="14"/>
                <w:szCs w:val="14"/>
                <w:color w:val="auto"/>
                <w:w w:val="99"/>
              </w:rPr>
              <w:t>Yes</w:t>
            </w:r>
          </w:p>
        </w:tc>
        <w:tc>
          <w:tcPr>
            <w:tcW w:w="740" w:type="dxa"/>
            <w:vAlign w:val="bottom"/>
            <w:vMerge w:val="restart"/>
          </w:tcPr>
          <w:p>
            <w:pPr>
              <w:jc w:val="center"/>
              <w:ind w:lef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5"/>
        </w:trPr>
        <w:tc>
          <w:tcPr>
            <w:tcW w:w="6500" w:type="dxa"/>
            <w:vAlign w:val="bottom"/>
            <w:tcBorders>
              <w:bottom w:val="single" w:sz="8" w:color="1A6DBB"/>
            </w:tcBorders>
          </w:tcPr>
          <w:p>
            <w:pPr>
              <w:ind w:left="60"/>
              <w:spacing w:after="0"/>
              <w:rPr>
                <w:sz w:val="20"/>
                <w:szCs w:val="20"/>
                <w:color w:val="auto"/>
              </w:rPr>
            </w:pPr>
            <w:r>
              <w:rPr>
                <w:rFonts w:ascii="Arial" w:cs="Arial" w:eastAsia="Arial" w:hAnsi="Arial"/>
                <w:sz w:val="13"/>
                <w:szCs w:val="13"/>
                <w:color w:val="auto"/>
              </w:rPr>
              <w:t>Regulus Therapeutics Inc.</w:t>
            </w:r>
          </w:p>
        </w:tc>
        <w:tc>
          <w:tcPr>
            <w:tcW w:w="480" w:type="dxa"/>
            <w:vAlign w:val="bottom"/>
            <w:tcBorders>
              <w:bottom w:val="single" w:sz="8" w:color="1A6DBB"/>
            </w:tcBorders>
            <w:vMerge w:val="continue"/>
          </w:tcPr>
          <w:p>
            <w:pPr>
              <w:spacing w:after="0"/>
              <w:rPr>
                <w:sz w:val="13"/>
                <w:szCs w:val="13"/>
                <w:color w:val="auto"/>
              </w:rPr>
            </w:pPr>
          </w:p>
        </w:tc>
        <w:tc>
          <w:tcPr>
            <w:tcW w:w="3300" w:type="dxa"/>
            <w:vAlign w:val="bottom"/>
            <w:tcBorders>
              <w:bottom w:val="single" w:sz="8" w:color="1A6DBB"/>
            </w:tcBorders>
            <w:vMerge w:val="continue"/>
          </w:tcPr>
          <w:p>
            <w:pPr>
              <w:spacing w:after="0"/>
              <w:rPr>
                <w:sz w:val="13"/>
                <w:szCs w:val="13"/>
                <w:color w:val="auto"/>
              </w:rPr>
            </w:pPr>
          </w:p>
        </w:tc>
        <w:tc>
          <w:tcPr>
            <w:tcW w:w="740" w:type="dxa"/>
            <w:vAlign w:val="bottom"/>
            <w:tcBorders>
              <w:bottom w:val="single" w:sz="8" w:color="1A6DBB"/>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5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Brian S. Posner</w:t>
            </w:r>
          </w:p>
        </w:tc>
        <w:tc>
          <w:tcPr>
            <w:tcW w:w="480" w:type="dxa"/>
            <w:vAlign w:val="bottom"/>
            <w:vMerge w:val="restart"/>
          </w:tcPr>
          <w:p>
            <w:pPr>
              <w:jc w:val="center"/>
              <w:spacing w:after="0"/>
              <w:rPr>
                <w:sz w:val="20"/>
                <w:szCs w:val="20"/>
                <w:color w:val="auto"/>
              </w:rPr>
            </w:pPr>
            <w:r>
              <w:rPr>
                <w:rFonts w:ascii="Arial" w:cs="Arial" w:eastAsia="Arial" w:hAnsi="Arial"/>
                <w:sz w:val="14"/>
                <w:szCs w:val="14"/>
                <w:color w:val="auto"/>
              </w:rPr>
              <w:t>57</w:t>
            </w:r>
          </w:p>
        </w:tc>
        <w:tc>
          <w:tcPr>
            <w:tcW w:w="3300" w:type="dxa"/>
            <w:vAlign w:val="bottom"/>
            <w:vMerge w:val="restart"/>
          </w:tcPr>
          <w:p>
            <w:pPr>
              <w:jc w:val="center"/>
              <w:ind w:right="2308"/>
              <w:spacing w:after="0"/>
              <w:rPr>
                <w:sz w:val="20"/>
                <w:szCs w:val="20"/>
                <w:color w:val="auto"/>
              </w:rPr>
            </w:pPr>
            <w:r>
              <w:rPr>
                <w:rFonts w:ascii="Arial" w:cs="Arial" w:eastAsia="Arial" w:hAnsi="Arial"/>
                <w:sz w:val="14"/>
                <w:szCs w:val="14"/>
                <w:color w:val="auto"/>
                <w:w w:val="99"/>
              </w:rPr>
              <w:t>Yes</w:t>
            </w:r>
          </w:p>
        </w:tc>
        <w:tc>
          <w:tcPr>
            <w:tcW w:w="740" w:type="dxa"/>
            <w:vAlign w:val="bottom"/>
            <w:vMerge w:val="restart"/>
          </w:tcPr>
          <w:p>
            <w:pPr>
              <w:jc w:val="center"/>
              <w:ind w:lef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5"/>
        </w:trPr>
        <w:tc>
          <w:tcPr>
            <w:tcW w:w="6500" w:type="dxa"/>
            <w:vAlign w:val="bottom"/>
            <w:tcBorders>
              <w:bottom w:val="single" w:sz="8" w:color="1A6DBB"/>
            </w:tcBorders>
          </w:tcPr>
          <w:p>
            <w:pPr>
              <w:ind w:left="60"/>
              <w:spacing w:after="0"/>
              <w:rPr>
                <w:sz w:val="20"/>
                <w:szCs w:val="20"/>
                <w:color w:val="auto"/>
              </w:rPr>
            </w:pPr>
            <w:r>
              <w:rPr>
                <w:rFonts w:ascii="Arial" w:cs="Arial" w:eastAsia="Arial" w:hAnsi="Arial"/>
                <w:sz w:val="13"/>
                <w:szCs w:val="13"/>
                <w:color w:val="auto"/>
              </w:rPr>
              <w:t>Private Investor and Founder and Managing Partner, Point Rider Group  LLC</w:t>
            </w:r>
          </w:p>
        </w:tc>
        <w:tc>
          <w:tcPr>
            <w:tcW w:w="480" w:type="dxa"/>
            <w:vAlign w:val="bottom"/>
            <w:tcBorders>
              <w:bottom w:val="single" w:sz="8" w:color="1A6DBB"/>
            </w:tcBorders>
            <w:vMerge w:val="continue"/>
          </w:tcPr>
          <w:p>
            <w:pPr>
              <w:spacing w:after="0"/>
              <w:rPr>
                <w:sz w:val="13"/>
                <w:szCs w:val="13"/>
                <w:color w:val="auto"/>
              </w:rPr>
            </w:pPr>
          </w:p>
        </w:tc>
        <w:tc>
          <w:tcPr>
            <w:tcW w:w="3300" w:type="dxa"/>
            <w:vAlign w:val="bottom"/>
            <w:tcBorders>
              <w:bottom w:val="single" w:sz="8" w:color="1A6DBB"/>
            </w:tcBorders>
            <w:vMerge w:val="continue"/>
          </w:tcPr>
          <w:p>
            <w:pPr>
              <w:spacing w:after="0"/>
              <w:rPr>
                <w:sz w:val="13"/>
                <w:szCs w:val="13"/>
                <w:color w:val="auto"/>
              </w:rPr>
            </w:pPr>
          </w:p>
        </w:tc>
        <w:tc>
          <w:tcPr>
            <w:tcW w:w="740" w:type="dxa"/>
            <w:vAlign w:val="bottom"/>
            <w:tcBorders>
              <w:bottom w:val="single" w:sz="8" w:color="1A6DBB"/>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5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Eric K. Rowinsky, M.D.</w:t>
            </w:r>
          </w:p>
        </w:tc>
        <w:tc>
          <w:tcPr>
            <w:tcW w:w="480" w:type="dxa"/>
            <w:vAlign w:val="bottom"/>
            <w:vMerge w:val="restart"/>
          </w:tcPr>
          <w:p>
            <w:pPr>
              <w:jc w:val="center"/>
              <w:spacing w:after="0"/>
              <w:rPr>
                <w:sz w:val="20"/>
                <w:szCs w:val="20"/>
                <w:color w:val="auto"/>
              </w:rPr>
            </w:pPr>
            <w:r>
              <w:rPr>
                <w:rFonts w:ascii="Arial" w:cs="Arial" w:eastAsia="Arial" w:hAnsi="Arial"/>
                <w:sz w:val="14"/>
                <w:szCs w:val="14"/>
                <w:color w:val="auto"/>
              </w:rPr>
              <w:t>62</w:t>
            </w:r>
          </w:p>
        </w:tc>
        <w:tc>
          <w:tcPr>
            <w:tcW w:w="3300" w:type="dxa"/>
            <w:vAlign w:val="bottom"/>
            <w:vMerge w:val="restart"/>
          </w:tcPr>
          <w:p>
            <w:pPr>
              <w:jc w:val="center"/>
              <w:ind w:right="2308"/>
              <w:spacing w:after="0"/>
              <w:rPr>
                <w:sz w:val="20"/>
                <w:szCs w:val="20"/>
                <w:color w:val="auto"/>
              </w:rPr>
            </w:pPr>
            <w:r>
              <w:rPr>
                <w:rFonts w:ascii="Arial" w:cs="Arial" w:eastAsia="Arial" w:hAnsi="Arial"/>
                <w:sz w:val="14"/>
                <w:szCs w:val="14"/>
                <w:color w:val="auto"/>
                <w:w w:val="99"/>
              </w:rPr>
              <w:t>Yes</w:t>
            </w:r>
          </w:p>
        </w:tc>
        <w:tc>
          <w:tcPr>
            <w:tcW w:w="740" w:type="dxa"/>
            <w:vAlign w:val="bottom"/>
            <w:vMerge w:val="restart"/>
          </w:tcPr>
          <w:p>
            <w:pPr>
              <w:jc w:val="center"/>
              <w:ind w:lef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5"/>
        </w:trPr>
        <w:tc>
          <w:tcPr>
            <w:tcW w:w="6500" w:type="dxa"/>
            <w:vAlign w:val="bottom"/>
            <w:tcBorders>
              <w:bottom w:val="single" w:sz="8" w:color="1A6DBB"/>
            </w:tcBorders>
          </w:tcPr>
          <w:p>
            <w:pPr>
              <w:ind w:left="60"/>
              <w:spacing w:after="0"/>
              <w:rPr>
                <w:sz w:val="20"/>
                <w:szCs w:val="20"/>
                <w:color w:val="auto"/>
              </w:rPr>
            </w:pPr>
            <w:r>
              <w:rPr>
                <w:rFonts w:ascii="Arial" w:cs="Arial" w:eastAsia="Arial" w:hAnsi="Arial"/>
                <w:sz w:val="13"/>
                <w:szCs w:val="13"/>
                <w:color w:val="auto"/>
              </w:rPr>
              <w:t>President and Executive Chairman, RGenix, Inc.</w:t>
            </w:r>
          </w:p>
        </w:tc>
        <w:tc>
          <w:tcPr>
            <w:tcW w:w="480" w:type="dxa"/>
            <w:vAlign w:val="bottom"/>
            <w:tcBorders>
              <w:bottom w:val="single" w:sz="8" w:color="1A6DBB"/>
            </w:tcBorders>
            <w:vMerge w:val="continue"/>
          </w:tcPr>
          <w:p>
            <w:pPr>
              <w:spacing w:after="0"/>
              <w:rPr>
                <w:sz w:val="13"/>
                <w:szCs w:val="13"/>
                <w:color w:val="auto"/>
              </w:rPr>
            </w:pPr>
          </w:p>
        </w:tc>
        <w:tc>
          <w:tcPr>
            <w:tcW w:w="3300" w:type="dxa"/>
            <w:vAlign w:val="bottom"/>
            <w:tcBorders>
              <w:bottom w:val="single" w:sz="8" w:color="1A6DBB"/>
            </w:tcBorders>
            <w:vMerge w:val="continue"/>
          </w:tcPr>
          <w:p>
            <w:pPr>
              <w:spacing w:after="0"/>
              <w:rPr>
                <w:sz w:val="13"/>
                <w:szCs w:val="13"/>
                <w:color w:val="auto"/>
              </w:rPr>
            </w:pPr>
          </w:p>
        </w:tc>
        <w:tc>
          <w:tcPr>
            <w:tcW w:w="740" w:type="dxa"/>
            <w:vAlign w:val="bottom"/>
            <w:tcBorders>
              <w:bottom w:val="single" w:sz="8" w:color="1A6DBB"/>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5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The Honorable Lynn Schenk, J.D.</w:t>
            </w:r>
          </w:p>
        </w:tc>
        <w:tc>
          <w:tcPr>
            <w:tcW w:w="4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500" w:type="dxa"/>
            <w:vAlign w:val="bottom"/>
          </w:tcPr>
          <w:p>
            <w:pPr>
              <w:ind w:left="40"/>
              <w:spacing w:after="0" w:line="135" w:lineRule="exact"/>
              <w:rPr>
                <w:sz w:val="20"/>
                <w:szCs w:val="20"/>
                <w:color w:val="auto"/>
              </w:rPr>
            </w:pPr>
            <w:r>
              <w:rPr>
                <w:rFonts w:ascii="Arial" w:cs="Arial" w:eastAsia="Arial" w:hAnsi="Arial"/>
                <w:sz w:val="13"/>
                <w:szCs w:val="13"/>
                <w:color w:val="auto"/>
              </w:rPr>
              <w:t>Attorney, Former Chief of Staff to the Governor of California and</w:t>
            </w:r>
          </w:p>
        </w:tc>
        <w:tc>
          <w:tcPr>
            <w:tcW w:w="480" w:type="dxa"/>
            <w:vAlign w:val="bottom"/>
            <w:vMerge w:val="restart"/>
          </w:tcPr>
          <w:p>
            <w:pPr>
              <w:jc w:val="center"/>
              <w:spacing w:after="0"/>
              <w:rPr>
                <w:sz w:val="20"/>
                <w:szCs w:val="20"/>
                <w:color w:val="auto"/>
              </w:rPr>
            </w:pPr>
            <w:r>
              <w:rPr>
                <w:rFonts w:ascii="Arial" w:cs="Arial" w:eastAsia="Arial" w:hAnsi="Arial"/>
                <w:sz w:val="14"/>
                <w:szCs w:val="14"/>
                <w:color w:val="auto"/>
              </w:rPr>
              <w:t>74</w:t>
            </w:r>
          </w:p>
        </w:tc>
        <w:tc>
          <w:tcPr>
            <w:tcW w:w="3300" w:type="dxa"/>
            <w:vAlign w:val="bottom"/>
            <w:vMerge w:val="restart"/>
          </w:tcPr>
          <w:p>
            <w:pPr>
              <w:jc w:val="center"/>
              <w:ind w:right="2308"/>
              <w:spacing w:after="0"/>
              <w:rPr>
                <w:sz w:val="20"/>
                <w:szCs w:val="20"/>
                <w:color w:val="auto"/>
              </w:rPr>
            </w:pPr>
            <w:r>
              <w:rPr>
                <w:rFonts w:ascii="Arial" w:cs="Arial" w:eastAsia="Arial" w:hAnsi="Arial"/>
                <w:sz w:val="14"/>
                <w:szCs w:val="14"/>
                <w:color w:val="auto"/>
                <w:w w:val="99"/>
              </w:rPr>
              <w:t>Yes</w:t>
            </w:r>
          </w:p>
        </w:tc>
        <w:tc>
          <w:tcPr>
            <w:tcW w:w="740" w:type="dxa"/>
            <w:vAlign w:val="bottom"/>
            <w:vMerge w:val="restart"/>
          </w:tcPr>
          <w:p>
            <w:pPr>
              <w:jc w:val="center"/>
              <w:ind w:lef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5"/>
        </w:trPr>
        <w:tc>
          <w:tcPr>
            <w:tcW w:w="6500" w:type="dxa"/>
            <w:vAlign w:val="bottom"/>
            <w:tcBorders>
              <w:bottom w:val="single" w:sz="8" w:color="1A6DBB"/>
            </w:tcBorders>
          </w:tcPr>
          <w:p>
            <w:pPr>
              <w:ind w:left="60"/>
              <w:spacing w:after="0"/>
              <w:rPr>
                <w:sz w:val="20"/>
                <w:szCs w:val="20"/>
                <w:color w:val="auto"/>
              </w:rPr>
            </w:pPr>
            <w:r>
              <w:rPr>
                <w:rFonts w:ascii="Arial" w:cs="Arial" w:eastAsia="Arial" w:hAnsi="Arial"/>
                <w:sz w:val="13"/>
                <w:szCs w:val="13"/>
                <w:color w:val="auto"/>
              </w:rPr>
              <w:t>Former U.S. Congresswoman</w:t>
            </w:r>
          </w:p>
        </w:tc>
        <w:tc>
          <w:tcPr>
            <w:tcW w:w="480" w:type="dxa"/>
            <w:vAlign w:val="bottom"/>
            <w:tcBorders>
              <w:bottom w:val="single" w:sz="8" w:color="1A6DBB"/>
            </w:tcBorders>
            <w:vMerge w:val="continue"/>
          </w:tcPr>
          <w:p>
            <w:pPr>
              <w:spacing w:after="0"/>
              <w:rPr>
                <w:sz w:val="13"/>
                <w:szCs w:val="13"/>
                <w:color w:val="auto"/>
              </w:rPr>
            </w:pPr>
          </w:p>
        </w:tc>
        <w:tc>
          <w:tcPr>
            <w:tcW w:w="3300" w:type="dxa"/>
            <w:vAlign w:val="bottom"/>
            <w:tcBorders>
              <w:bottom w:val="single" w:sz="8" w:color="1A6DBB"/>
            </w:tcBorders>
            <w:vMerge w:val="continue"/>
          </w:tcPr>
          <w:p>
            <w:pPr>
              <w:spacing w:after="0"/>
              <w:rPr>
                <w:sz w:val="13"/>
                <w:szCs w:val="13"/>
                <w:color w:val="auto"/>
              </w:rPr>
            </w:pPr>
          </w:p>
        </w:tc>
        <w:tc>
          <w:tcPr>
            <w:tcW w:w="740" w:type="dxa"/>
            <w:vAlign w:val="bottom"/>
            <w:tcBorders>
              <w:bottom w:val="single" w:sz="8" w:color="1A6DBB"/>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5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Stephen A. Sherwin, M.D.</w:t>
            </w:r>
          </w:p>
        </w:tc>
        <w:tc>
          <w:tcPr>
            <w:tcW w:w="4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500" w:type="dxa"/>
            <w:vAlign w:val="bottom"/>
          </w:tcPr>
          <w:p>
            <w:pPr>
              <w:ind w:left="60"/>
              <w:spacing w:after="0" w:line="135" w:lineRule="exact"/>
              <w:rPr>
                <w:sz w:val="20"/>
                <w:szCs w:val="20"/>
                <w:color w:val="auto"/>
              </w:rPr>
            </w:pPr>
            <w:r>
              <w:rPr>
                <w:rFonts w:ascii="Arial" w:cs="Arial" w:eastAsia="Arial" w:hAnsi="Arial"/>
                <w:sz w:val="13"/>
                <w:szCs w:val="13"/>
                <w:color w:val="auto"/>
              </w:rPr>
              <w:t>Clinical Professor of Medicine, University of California, San Francisco and</w:t>
            </w:r>
          </w:p>
        </w:tc>
        <w:tc>
          <w:tcPr>
            <w:tcW w:w="480" w:type="dxa"/>
            <w:vAlign w:val="bottom"/>
            <w:vMerge w:val="restart"/>
          </w:tcPr>
          <w:p>
            <w:pPr>
              <w:jc w:val="center"/>
              <w:spacing w:after="0"/>
              <w:rPr>
                <w:sz w:val="20"/>
                <w:szCs w:val="20"/>
                <w:color w:val="auto"/>
              </w:rPr>
            </w:pPr>
            <w:r>
              <w:rPr>
                <w:rFonts w:ascii="Arial" w:cs="Arial" w:eastAsia="Arial" w:hAnsi="Arial"/>
                <w:sz w:val="14"/>
                <w:szCs w:val="14"/>
                <w:color w:val="auto"/>
              </w:rPr>
              <w:t>70</w:t>
            </w:r>
          </w:p>
        </w:tc>
        <w:tc>
          <w:tcPr>
            <w:tcW w:w="3300" w:type="dxa"/>
            <w:vAlign w:val="bottom"/>
            <w:vMerge w:val="restart"/>
          </w:tcPr>
          <w:p>
            <w:pPr>
              <w:jc w:val="center"/>
              <w:ind w:right="2308"/>
              <w:spacing w:after="0"/>
              <w:rPr>
                <w:sz w:val="20"/>
                <w:szCs w:val="20"/>
                <w:color w:val="auto"/>
              </w:rPr>
            </w:pPr>
            <w:r>
              <w:rPr>
                <w:rFonts w:ascii="Arial" w:cs="Arial" w:eastAsia="Arial" w:hAnsi="Arial"/>
                <w:sz w:val="14"/>
                <w:szCs w:val="14"/>
                <w:color w:val="auto"/>
                <w:w w:val="99"/>
              </w:rPr>
              <w:t>Yes</w:t>
            </w:r>
          </w:p>
        </w:tc>
        <w:tc>
          <w:tcPr>
            <w:tcW w:w="740" w:type="dxa"/>
            <w:vAlign w:val="bottom"/>
            <w:vMerge w:val="restart"/>
          </w:tcPr>
          <w:p>
            <w:pPr>
              <w:jc w:val="center"/>
              <w:ind w:lef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5"/>
        </w:trPr>
        <w:tc>
          <w:tcPr>
            <w:tcW w:w="6500" w:type="dxa"/>
            <w:vAlign w:val="bottom"/>
            <w:tcBorders>
              <w:bottom w:val="single" w:sz="8" w:color="1A6DBB"/>
            </w:tcBorders>
          </w:tcPr>
          <w:p>
            <w:pPr>
              <w:ind w:left="40"/>
              <w:spacing w:after="0"/>
              <w:rPr>
                <w:sz w:val="20"/>
                <w:szCs w:val="20"/>
                <w:color w:val="auto"/>
              </w:rPr>
            </w:pPr>
            <w:r>
              <w:rPr>
                <w:rFonts w:ascii="Arial" w:cs="Arial" w:eastAsia="Arial" w:hAnsi="Arial"/>
                <w:sz w:val="13"/>
                <w:szCs w:val="13"/>
                <w:color w:val="auto"/>
              </w:rPr>
              <w:t>Advisor to Life Sciences Companies</w:t>
            </w:r>
          </w:p>
        </w:tc>
        <w:tc>
          <w:tcPr>
            <w:tcW w:w="480" w:type="dxa"/>
            <w:vAlign w:val="bottom"/>
            <w:tcBorders>
              <w:bottom w:val="single" w:sz="8" w:color="1A6DBB"/>
            </w:tcBorders>
            <w:vMerge w:val="continue"/>
          </w:tcPr>
          <w:p>
            <w:pPr>
              <w:spacing w:after="0"/>
              <w:rPr>
                <w:sz w:val="13"/>
                <w:szCs w:val="13"/>
                <w:color w:val="auto"/>
              </w:rPr>
            </w:pPr>
          </w:p>
        </w:tc>
        <w:tc>
          <w:tcPr>
            <w:tcW w:w="3300" w:type="dxa"/>
            <w:vAlign w:val="bottom"/>
            <w:tcBorders>
              <w:bottom w:val="single" w:sz="8" w:color="1A6DBB"/>
            </w:tcBorders>
            <w:vMerge w:val="continue"/>
          </w:tcPr>
          <w:p>
            <w:pPr>
              <w:spacing w:after="0"/>
              <w:rPr>
                <w:sz w:val="13"/>
                <w:szCs w:val="13"/>
                <w:color w:val="auto"/>
              </w:rPr>
            </w:pPr>
          </w:p>
        </w:tc>
        <w:tc>
          <w:tcPr>
            <w:tcW w:w="740" w:type="dxa"/>
            <w:vAlign w:val="bottom"/>
            <w:tcBorders>
              <w:bottom w:val="single" w:sz="8" w:color="1A6DBB"/>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5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Michel Vounatsos</w:t>
            </w:r>
          </w:p>
        </w:tc>
        <w:tc>
          <w:tcPr>
            <w:tcW w:w="480" w:type="dxa"/>
            <w:vAlign w:val="bottom"/>
            <w:vMerge w:val="restart"/>
          </w:tcPr>
          <w:p>
            <w:pPr>
              <w:jc w:val="center"/>
              <w:spacing w:after="0"/>
              <w:rPr>
                <w:sz w:val="20"/>
                <w:szCs w:val="20"/>
                <w:color w:val="auto"/>
              </w:rPr>
            </w:pPr>
            <w:r>
              <w:rPr>
                <w:rFonts w:ascii="Arial" w:cs="Arial" w:eastAsia="Arial" w:hAnsi="Arial"/>
                <w:sz w:val="14"/>
                <w:szCs w:val="14"/>
                <w:color w:val="auto"/>
              </w:rPr>
              <w:t>57</w:t>
            </w:r>
          </w:p>
        </w:tc>
        <w:tc>
          <w:tcPr>
            <w:tcW w:w="3300" w:type="dxa"/>
            <w:vAlign w:val="bottom"/>
            <w:vMerge w:val="restart"/>
          </w:tcPr>
          <w:p>
            <w:pPr>
              <w:jc w:val="center"/>
              <w:ind w:right="2308"/>
              <w:spacing w:after="0"/>
              <w:rPr>
                <w:sz w:val="20"/>
                <w:szCs w:val="20"/>
                <w:color w:val="auto"/>
              </w:rPr>
            </w:pPr>
            <w:r>
              <w:rPr>
                <w:rFonts w:ascii="Arial" w:cs="Arial" w:eastAsia="Arial" w:hAnsi="Arial"/>
                <w:sz w:val="14"/>
                <w:szCs w:val="14"/>
                <w:color w:val="auto"/>
              </w:rPr>
              <w:t>No</w:t>
            </w:r>
          </w:p>
        </w:tc>
        <w:tc>
          <w:tcPr>
            <w:tcW w:w="740" w:type="dxa"/>
            <w:vAlign w:val="bottom"/>
            <w:vMerge w:val="restart"/>
          </w:tcPr>
          <w:p>
            <w:pPr>
              <w:jc w:val="center"/>
              <w:ind w:left="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2"/>
        </w:trPr>
        <w:tc>
          <w:tcPr>
            <w:tcW w:w="6500" w:type="dxa"/>
            <w:vAlign w:val="bottom"/>
          </w:tcPr>
          <w:p>
            <w:pPr>
              <w:ind w:left="60"/>
              <w:spacing w:after="0"/>
              <w:rPr>
                <w:sz w:val="20"/>
                <w:szCs w:val="20"/>
                <w:color w:val="auto"/>
              </w:rPr>
            </w:pPr>
            <w:r>
              <w:rPr>
                <w:rFonts w:ascii="Arial" w:cs="Arial" w:eastAsia="Arial" w:hAnsi="Arial"/>
                <w:sz w:val="13"/>
                <w:szCs w:val="13"/>
                <w:color w:val="auto"/>
              </w:rPr>
              <w:t>Chief Executive Officer, Biogen Inc.</w:t>
            </w:r>
          </w:p>
        </w:tc>
        <w:tc>
          <w:tcPr>
            <w:tcW w:w="480" w:type="dxa"/>
            <w:vAlign w:val="bottom"/>
            <w:vMerge w:val="continue"/>
          </w:tcPr>
          <w:p>
            <w:pPr>
              <w:spacing w:after="0"/>
              <w:rPr>
                <w:sz w:val="14"/>
                <w:szCs w:val="14"/>
                <w:color w:val="auto"/>
              </w:rPr>
            </w:pPr>
          </w:p>
        </w:tc>
        <w:tc>
          <w:tcPr>
            <w:tcW w:w="33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997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-3589020</wp:posOffset>
            </wp:positionV>
            <wp:extent cx="14751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75105" cy="8890"/>
                    </a:xfrm>
                    <a:prstGeom prst="rect">
                      <a:avLst/>
                    </a:prstGeom>
                    <a:noFill/>
                  </pic:spPr>
                </pic:pic>
              </a:graphicData>
            </a:graphic>
          </wp:anchor>
        </w:drawing>
        <w:drawing>
          <wp:anchor simplePos="0" relativeHeight="251657728" behindDoc="1" locked="0" layoutInCell="0" allowOverlap="1">
            <wp:simplePos x="0" y="0"/>
            <wp:positionH relativeFrom="column">
              <wp:posOffset>5862320</wp:posOffset>
            </wp:positionH>
            <wp:positionV relativeFrom="paragraph">
              <wp:posOffset>-3082925</wp:posOffset>
            </wp:positionV>
            <wp:extent cx="7747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6102350</wp:posOffset>
            </wp:positionH>
            <wp:positionV relativeFrom="paragraph">
              <wp:posOffset>-3082925</wp:posOffset>
            </wp:positionV>
            <wp:extent cx="7747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-2919730</wp:posOffset>
            </wp:positionV>
            <wp:extent cx="102870" cy="291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2870" cy="291465"/>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-2765425</wp:posOffset>
            </wp:positionV>
            <wp:extent cx="7747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-2353945</wp:posOffset>
            </wp:positionV>
            <wp:extent cx="7747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-2353945</wp:posOffset>
            </wp:positionV>
            <wp:extent cx="7747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-1856740</wp:posOffset>
            </wp:positionV>
            <wp:extent cx="7747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6531610</wp:posOffset>
            </wp:positionH>
            <wp:positionV relativeFrom="paragraph">
              <wp:posOffset>-1856740</wp:posOffset>
            </wp:positionV>
            <wp:extent cx="7747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-1651000</wp:posOffset>
            </wp:positionV>
            <wp:extent cx="7747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6102350</wp:posOffset>
            </wp:positionH>
            <wp:positionV relativeFrom="paragraph">
              <wp:posOffset>-1651000</wp:posOffset>
            </wp:positionV>
            <wp:extent cx="7747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-1358900</wp:posOffset>
            </wp:positionV>
            <wp:extent cx="7747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6102350</wp:posOffset>
            </wp:positionH>
            <wp:positionV relativeFrom="paragraph">
              <wp:posOffset>-1358900</wp:posOffset>
            </wp:positionV>
            <wp:extent cx="7747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6531610</wp:posOffset>
            </wp:positionH>
            <wp:positionV relativeFrom="paragraph">
              <wp:posOffset>-1358900</wp:posOffset>
            </wp:positionV>
            <wp:extent cx="7747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-1153160</wp:posOffset>
            </wp:positionV>
            <wp:extent cx="7747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5862320</wp:posOffset>
            </wp:positionH>
            <wp:positionV relativeFrom="paragraph">
              <wp:posOffset>-1153160</wp:posOffset>
            </wp:positionV>
            <wp:extent cx="7747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6102350</wp:posOffset>
            </wp:positionH>
            <wp:positionV relativeFrom="paragraph">
              <wp:posOffset>-1153160</wp:posOffset>
            </wp:positionV>
            <wp:extent cx="7747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-947420</wp:posOffset>
            </wp:positionV>
            <wp:extent cx="7747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5862320</wp:posOffset>
            </wp:positionH>
            <wp:positionV relativeFrom="paragraph">
              <wp:posOffset>-947420</wp:posOffset>
            </wp:positionV>
            <wp:extent cx="7747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6531610</wp:posOffset>
            </wp:positionH>
            <wp:positionV relativeFrom="paragraph">
              <wp:posOffset>-947420</wp:posOffset>
            </wp:positionV>
            <wp:extent cx="7747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-655955</wp:posOffset>
            </wp:positionV>
            <wp:extent cx="7747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-655955</wp:posOffset>
            </wp:positionV>
            <wp:extent cx="7747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6102350</wp:posOffset>
            </wp:positionH>
            <wp:positionV relativeFrom="paragraph">
              <wp:posOffset>-364490</wp:posOffset>
            </wp:positionV>
            <wp:extent cx="7747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-364490</wp:posOffset>
            </wp:positionV>
            <wp:extent cx="7747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6531610</wp:posOffset>
            </wp:positionH>
            <wp:positionV relativeFrom="paragraph">
              <wp:posOffset>-364490</wp:posOffset>
            </wp:positionV>
            <wp:extent cx="7747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137160"/>
                    </a:xfrm>
                    <a:prstGeom prst="rect">
                      <a:avLst/>
                    </a:prstGeom>
                    <a:noFill/>
                  </pic:spPr>
                </pic:pic>
              </a:graphicData>
            </a:graphic>
          </wp:anchor>
        </w:drawing>
      </w:r>
    </w:p>
    <w:p>
      <w:pPr>
        <w:ind w:left="200" w:right="200" w:firstLine="4"/>
        <w:spacing w:after="0" w:line="230" w:lineRule="auto"/>
        <w:tabs>
          <w:tab w:leader="none" w:pos="284" w:val="left"/>
        </w:tabs>
        <w:numPr>
          <w:ilvl w:val="0"/>
          <w:numId w:val="10"/>
        </w:numPr>
        <w:rPr>
          <w:rFonts w:ascii="Arial" w:cs="Arial" w:eastAsia="Arial" w:hAnsi="Arial"/>
          <w:sz w:val="13"/>
          <w:szCs w:val="13"/>
          <w:color w:val="auto"/>
        </w:rPr>
      </w:pPr>
      <w:r>
        <w:rPr>
          <w:rFonts w:ascii="Arial" w:cs="Arial" w:eastAsia="Arial" w:hAnsi="Arial"/>
          <w:sz w:val="13"/>
          <w:szCs w:val="13"/>
          <w:color w:val="auto"/>
        </w:rPr>
        <w:t>Age and Committee memberships are as of April 22, 2019. Messrs. Chiminski, Hawkins and Mantas are each new director nominees standing for election to our Board of Directors at the Annual Meeting.</w:t>
      </w:r>
    </w:p>
    <w:p>
      <w:pPr>
        <w:sectPr>
          <w:pgSz w:w="11900" w:h="16838" w:orient="portrait"/>
          <w:cols w:equalWidth="0" w:num="1">
            <w:col w:w="11240"/>
          </w:cols>
          <w:pgMar w:left="240" w:top="459" w:right="419" w:bottom="1440" w:gutter="0" w:footer="0" w:header="0"/>
        </w:sectPr>
      </w:pPr>
    </w:p>
    <w:p>
      <w:pPr>
        <w:spacing w:after="0" w:line="10" w:lineRule="exact"/>
        <w:rPr>
          <w:sz w:val="20"/>
          <w:szCs w:val="20"/>
          <w:color w:val="auto"/>
        </w:rPr>
      </w:pPr>
    </w:p>
    <w:p>
      <w:pPr>
        <w:ind w:left="200"/>
        <w:spacing w:after="0"/>
        <w:tabs>
          <w:tab w:leader="none" w:pos="520" w:val="left"/>
        </w:tabs>
        <w:rPr>
          <w:sz w:val="20"/>
          <w:szCs w:val="20"/>
          <w:color w:val="auto"/>
        </w:rPr>
      </w:pPr>
      <w:r>
        <w:rPr>
          <w:rFonts w:ascii="Arial" w:cs="Arial" w:eastAsia="Arial" w:hAnsi="Arial"/>
          <w:sz w:val="13"/>
          <w:szCs w:val="13"/>
          <w:color w:val="auto"/>
        </w:rPr>
        <w:t>AC:</w:t>
      </w:r>
      <w:r>
        <w:rPr>
          <w:sz w:val="20"/>
          <w:szCs w:val="20"/>
          <w:color w:val="auto"/>
        </w:rPr>
        <w:tab/>
      </w:r>
      <w:r>
        <w:rPr>
          <w:rFonts w:ascii="Arial" w:cs="Arial" w:eastAsia="Arial" w:hAnsi="Arial"/>
          <w:sz w:val="12"/>
          <w:szCs w:val="12"/>
          <w:color w:val="auto"/>
        </w:rPr>
        <w:t>Audit Committee</w:t>
      </w:r>
    </w:p>
    <w:p>
      <w:pPr>
        <w:ind w:left="200"/>
        <w:spacing w:after="0"/>
        <w:tabs>
          <w:tab w:leader="none" w:pos="820" w:val="left"/>
        </w:tabs>
        <w:rPr>
          <w:sz w:val="20"/>
          <w:szCs w:val="20"/>
          <w:color w:val="auto"/>
        </w:rPr>
      </w:pPr>
      <w:r>
        <w:rPr>
          <w:rFonts w:ascii="Arial" w:cs="Arial" w:eastAsia="Arial" w:hAnsi="Arial"/>
          <w:sz w:val="12"/>
          <w:szCs w:val="12"/>
          <w:color w:val="auto"/>
        </w:rPr>
        <w:t>C&amp;MDC:</w:t>
        <w:tab/>
        <w:t>Compensation and Management Development Committee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CGC:</w:t>
      </w:r>
    </w:p>
    <w:p>
      <w:pPr>
        <w:spacing w:after="0"/>
        <w:rPr>
          <w:sz w:val="20"/>
          <w:szCs w:val="20"/>
          <w:color w:val="auto"/>
        </w:rPr>
      </w:pPr>
      <w:r>
        <w:rPr>
          <w:rFonts w:ascii="Arial" w:cs="Arial" w:eastAsia="Arial" w:hAnsi="Arial"/>
          <w:sz w:val="13"/>
          <w:szCs w:val="13"/>
          <w:color w:val="auto"/>
        </w:rPr>
        <w:t>FC: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hanging="27"/>
        <w:spacing w:after="0" w:line="230" w:lineRule="auto"/>
        <w:rPr>
          <w:sz w:val="20"/>
          <w:szCs w:val="20"/>
          <w:color w:val="auto"/>
        </w:rPr>
      </w:pPr>
      <w:r>
        <w:rPr>
          <w:rFonts w:ascii="Arial" w:cs="Arial" w:eastAsia="Arial" w:hAnsi="Arial"/>
          <w:sz w:val="13"/>
          <w:szCs w:val="13"/>
          <w:color w:val="auto"/>
        </w:rPr>
        <w:t>Corporate Governance Committee Finance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RC:</w:t>
      </w:r>
    </w:p>
    <w:p>
      <w:pPr>
        <w:spacing w:after="0"/>
        <w:rPr>
          <w:sz w:val="20"/>
          <w:szCs w:val="20"/>
          <w:color w:val="auto"/>
        </w:rPr>
      </w:pPr>
      <w:r>
        <w:rPr>
          <w:rFonts w:ascii="Arial" w:cs="Arial" w:eastAsia="Arial" w:hAnsi="Arial"/>
          <w:sz w:val="13"/>
          <w:szCs w:val="13"/>
          <w:color w:val="auto"/>
        </w:rPr>
        <w:t>STC: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Risk Committee</w:t>
      </w:r>
    </w:p>
    <w:p>
      <w:pPr>
        <w:spacing w:after="0"/>
        <w:rPr>
          <w:sz w:val="20"/>
          <w:szCs w:val="20"/>
          <w:color w:val="auto"/>
        </w:rPr>
      </w:pPr>
      <w:r>
        <w:rPr>
          <w:rFonts w:ascii="Arial" w:cs="Arial" w:eastAsia="Arial" w:hAnsi="Arial"/>
          <w:sz w:val="12"/>
          <w:szCs w:val="12"/>
          <w:color w:val="auto"/>
        </w:rPr>
        <w:t>Science and 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782955</wp:posOffset>
            </wp:positionH>
            <wp:positionV relativeFrom="paragraph">
              <wp:posOffset>156210</wp:posOffset>
            </wp:positionV>
            <wp:extent cx="7747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13716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5">
            <w:col w:w="4400" w:space="720"/>
            <w:col w:w="320" w:space="160"/>
            <w:col w:w="1900" w:space="680"/>
            <w:col w:w="300" w:space="140"/>
            <w:col w:w="2620"/>
          </w:cols>
          <w:pgMar w:left="240" w:top="459" w:right="419" w:bottom="1440" w:gutter="0" w:footer="0" w:header="0"/>
          <w:type w:val="continuous"/>
        </w:sectPr>
      </w:pPr>
    </w:p>
    <w:p>
      <w:pPr>
        <w:spacing w:after="0" w:line="118"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83820</wp:posOffset>
            </wp:positionV>
            <wp:extent cx="231140" cy="2139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1140" cy="2139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Member: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Financial Expert:</w:t>
      </w:r>
    </w:p>
    <w:p>
      <w:pPr>
        <w:spacing w:after="0" w:line="171" w:lineRule="exact"/>
        <w:rPr>
          <w:sz w:val="20"/>
          <w:szCs w:val="20"/>
          <w:color w:val="auto"/>
        </w:rPr>
      </w:pPr>
    </w:p>
    <w:p>
      <w:pPr>
        <w:sectPr>
          <w:pgSz w:w="11900" w:h="16838" w:orient="portrait"/>
          <w:cols w:equalWidth="0" w:num="3">
            <w:col w:w="4660" w:space="720"/>
            <w:col w:w="2560" w:space="720"/>
            <w:col w:w="2580"/>
          </w:cols>
          <w:pgMar w:left="240" w:top="459" w:right="419" w:bottom="1440" w:gutter="0" w:footer="0" w:header="0"/>
          <w:type w:val="continuous"/>
        </w:sectPr>
      </w:pPr>
    </w:p>
    <w:p>
      <w:pPr>
        <w:jc w:val="center"/>
        <w:ind w:right="10340"/>
        <w:spacing w:after="0"/>
        <w:rPr>
          <w:sz w:val="20"/>
          <w:szCs w:val="20"/>
          <w:color w:val="auto"/>
        </w:rPr>
      </w:pPr>
      <w:r>
        <w:rPr>
          <w:rFonts w:ascii="Arial" w:cs="Arial" w:eastAsia="Arial" w:hAnsi="Arial"/>
          <w:sz w:val="12"/>
          <w:szCs w:val="12"/>
          <w:color w:val="1A6DB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-78105</wp:posOffset>
            </wp:positionV>
            <wp:extent cx="42037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20370" cy="137160"/>
                    </a:xfrm>
                    <a:prstGeom prst="rect">
                      <a:avLst/>
                    </a:prstGeom>
                    <a:noFill/>
                  </pic:spPr>
                </pic:pic>
              </a:graphicData>
            </a:graphic>
          </wp:anchor>
        </w:drawing>
      </w:r>
    </w:p>
    <w:p>
      <w:pPr>
        <w:jc w:val="center"/>
        <w:ind w:right="10340"/>
        <w:spacing w:after="0"/>
        <w:rPr>
          <w:sz w:val="20"/>
          <w:szCs w:val="20"/>
          <w:color w:val="auto"/>
        </w:rPr>
      </w:pPr>
      <w:r>
        <w:rPr>
          <w:rFonts w:ascii="Arial" w:cs="Arial" w:eastAsia="Arial" w:hAnsi="Arial"/>
          <w:sz w:val="9"/>
          <w:szCs w:val="9"/>
          <w:color w:val="1A6DBB"/>
        </w:rPr>
        <w:t>vii-</w:t>
      </w:r>
    </w:p>
    <w:p>
      <w:pPr>
        <w:sectPr>
          <w:pgSz w:w="11900" w:h="16838" w:orient="portrait"/>
          <w:cols w:equalWidth="0" w:num="1">
            <w:col w:w="11240"/>
          </w:cols>
          <w:pgMar w:left="240" w:top="459" w:right="41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336550</wp:posOffset>
            </wp:positionV>
            <wp:extent cx="6736080" cy="2870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36080" cy="28702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925830</wp:posOffset>
            </wp:positionV>
            <wp:extent cx="6997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0"/>
        <w:spacing w:after="0"/>
        <w:rPr>
          <w:sz w:val="20"/>
          <w:szCs w:val="20"/>
          <w:color w:val="auto"/>
        </w:rPr>
      </w:pPr>
      <w:r>
        <w:rPr>
          <w:rFonts w:ascii="Arial" w:cs="Arial" w:eastAsia="Arial" w:hAnsi="Arial"/>
          <w:sz w:val="41"/>
          <w:szCs w:val="41"/>
          <w:color w:val="1A6DBB"/>
        </w:rPr>
        <w:t xml:space="preserve">Proxy Statement Summary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25400</wp:posOffset>
            </wp:positionV>
            <wp:extent cx="6997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300355</wp:posOffset>
            </wp:positionV>
            <wp:extent cx="6869430" cy="3086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6943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FFFFFF"/>
        </w:rPr>
        <w:t>Our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-155575</wp:posOffset>
            </wp:positionV>
            <wp:extent cx="6938010" cy="3086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38010" cy="308610"/>
                    </a:xfrm>
                    <a:prstGeom prst="rect">
                      <a:avLst/>
                    </a:prstGeom>
                    <a:noFill/>
                  </pic:spPr>
                </pic:pic>
              </a:graphicData>
            </a:graphic>
          </wp:anchor>
        </w:drawing>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1A6DBB"/>
        </w:rPr>
        <w:t>Proposal 2 – Ratification of Independent Registered Public Accounting Firm</w:t>
      </w:r>
    </w:p>
    <w:p>
      <w:pPr>
        <w:spacing w:after="0" w:line="128" w:lineRule="exact"/>
        <w:rPr>
          <w:sz w:val="20"/>
          <w:szCs w:val="20"/>
          <w:color w:val="auto"/>
        </w:rPr>
      </w:pPr>
    </w:p>
    <w:p>
      <w:pPr>
        <w:ind w:left="200" w:right="300"/>
        <w:spacing w:after="0" w:line="260" w:lineRule="auto"/>
        <w:rPr>
          <w:sz w:val="20"/>
          <w:szCs w:val="20"/>
          <w:color w:val="auto"/>
        </w:rPr>
      </w:pPr>
      <w:r>
        <w:rPr>
          <w:rFonts w:ascii="Arial" w:cs="Arial" w:eastAsia="Arial" w:hAnsi="Arial"/>
          <w:sz w:val="16"/>
          <w:szCs w:val="16"/>
          <w:color w:val="auto"/>
        </w:rPr>
        <w:t>You are being asked to vote to ratify the selection of PricewaterhouseCoopers LLP as our independent registered public accounting firm for the year ending December 31, 2019. Detailed information about this proposal can be found beginning on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140335</wp:posOffset>
            </wp:positionV>
            <wp:extent cx="6869430" cy="3086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69430" cy="308610"/>
                    </a:xfrm>
                    <a:prstGeom prst="rect">
                      <a:avLst/>
                    </a:prstGeom>
                    <a:noFill/>
                  </pic:spPr>
                </pic:pic>
              </a:graphicData>
            </a:graphic>
          </wp:anchor>
        </w:drawing>
      </w:r>
    </w:p>
    <w:p>
      <w:pPr>
        <w:spacing w:after="0" w:line="383"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FFFFFF"/>
        </w:rPr>
        <w:t>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-155575</wp:posOffset>
            </wp:positionV>
            <wp:extent cx="6938010" cy="3086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38010" cy="308610"/>
                    </a:xfrm>
                    <a:prstGeom prst="rect">
                      <a:avLst/>
                    </a:prstGeom>
                    <a:noFill/>
                  </pic:spPr>
                </pic:pic>
              </a:graphicData>
            </a:graphic>
          </wp:anchor>
        </w:drawing>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1A6DBB"/>
        </w:rPr>
        <w:t>Proposal 3 – Advisory Vote on Executive Compensation</w:t>
      </w:r>
    </w:p>
    <w:p>
      <w:pPr>
        <w:spacing w:after="0" w:line="128" w:lineRule="exact"/>
        <w:rPr>
          <w:sz w:val="20"/>
          <w:szCs w:val="20"/>
          <w:color w:val="auto"/>
        </w:rPr>
      </w:pPr>
    </w:p>
    <w:p>
      <w:pPr>
        <w:ind w:left="200"/>
        <w:spacing w:after="0" w:line="253" w:lineRule="auto"/>
        <w:rPr>
          <w:sz w:val="20"/>
          <w:szCs w:val="20"/>
          <w:color w:val="auto"/>
        </w:rPr>
      </w:pPr>
      <w:r>
        <w:rPr>
          <w:rFonts w:ascii="Arial" w:cs="Arial" w:eastAsia="Arial" w:hAnsi="Arial"/>
          <w:sz w:val="16"/>
          <w:szCs w:val="16"/>
          <w:color w:val="auto"/>
        </w:rPr>
        <w:t>Our Board of Directors recommends that stockholders vote to approve, on an advisory basis, the compensation paid to the Company’s named executive officers (NEOs) as described in this Proxy Statement (the “say-on-pay” vote). Detailed information about the compensation paid to our NEOs can be found beginning on page 30.</w:t>
      </w:r>
    </w:p>
    <w:p>
      <w:pPr>
        <w:spacing w:after="0" w:line="93" w:lineRule="exact"/>
        <w:rPr>
          <w:sz w:val="20"/>
          <w:szCs w:val="20"/>
          <w:color w:val="auto"/>
        </w:rPr>
      </w:pPr>
    </w:p>
    <w:p>
      <w:pPr>
        <w:ind w:left="200" w:right="60"/>
        <w:spacing w:after="0" w:line="260" w:lineRule="auto"/>
        <w:rPr>
          <w:sz w:val="20"/>
          <w:szCs w:val="20"/>
          <w:color w:val="auto"/>
        </w:rPr>
      </w:pPr>
      <w:r>
        <w:rPr>
          <w:rFonts w:ascii="Arial" w:cs="Arial" w:eastAsia="Arial" w:hAnsi="Arial"/>
          <w:sz w:val="16"/>
          <w:szCs w:val="16"/>
          <w:color w:val="auto"/>
        </w:rPr>
        <w:t>Our compensation programs embody a pay-for-performance philosophy that supports our business strategy and aligns executive interests with those of our stockholders. Highlights of our compensation programs for 2018 and our compensation best practices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140335</wp:posOffset>
            </wp:positionV>
            <wp:extent cx="6997700" cy="1117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7700" cy="111760"/>
                    </a:xfrm>
                    <a:prstGeom prst="rect">
                      <a:avLst/>
                    </a:prstGeom>
                    <a:noFill/>
                  </pic:spPr>
                </pic:pic>
              </a:graphicData>
            </a:graphic>
          </wp:anchor>
        </w:drawing>
      </w:r>
    </w:p>
    <w:p>
      <w:pPr>
        <w:spacing w:after="0" w:line="219"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FFFFFF"/>
        </w:rPr>
        <w:t>Pay-for-Performance</w:t>
      </w:r>
    </w:p>
    <w:p>
      <w:pPr>
        <w:spacing w:after="0" w:line="1" w:lineRule="exact"/>
        <w:rPr>
          <w:sz w:val="20"/>
          <w:szCs w:val="20"/>
          <w:color w:val="auto"/>
        </w:rPr>
      </w:pPr>
    </w:p>
    <w:p>
      <w:pPr>
        <w:ind w:left="280" w:right="240"/>
        <w:spacing w:after="0" w:line="258" w:lineRule="auto"/>
        <w:rPr>
          <w:sz w:val="20"/>
          <w:szCs w:val="20"/>
          <w:color w:val="auto"/>
        </w:rPr>
      </w:pPr>
      <w:r>
        <w:rPr>
          <w:rFonts w:ascii="Arial" w:cs="Arial" w:eastAsia="Arial" w:hAnsi="Arial"/>
          <w:sz w:val="14"/>
          <w:szCs w:val="14"/>
          <w:color w:val="auto"/>
        </w:rPr>
        <w:t>Short- and long-term incentive compensation rewards financial, strategic and operational performance and the accomplishment of pre-established goals that are set to support our long-range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0</wp:posOffset>
            </wp:positionV>
            <wp:extent cx="6997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Approximately 91% of the target compensation for Michel Vounatsos, our CEO, was performance-based and at-risk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6997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2" w:lineRule="exact"/>
        <w:rPr>
          <w:sz w:val="20"/>
          <w:szCs w:val="20"/>
          <w:color w:val="auto"/>
        </w:rPr>
      </w:pPr>
    </w:p>
    <w:p>
      <w:pPr>
        <w:ind w:left="4580" w:right="840" w:hanging="4293"/>
        <w:spacing w:after="0" w:line="301" w:lineRule="auto"/>
        <w:rPr>
          <w:sz w:val="20"/>
          <w:szCs w:val="20"/>
          <w:color w:val="auto"/>
        </w:rPr>
      </w:pPr>
      <w:r>
        <w:rPr>
          <w:rFonts w:ascii="Arial" w:cs="Arial" w:eastAsia="Arial" w:hAnsi="Arial"/>
          <w:sz w:val="14"/>
          <w:szCs w:val="14"/>
          <w:color w:val="auto"/>
        </w:rPr>
        <w:t xml:space="preserve">Approximately 84% of the target compensation for our other NEOs was performance-based and at-risk in 2018 (excluding one-time transition equity awards). </w:t>
      </w:r>
      <w:r>
        <w:rPr>
          <w:rFonts w:ascii="Arial" w:cs="Arial" w:eastAsia="Arial" w:hAnsi="Arial"/>
          <w:sz w:val="14"/>
          <w:szCs w:val="14"/>
          <w:color w:val="FFFFFF"/>
        </w:rPr>
        <w:t>Other Compensation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-139065</wp:posOffset>
            </wp:positionV>
            <wp:extent cx="6997700" cy="1117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7700" cy="11176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4"/>
          <w:szCs w:val="14"/>
          <w:color w:val="auto"/>
        </w:rPr>
        <w:t>We provide competitive total pay opportunities after consideration of many factors, including comparative data from a carefully selected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6997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03" w:lineRule="exact"/>
        <w:rPr>
          <w:sz w:val="20"/>
          <w:szCs w:val="20"/>
          <w:color w:val="auto"/>
        </w:rPr>
      </w:pPr>
    </w:p>
    <w:p>
      <w:pPr>
        <w:ind w:left="280" w:right="700"/>
        <w:spacing w:after="0" w:line="258" w:lineRule="auto"/>
        <w:rPr>
          <w:sz w:val="20"/>
          <w:szCs w:val="20"/>
          <w:color w:val="auto"/>
        </w:rPr>
      </w:pPr>
      <w:r>
        <w:rPr>
          <w:rFonts w:ascii="Arial" w:cs="Arial" w:eastAsia="Arial" w:hAnsi="Arial"/>
          <w:sz w:val="14"/>
          <w:szCs w:val="14"/>
          <w:color w:val="auto"/>
        </w:rPr>
        <w:t>An independent compensation consultant assists the Compensation and Management Development Committee in setting executive and non-employee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26035</wp:posOffset>
            </wp:positionV>
            <wp:extent cx="6997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Our compensation programs do not encourage unnecessary and excessive risk taking, and risk assessments are conducted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6997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Payments under our annual bonus plan are performance-based and capped.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6997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Long-term incentive awards are generally performance-based and subject to multi-year vesting and designed to reward long-term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6997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Stock option awards are granted at fair market value; we do not backdate or reprice stock 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6997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We maintain robust stock ownership guidelines for 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6997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Compensation may be recouped/clawed back under our equity and annual bonus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6997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 double-trigger is required for accelerated equity vesting upon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6997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0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 June 2009 we adopted a policy to eliminate excise tax gross ups for newly-hired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6997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We do not offer additional special perquisites to our executive officers that are not offered to our broad employee base or senior management populations.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6997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109220</wp:posOffset>
            </wp:positionV>
            <wp:extent cx="248285" cy="2139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8285" cy="213995"/>
                    </a:xfrm>
                    <a:prstGeom prst="rect">
                      <a:avLst/>
                    </a:prstGeom>
                    <a:noFill/>
                  </pic:spPr>
                </pic:pic>
              </a:graphicData>
            </a:graphic>
          </wp:anchor>
        </w:drawing>
      </w:r>
    </w:p>
    <w:p>
      <w:pPr>
        <w:spacing w:after="0" w:line="192" w:lineRule="exact"/>
        <w:rPr>
          <w:sz w:val="20"/>
          <w:szCs w:val="20"/>
          <w:color w:val="auto"/>
        </w:rPr>
      </w:pPr>
    </w:p>
    <w:p>
      <w:pPr>
        <w:jc w:val="center"/>
        <w:ind w:right="10200"/>
        <w:spacing w:after="0"/>
        <w:rPr>
          <w:sz w:val="20"/>
          <w:szCs w:val="20"/>
          <w:color w:val="auto"/>
        </w:rPr>
      </w:pPr>
      <w:r>
        <w:rPr>
          <w:rFonts w:ascii="Arial" w:cs="Arial" w:eastAsia="Arial" w:hAnsi="Arial"/>
          <w:sz w:val="12"/>
          <w:szCs w:val="12"/>
          <w:color w:val="1A6DB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-78105</wp:posOffset>
            </wp:positionV>
            <wp:extent cx="42037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20370" cy="137160"/>
                    </a:xfrm>
                    <a:prstGeom prst="rect">
                      <a:avLst/>
                    </a:prstGeom>
                    <a:noFill/>
                  </pic:spPr>
                </pic:pic>
              </a:graphicData>
            </a:graphic>
          </wp:anchor>
        </w:drawing>
      </w:r>
    </w:p>
    <w:p>
      <w:pPr>
        <w:jc w:val="center"/>
        <w:ind w:right="10200"/>
        <w:spacing w:after="0"/>
        <w:rPr>
          <w:sz w:val="20"/>
          <w:szCs w:val="20"/>
          <w:color w:val="auto"/>
        </w:rPr>
      </w:pPr>
      <w:r>
        <w:rPr>
          <w:rFonts w:ascii="Arial" w:cs="Arial" w:eastAsia="Arial" w:hAnsi="Arial"/>
          <w:sz w:val="12"/>
          <w:szCs w:val="12"/>
          <w:color w:val="1A6DBB"/>
        </w:rPr>
        <w:t>viii-</w:t>
      </w:r>
    </w:p>
    <w:p>
      <w:pPr>
        <w:sectPr>
          <w:pgSz w:w="11900" w:h="16838" w:orient="portrait"/>
          <w:cols w:equalWidth="0" w:num="1">
            <w:col w:w="11100"/>
          </w:cols>
          <w:pgMar w:left="240" w:top="459" w:right="5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336550</wp:posOffset>
            </wp:positionV>
            <wp:extent cx="6736080" cy="2870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36080" cy="28702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925830</wp:posOffset>
            </wp:positionV>
            <wp:extent cx="6997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0"/>
        <w:spacing w:after="0"/>
        <w:rPr>
          <w:sz w:val="20"/>
          <w:szCs w:val="20"/>
          <w:color w:val="auto"/>
        </w:rPr>
      </w:pPr>
      <w:r>
        <w:rPr>
          <w:rFonts w:ascii="Arial" w:cs="Arial" w:eastAsia="Arial" w:hAnsi="Arial"/>
          <w:sz w:val="41"/>
          <w:szCs w:val="41"/>
          <w:color w:val="1A6DBB"/>
        </w:rPr>
        <w:t xml:space="preserve">Proxy Statement Summary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25400</wp:posOffset>
            </wp:positionV>
            <wp:extent cx="6997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300355</wp:posOffset>
            </wp:positionV>
            <wp:extent cx="6869430" cy="3086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6943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FFFFFF"/>
        </w:rPr>
        <w:t>Note about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-155575</wp:posOffset>
            </wp:positionV>
            <wp:extent cx="6938010" cy="3086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38010" cy="308610"/>
                    </a:xfrm>
                    <a:prstGeom prst="rect">
                      <a:avLst/>
                    </a:prstGeom>
                    <a:noFill/>
                  </pic:spPr>
                </pic:pic>
              </a:graphicData>
            </a:graphic>
          </wp:anchor>
        </w:drawing>
      </w:r>
    </w:p>
    <w:p>
      <w:pPr>
        <w:spacing w:after="0" w:line="330" w:lineRule="exact"/>
        <w:rPr>
          <w:sz w:val="20"/>
          <w:szCs w:val="20"/>
          <w:color w:val="auto"/>
        </w:rPr>
      </w:pPr>
    </w:p>
    <w:p>
      <w:pPr>
        <w:ind w:left="200"/>
        <w:spacing w:after="0" w:line="250" w:lineRule="auto"/>
        <w:rPr>
          <w:sz w:val="20"/>
          <w:szCs w:val="20"/>
          <w:color w:val="auto"/>
        </w:rPr>
      </w:pPr>
      <w:r>
        <w:rPr>
          <w:rFonts w:ascii="Arial" w:cs="Arial" w:eastAsia="Arial" w:hAnsi="Arial"/>
          <w:sz w:val="16"/>
          <w:szCs w:val="16"/>
          <w:color w:val="auto"/>
        </w:rPr>
        <w:t>This Proxy Statement contains forward-looking statements, including statements relating to: our strategy and plans; potential of our commercial business and pipeline programs; capital allocation and investment strategy; clinical trials and data readouts and presentations; and the anticipated benefits and potential of investments, collaborations and business development activities. These forward-looking statements may be accompanied by such words as “aim,” “anticipate,” “believe,” “could,” “estimate,” “expect,” “forecast,” “intend,” “may,” “plan,” “potential,” “possible,” “will,” “would” and other words and terms of similar meaning. You should not place undue reliance on these statements or the scientific data presented.</w:t>
      </w:r>
    </w:p>
    <w:p>
      <w:pPr>
        <w:spacing w:after="0" w:line="95" w:lineRule="exact"/>
        <w:rPr>
          <w:sz w:val="20"/>
          <w:szCs w:val="20"/>
          <w:color w:val="auto"/>
        </w:rPr>
      </w:pPr>
    </w:p>
    <w:p>
      <w:pPr>
        <w:ind w:left="200"/>
        <w:spacing w:after="0" w:line="250" w:lineRule="auto"/>
        <w:rPr>
          <w:sz w:val="20"/>
          <w:szCs w:val="20"/>
          <w:color w:val="auto"/>
        </w:rPr>
      </w:pPr>
      <w:r>
        <w:rPr>
          <w:rFonts w:ascii="Arial" w:cs="Arial" w:eastAsia="Arial" w:hAnsi="Arial"/>
          <w:sz w:val="16"/>
          <w:szCs w:val="16"/>
          <w:color w:val="auto"/>
        </w:rPr>
        <w:t>These statements involve risks and uncertainties that could cause actual results to differ materially from those reflected in such statements, including the risks and uncertainties that are described in the Risk Factors section of our most recent annual or quarterly report and in other reports we have filed with the Securities and Exchange Commission (SEC). These statements are based on our current beliefs and expectations and speak only as of the date of this Proxy Statement. We do not undertake any obligation to publicly update any forward-looking statements, whether as a result of new information, future developments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144780</wp:posOffset>
            </wp:positionV>
            <wp:extent cx="6869430" cy="3086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69430" cy="308610"/>
                    </a:xfrm>
                    <a:prstGeom prst="rect">
                      <a:avLst/>
                    </a:prstGeom>
                    <a:noFill/>
                  </pic:spPr>
                </pic:pic>
              </a:graphicData>
            </a:graphic>
          </wp:anchor>
        </w:drawing>
      </w:r>
    </w:p>
    <w:p>
      <w:pPr>
        <w:spacing w:after="0" w:line="391"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FFFFFF"/>
        </w:rPr>
        <w:t>Note regarding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-155575</wp:posOffset>
            </wp:positionV>
            <wp:extent cx="6938010" cy="3086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38010" cy="308610"/>
                    </a:xfrm>
                    <a:prstGeom prst="rect">
                      <a:avLst/>
                    </a:prstGeom>
                    <a:noFill/>
                  </pic:spPr>
                </pic:pic>
              </a:graphicData>
            </a:graphic>
          </wp:anchor>
        </w:drawing>
      </w:r>
    </w:p>
    <w:p>
      <w:pPr>
        <w:spacing w:after="0" w:line="325" w:lineRule="exact"/>
        <w:rPr>
          <w:sz w:val="20"/>
          <w:szCs w:val="20"/>
          <w:color w:val="auto"/>
        </w:rPr>
      </w:pPr>
    </w:p>
    <w:p>
      <w:pPr>
        <w:ind w:left="200" w:right="180"/>
        <w:spacing w:after="0" w:line="188" w:lineRule="auto"/>
        <w:rPr>
          <w:sz w:val="20"/>
          <w:szCs w:val="20"/>
          <w:color w:val="auto"/>
        </w:rPr>
      </w:pPr>
      <w:r>
        <w:rPr>
          <w:rFonts w:ascii="Arial" w:cs="Arial" w:eastAsia="Arial" w:hAnsi="Arial"/>
          <w:sz w:val="16"/>
          <w:szCs w:val="16"/>
          <w:color w:val="auto"/>
        </w:rPr>
        <w:t>PLEGRIDY</w:t>
      </w:r>
      <w:r>
        <w:rPr>
          <w:rFonts w:ascii="Arial" w:cs="Arial" w:eastAsia="Arial" w:hAnsi="Arial"/>
          <w:sz w:val="27"/>
          <w:szCs w:val="27"/>
          <w:color w:val="auto"/>
          <w:vertAlign w:val="superscript"/>
        </w:rPr>
        <w:t>®</w:t>
      </w:r>
      <w:r>
        <w:rPr>
          <w:rFonts w:ascii="Arial" w:cs="Arial" w:eastAsia="Arial" w:hAnsi="Arial"/>
          <w:sz w:val="16"/>
          <w:szCs w:val="16"/>
          <w:color w:val="auto"/>
        </w:rPr>
        <w:t>, SPINRAZA</w:t>
      </w:r>
      <w:r>
        <w:rPr>
          <w:rFonts w:ascii="Arial" w:cs="Arial" w:eastAsia="Arial" w:hAnsi="Arial"/>
          <w:sz w:val="27"/>
          <w:szCs w:val="27"/>
          <w:color w:val="auto"/>
          <w:vertAlign w:val="superscript"/>
        </w:rPr>
        <w:t>®</w:t>
      </w:r>
      <w:r>
        <w:rPr>
          <w:rFonts w:ascii="Arial" w:cs="Arial" w:eastAsia="Arial" w:hAnsi="Arial"/>
          <w:sz w:val="16"/>
          <w:szCs w:val="16"/>
          <w:color w:val="auto"/>
        </w:rPr>
        <w:t>, TECFIDERA</w:t>
      </w:r>
      <w:r>
        <w:rPr>
          <w:rFonts w:ascii="Arial" w:cs="Arial" w:eastAsia="Arial" w:hAnsi="Arial"/>
          <w:sz w:val="27"/>
          <w:szCs w:val="27"/>
          <w:color w:val="auto"/>
          <w:vertAlign w:val="superscript"/>
        </w:rPr>
        <w:t>®</w:t>
      </w:r>
      <w:r>
        <w:rPr>
          <w:rFonts w:ascii="Arial" w:cs="Arial" w:eastAsia="Arial" w:hAnsi="Arial"/>
          <w:sz w:val="16"/>
          <w:szCs w:val="16"/>
          <w:color w:val="auto"/>
        </w:rPr>
        <w:t xml:space="preserve"> and ZINBRYTA</w:t>
      </w:r>
      <w:r>
        <w:rPr>
          <w:rFonts w:ascii="Arial" w:cs="Arial" w:eastAsia="Arial" w:hAnsi="Arial"/>
          <w:sz w:val="27"/>
          <w:szCs w:val="27"/>
          <w:color w:val="auto"/>
          <w:vertAlign w:val="superscript"/>
        </w:rPr>
        <w:t>®</w:t>
      </w:r>
      <w:r>
        <w:rPr>
          <w:rFonts w:ascii="Arial" w:cs="Arial" w:eastAsia="Arial" w:hAnsi="Arial"/>
          <w:sz w:val="16"/>
          <w:szCs w:val="16"/>
          <w:color w:val="auto"/>
        </w:rPr>
        <w:t xml:space="preserve"> are registered trademarks of Biogen. IMRALDI</w:t>
      </w:r>
      <w:r>
        <w:rPr>
          <w:rFonts w:ascii="Arial" w:cs="Arial" w:eastAsia="Arial" w:hAnsi="Arial"/>
          <w:sz w:val="27"/>
          <w:szCs w:val="27"/>
          <w:color w:val="auto"/>
          <w:vertAlign w:val="superscript"/>
        </w:rPr>
        <w:t>™</w:t>
      </w:r>
      <w:r>
        <w:rPr>
          <w:rFonts w:ascii="Arial" w:cs="Arial" w:eastAsia="Arial" w:hAnsi="Arial"/>
          <w:sz w:val="16"/>
          <w:szCs w:val="16"/>
          <w:color w:val="auto"/>
        </w:rPr>
        <w:t xml:space="preserve"> is a trademark of Biogen. HUMIRA</w:t>
      </w:r>
      <w:r>
        <w:rPr>
          <w:rFonts w:ascii="Arial" w:cs="Arial" w:eastAsia="Arial" w:hAnsi="Arial"/>
          <w:sz w:val="27"/>
          <w:szCs w:val="27"/>
          <w:color w:val="auto"/>
          <w:vertAlign w:val="superscript"/>
        </w:rPr>
        <w:t>®</w:t>
      </w:r>
      <w:r>
        <w:rPr>
          <w:rFonts w:ascii="Arial" w:cs="Arial" w:eastAsia="Arial" w:hAnsi="Arial"/>
          <w:sz w:val="16"/>
          <w:szCs w:val="16"/>
          <w:color w:val="auto"/>
        </w:rPr>
        <w:t xml:space="preserve"> and other trademarks referenced in this Proxy Statement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81915</wp:posOffset>
            </wp:positionV>
            <wp:extent cx="213995" cy="2139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3995" cy="213995"/>
                    </a:xfrm>
                    <a:prstGeom prst="rect">
                      <a:avLst/>
                    </a:prstGeom>
                    <a:noFill/>
                  </pic:spPr>
                </pic:pic>
              </a:graphicData>
            </a:graphic>
          </wp:anchor>
        </w:drawing>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2"/>
          <w:szCs w:val="12"/>
          <w:color w:val="1A6DB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-78105</wp:posOffset>
            </wp:positionV>
            <wp:extent cx="42037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037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2"/>
          <w:szCs w:val="12"/>
          <w:color w:val="1A6DBB"/>
        </w:rPr>
        <w:t>ix-</w:t>
      </w:r>
    </w:p>
    <w:p>
      <w:pPr>
        <w:sectPr>
          <w:pgSz w:w="11900" w:h="16838" w:orient="portrait"/>
          <w:cols w:equalWidth="0" w:num="1">
            <w:col w:w="11120"/>
          </w:cols>
          <w:pgMar w:left="240" w:top="459" w:right="5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11"/>
        </w:numPr>
        <w:rPr>
          <w:rFonts w:ascii="Arial" w:cs="Arial" w:eastAsia="Arial" w:hAnsi="Arial"/>
          <w:sz w:val="90"/>
          <w:szCs w:val="90"/>
          <w:color w:val="1A6DBB"/>
        </w:rPr>
      </w:pPr>
      <w:r>
        <w:rPr>
          <w:rFonts w:ascii="Arial" w:cs="Arial" w:eastAsia="Arial" w:hAnsi="Arial"/>
          <w:sz w:val="41"/>
          <w:szCs w:val="41"/>
          <w:color w:val="1A6DBB"/>
        </w:rPr>
        <w:t>General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1A6DBB"/>
        </w:rPr>
        <w:t>Biogen Inc.</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1A6DBB"/>
        </w:rPr>
        <w:t>225 Binney Street</w:t>
      </w:r>
    </w:p>
    <w:p>
      <w:pPr>
        <w:ind w:left="200"/>
        <w:spacing w:after="0"/>
        <w:rPr>
          <w:sz w:val="20"/>
          <w:szCs w:val="20"/>
          <w:color w:val="auto"/>
        </w:rPr>
      </w:pPr>
      <w:r>
        <w:rPr>
          <w:rFonts w:ascii="Arial" w:cs="Arial" w:eastAsia="Arial" w:hAnsi="Arial"/>
          <w:sz w:val="18"/>
          <w:szCs w:val="18"/>
          <w:b w:val="1"/>
          <w:bCs w:val="1"/>
          <w:color w:val="1A6DBB"/>
        </w:rPr>
        <w:t>Cambridge, Massachusetts 02142</w:t>
      </w:r>
    </w:p>
    <w:p>
      <w:pPr>
        <w:spacing w:after="0" w:line="214" w:lineRule="exact"/>
        <w:rPr>
          <w:sz w:val="20"/>
          <w:szCs w:val="20"/>
          <w:color w:val="auto"/>
        </w:rPr>
      </w:pPr>
    </w:p>
    <w:p>
      <w:pPr>
        <w:ind w:left="200" w:right="100"/>
        <w:spacing w:after="0" w:line="253" w:lineRule="auto"/>
        <w:rPr>
          <w:sz w:val="20"/>
          <w:szCs w:val="20"/>
          <w:color w:val="auto"/>
        </w:rPr>
      </w:pPr>
      <w:r>
        <w:rPr>
          <w:rFonts w:ascii="Arial" w:cs="Arial" w:eastAsia="Arial" w:hAnsi="Arial"/>
          <w:sz w:val="16"/>
          <w:szCs w:val="16"/>
          <w:color w:val="auto"/>
        </w:rPr>
        <w:t>The Board of Directors of Biogen Inc. is soliciting your proxy to vote at our 2019 annual meeting of stockholders (Annual Meeting) to be held at 9:00 a.m. Eastern Time on Wednesday, June 19, 2019, for the purposes summarized in the accompanying Notice of 2019 Annual Meeting of Stockholders. Our 2018 Annual Report on Form 10-K is also available with this Proxy Statement.</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References in this Proxy Statement to “Biogen” or the “Company,” “we,” “us” and “our” refer to Biogen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156210</wp:posOffset>
            </wp:positionV>
            <wp:extent cx="6997700" cy="36703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7700" cy="367030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30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1A6DBB"/>
        </w:rPr>
        <w:t>What is the purpose of the Annual Meeting?</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At the Annual Meeting, stockholders will vote upon the matters that are summarized in the formal meeting notice. This Proxy Statement contains important information for you to consider when deciding how to vote on the matters before the Annual Meeting.</w:t>
      </w:r>
    </w:p>
    <w:p>
      <w:pPr>
        <w:spacing w:after="0" w:line="181" w:lineRule="exact"/>
        <w:rPr>
          <w:sz w:val="20"/>
          <w:szCs w:val="20"/>
          <w:color w:val="auto"/>
        </w:rPr>
      </w:pPr>
    </w:p>
    <w:p>
      <w:pPr>
        <w:sectPr>
          <w:pgSz w:w="11900" w:h="16838" w:orient="portrait"/>
          <w:cols w:equalWidth="0" w:num="2">
            <w:col w:w="3580" w:space="480"/>
            <w:col w:w="716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i w:val="1"/>
          <w:iCs w:val="1"/>
          <w:color w:val="1A6DBB"/>
        </w:rPr>
        <w:t>Can I attend the Annual Meeting?</w:t>
      </w:r>
    </w:p>
    <w:p>
      <w:pPr>
        <w:spacing w:after="0" w:line="20" w:lineRule="exact"/>
        <w:rPr>
          <w:sz w:val="20"/>
          <w:szCs w:val="20"/>
          <w:color w:val="auto"/>
        </w:rPr>
      </w:pPr>
      <w:r>
        <w:rPr>
          <w:sz w:val="20"/>
          <w:szCs w:val="20"/>
          <w:color w:val="auto"/>
        </w:rPr>
        <w:br w:type="column"/>
      </w:r>
    </w:p>
    <w:p>
      <w:pPr>
        <w:ind w:right="80"/>
        <w:spacing w:after="0" w:line="248" w:lineRule="auto"/>
        <w:rPr>
          <w:sz w:val="20"/>
          <w:szCs w:val="20"/>
          <w:color w:val="auto"/>
        </w:rPr>
      </w:pPr>
      <w:r>
        <w:rPr>
          <w:rFonts w:ascii="Arial" w:cs="Arial" w:eastAsia="Arial" w:hAnsi="Arial"/>
          <w:sz w:val="16"/>
          <w:szCs w:val="16"/>
          <w:color w:val="auto"/>
        </w:rPr>
        <w:t xml:space="preserve">We will be hosting the Annual Meeting at our offices at 225 Binney Street, Cambridge, Massachusetts 02142. For those who cannot attend in person, we are offering a virtual stockholder meeting in which you can view the meeting, submit questions and vote online at </w:t>
      </w:r>
      <w:r>
        <w:rPr>
          <w:rFonts w:ascii="Arial" w:cs="Arial" w:eastAsia="Arial" w:hAnsi="Arial"/>
          <w:sz w:val="16"/>
          <w:szCs w:val="16"/>
          <w:u w:val="single" w:color="auto"/>
          <w:color w:val="auto"/>
        </w:rPr>
        <w:t>www.virtualshareholdermeeting.com/BIIB2019</w:t>
      </w:r>
      <w:r>
        <w:rPr>
          <w:rFonts w:ascii="Arial" w:cs="Arial" w:eastAsia="Arial" w:hAnsi="Arial"/>
          <w:sz w:val="16"/>
          <w:szCs w:val="16"/>
          <w:color w:val="auto"/>
        </w:rPr>
        <w:t xml:space="preserve">. You will need the 16-digit control number included with these proxy materials to attend the Annual Meeting virtually via the Internet. </w:t>
      </w:r>
      <w:r>
        <w:rPr>
          <w:rFonts w:ascii="Arial" w:cs="Arial" w:eastAsia="Arial" w:hAnsi="Arial"/>
          <w:sz w:val="16"/>
          <w:szCs w:val="16"/>
          <w:b w:val="1"/>
          <w:bCs w:val="1"/>
          <w:color w:val="auto"/>
        </w:rPr>
        <w:t>Stockholders</w:t>
      </w:r>
      <w:r>
        <w:rPr>
          <w:rFonts w:ascii="Arial" w:cs="Arial" w:eastAsia="Arial" w:hAnsi="Arial"/>
          <w:sz w:val="16"/>
          <w:szCs w:val="16"/>
          <w:color w:val="auto"/>
        </w:rPr>
        <w:t xml:space="preserve"> </w:t>
      </w:r>
      <w:r>
        <w:rPr>
          <w:rFonts w:ascii="Arial" w:cs="Arial" w:eastAsia="Arial" w:hAnsi="Arial"/>
          <w:sz w:val="16"/>
          <w:szCs w:val="16"/>
          <w:b w:val="1"/>
          <w:bCs w:val="1"/>
          <w:color w:val="auto"/>
        </w:rPr>
        <w:t>who attend the Annual Meeting virtually via the Internet will have the opportunity to participate fully in the meeting on an equal basis with those who attend in person.</w:t>
      </w:r>
    </w:p>
    <w:p>
      <w:pPr>
        <w:spacing w:after="0" w:line="189" w:lineRule="exact"/>
        <w:rPr>
          <w:sz w:val="20"/>
          <w:szCs w:val="20"/>
          <w:color w:val="auto"/>
        </w:rPr>
      </w:pPr>
    </w:p>
    <w:p>
      <w:pPr>
        <w:sectPr>
          <w:pgSz w:w="11900" w:h="16838" w:orient="portrait"/>
          <w:cols w:equalWidth="0" w:num="2">
            <w:col w:w="3340" w:space="720"/>
            <w:col w:w="7160"/>
          </w:cols>
          <w:pgMar w:left="240" w:top="459" w:right="439" w:bottom="1440" w:gutter="0" w:footer="0" w:header="0"/>
          <w:type w:val="continuous"/>
        </w:sectPr>
      </w:pPr>
    </w:p>
    <w:p>
      <w:pPr>
        <w:jc w:val="both"/>
        <w:ind w:left="200"/>
        <w:spacing w:after="0" w:line="286" w:lineRule="auto"/>
        <w:rPr>
          <w:sz w:val="20"/>
          <w:szCs w:val="20"/>
          <w:color w:val="auto"/>
        </w:rPr>
      </w:pPr>
      <w:r>
        <w:rPr>
          <w:rFonts w:ascii="Arial" w:cs="Arial" w:eastAsia="Arial" w:hAnsi="Arial"/>
          <w:sz w:val="16"/>
          <w:szCs w:val="16"/>
          <w:b w:val="1"/>
          <w:bCs w:val="1"/>
          <w:i w:val="1"/>
          <w:iCs w:val="1"/>
          <w:color w:val="1A6DBB"/>
        </w:rPr>
        <w:t>What do I need in order to be able to participate in the Annual Meeting virtually via the Internet?</w:t>
      </w:r>
    </w:p>
    <w:p>
      <w:pPr>
        <w:spacing w:after="0" w:line="20" w:lineRule="exact"/>
        <w:rPr>
          <w:sz w:val="20"/>
          <w:szCs w:val="20"/>
          <w:color w:val="auto"/>
        </w:rPr>
      </w:pPr>
      <w:r>
        <w:rPr>
          <w:sz w:val="20"/>
          <w:szCs w:val="20"/>
          <w:color w:val="auto"/>
        </w:rPr>
        <w:br w:type="column"/>
      </w:r>
    </w:p>
    <w:p>
      <w:pPr>
        <w:ind w:right="40"/>
        <w:spacing w:after="0" w:line="250" w:lineRule="auto"/>
        <w:rPr>
          <w:sz w:val="20"/>
          <w:szCs w:val="20"/>
          <w:color w:val="auto"/>
        </w:rPr>
      </w:pPr>
      <w:r>
        <w:rPr>
          <w:rFonts w:ascii="Arial" w:cs="Arial" w:eastAsia="Arial" w:hAnsi="Arial"/>
          <w:sz w:val="16"/>
          <w:szCs w:val="16"/>
          <w:color w:val="auto"/>
        </w:rPr>
        <w:t>You will need the 16-digit control number included on your Notice of Internet Availability of Proxy Materials or your proxy card or voting instruction form in order to be able to vote your shares or submit questions via the Internet during the Annual Meeting. If you do not have your 16-digit control number and attend the meeting online, you will be able to listen to the meeting only — you will not be able to vote or submit questions during the meeting.</w:t>
      </w:r>
    </w:p>
    <w:p>
      <w:pPr>
        <w:spacing w:after="0" w:line="183" w:lineRule="exact"/>
        <w:rPr>
          <w:sz w:val="20"/>
          <w:szCs w:val="20"/>
          <w:color w:val="auto"/>
        </w:rPr>
      </w:pPr>
    </w:p>
    <w:p>
      <w:pPr>
        <w:sectPr>
          <w:pgSz w:w="11900" w:h="16838" w:orient="portrait"/>
          <w:cols w:equalWidth="0" w:num="2">
            <w:col w:w="3860" w:space="200"/>
            <w:col w:w="7160"/>
          </w:cols>
          <w:pgMar w:left="240" w:top="459" w:right="439" w:bottom="1440" w:gutter="0" w:footer="0" w:header="0"/>
          <w:type w:val="continuous"/>
        </w:sectPr>
      </w:pPr>
    </w:p>
    <w:tbl>
      <w:tblPr>
        <w:tblLayout w:type="fixed"/>
        <w:tblInd w:w="200" w:type="dxa"/>
        <w:tblCellMar>
          <w:top w:w="0" w:type="dxa"/>
          <w:left w:w="0" w:type="dxa"/>
          <w:bottom w:w="0" w:type="dxa"/>
          <w:right w:w="0" w:type="dxa"/>
        </w:tblCellMar>
      </w:tblPr>
      <w:tr>
        <w:trPr>
          <w:trHeight w:val="209"/>
        </w:trPr>
        <w:tc>
          <w:tcPr>
            <w:tcW w:w="2520" w:type="dxa"/>
            <w:vAlign w:val="bottom"/>
          </w:tcPr>
          <w:p>
            <w:pPr>
              <w:spacing w:after="0"/>
              <w:rPr>
                <w:sz w:val="20"/>
                <w:szCs w:val="20"/>
                <w:color w:val="auto"/>
              </w:rPr>
            </w:pPr>
            <w:r>
              <w:rPr>
                <w:rFonts w:ascii="Arial" w:cs="Arial" w:eastAsia="Arial" w:hAnsi="Arial"/>
                <w:sz w:val="16"/>
                <w:szCs w:val="16"/>
                <w:b w:val="1"/>
                <w:bCs w:val="1"/>
                <w:i w:val="1"/>
                <w:iCs w:val="1"/>
                <w:color w:val="1A6DBB"/>
              </w:rPr>
              <w:t>Who can vote?</w:t>
            </w:r>
          </w:p>
        </w:tc>
        <w:tc>
          <w:tcPr>
            <w:tcW w:w="8500" w:type="dxa"/>
            <w:vAlign w:val="bottom"/>
          </w:tcPr>
          <w:p>
            <w:pPr>
              <w:ind w:left="1340"/>
              <w:spacing w:after="0"/>
              <w:rPr>
                <w:sz w:val="20"/>
                <w:szCs w:val="20"/>
                <w:color w:val="auto"/>
              </w:rPr>
            </w:pPr>
            <w:r>
              <w:rPr>
                <w:rFonts w:ascii="Arial" w:cs="Arial" w:eastAsia="Arial" w:hAnsi="Arial"/>
                <w:sz w:val="16"/>
                <w:szCs w:val="16"/>
                <w:color w:val="auto"/>
              </w:rPr>
              <w:t>Each share of our common stock that you own as of the close of business on the record date of</w:t>
            </w:r>
          </w:p>
        </w:tc>
      </w:tr>
      <w:tr>
        <w:trPr>
          <w:trHeight w:val="189"/>
        </w:trPr>
        <w:tc>
          <w:tcPr>
            <w:tcW w:w="2520" w:type="dxa"/>
            <w:vAlign w:val="bottom"/>
          </w:tcPr>
          <w:p>
            <w:pPr>
              <w:spacing w:after="0"/>
              <w:rPr>
                <w:sz w:val="16"/>
                <w:szCs w:val="16"/>
                <w:color w:val="auto"/>
              </w:rPr>
            </w:pPr>
          </w:p>
        </w:tc>
        <w:tc>
          <w:tcPr>
            <w:tcW w:w="8500" w:type="dxa"/>
            <w:vAlign w:val="bottom"/>
          </w:tcPr>
          <w:p>
            <w:pPr>
              <w:ind w:left="1340"/>
              <w:spacing w:after="0"/>
              <w:rPr>
                <w:sz w:val="20"/>
                <w:szCs w:val="20"/>
                <w:color w:val="auto"/>
              </w:rPr>
            </w:pPr>
            <w:r>
              <w:rPr>
                <w:rFonts w:ascii="Arial" w:cs="Arial" w:eastAsia="Arial" w:hAnsi="Arial"/>
                <w:sz w:val="16"/>
                <w:szCs w:val="16"/>
                <w:color w:val="auto"/>
              </w:rPr>
              <w:t>April 22, 2019 (Record Date) entitles you to one vote on each matter to be voted upon at the Annual</w:t>
            </w:r>
          </w:p>
        </w:tc>
      </w:tr>
      <w:tr>
        <w:trPr>
          <w:trHeight w:val="189"/>
        </w:trPr>
        <w:tc>
          <w:tcPr>
            <w:tcW w:w="2520" w:type="dxa"/>
            <w:vAlign w:val="bottom"/>
          </w:tcPr>
          <w:p>
            <w:pPr>
              <w:spacing w:after="0"/>
              <w:rPr>
                <w:sz w:val="16"/>
                <w:szCs w:val="16"/>
                <w:color w:val="auto"/>
              </w:rPr>
            </w:pPr>
          </w:p>
        </w:tc>
        <w:tc>
          <w:tcPr>
            <w:tcW w:w="8500" w:type="dxa"/>
            <w:vAlign w:val="bottom"/>
          </w:tcPr>
          <w:p>
            <w:pPr>
              <w:ind w:left="1340"/>
              <w:spacing w:after="0"/>
              <w:rPr>
                <w:sz w:val="20"/>
                <w:szCs w:val="20"/>
                <w:color w:val="auto"/>
              </w:rPr>
            </w:pPr>
            <w:r>
              <w:rPr>
                <w:rFonts w:ascii="Arial" w:cs="Arial" w:eastAsia="Arial" w:hAnsi="Arial"/>
                <w:sz w:val="16"/>
                <w:szCs w:val="16"/>
                <w:color w:val="auto"/>
              </w:rPr>
              <w:t>Meeting. As of the Record Date, 193,893,397 shares of our common stock were outstanding and</w:t>
            </w:r>
          </w:p>
        </w:tc>
      </w:tr>
    </w:tbl>
    <w:p>
      <w:pPr>
        <w:ind w:left="4060" w:right="20"/>
        <w:spacing w:after="0" w:line="248" w:lineRule="auto"/>
        <w:rPr>
          <w:sz w:val="20"/>
          <w:szCs w:val="20"/>
          <w:color w:val="auto"/>
        </w:rPr>
      </w:pPr>
      <w:r>
        <w:rPr>
          <w:rFonts w:ascii="Arial" w:cs="Arial" w:eastAsia="Arial" w:hAnsi="Arial"/>
          <w:sz w:val="16"/>
          <w:szCs w:val="16"/>
          <w:color w:val="auto"/>
        </w:rPr>
        <w:t xml:space="preserve">entitled to vote. We are making this Proxy Statement and other Annual Meeting materials available on the Internet at </w:t>
      </w:r>
      <w:r>
        <w:rPr>
          <w:rFonts w:ascii="Arial" w:cs="Arial" w:eastAsia="Arial" w:hAnsi="Arial"/>
          <w:sz w:val="16"/>
          <w:szCs w:val="16"/>
          <w:u w:val="single" w:color="auto"/>
          <w:color w:val="auto"/>
        </w:rPr>
        <w:t>www.proxyvote.com</w:t>
      </w:r>
      <w:r>
        <w:rPr>
          <w:rFonts w:ascii="Arial" w:cs="Arial" w:eastAsia="Arial" w:hAnsi="Arial"/>
          <w:sz w:val="16"/>
          <w:szCs w:val="16"/>
          <w:color w:val="auto"/>
        </w:rPr>
        <w:t xml:space="preserve"> or, upon request, by sending printed versions of these materials on or about April 30, 2019, to all stockholders of record as of the Record Date. For ten days before the Annual Meeting, a list of stockholders entitled to vote will be available for inspection at our offices located at 225 Binney Street, Cambridge, Massachusetts 02142 and will also be available for examination during the Annual Meeting at </w:t>
      </w:r>
      <w:r>
        <w:rPr>
          <w:rFonts w:ascii="Arial" w:cs="Arial" w:eastAsia="Arial" w:hAnsi="Arial"/>
          <w:sz w:val="16"/>
          <w:szCs w:val="16"/>
          <w:u w:val="single" w:color="auto"/>
          <w:color w:val="auto"/>
        </w:rPr>
        <w:t>www.virtualshareholdermeeting.com/BIIB2019</w:t>
      </w:r>
      <w:r>
        <w:rPr>
          <w:rFonts w:ascii="Arial" w:cs="Arial" w:eastAsia="Arial" w:hAnsi="Arial"/>
          <w:sz w:val="16"/>
          <w:szCs w:val="16"/>
          <w:color w:val="auto"/>
        </w:rPr>
        <w:t>. If you would like to review the list, please call our Investor Relations department at (781) 464-2442.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79375</wp:posOffset>
            </wp:positionV>
            <wp:extent cx="6997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173990</wp:posOffset>
            </wp:positionV>
            <wp:extent cx="66040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60400" cy="154305"/>
                    </a:xfrm>
                    <a:prstGeom prst="rect">
                      <a:avLst/>
                    </a:prstGeom>
                    <a:noFill/>
                  </pic:spPr>
                </pic:pic>
              </a:graphicData>
            </a:graphic>
          </wp:anchor>
        </w:drawing>
      </w:r>
    </w:p>
    <w:p>
      <w:pPr>
        <w:spacing w:after="0" w:line="310" w:lineRule="exact"/>
        <w:rPr>
          <w:sz w:val="20"/>
          <w:szCs w:val="20"/>
          <w:color w:val="auto"/>
        </w:rPr>
      </w:pPr>
    </w:p>
    <w:p>
      <w:pPr>
        <w:ind w:left="380"/>
        <w:spacing w:after="0"/>
        <w:rPr>
          <w:sz w:val="20"/>
          <w:szCs w:val="20"/>
          <w:color w:val="auto"/>
        </w:rPr>
      </w:pPr>
      <w:r>
        <w:rPr>
          <w:rFonts w:ascii="Arial" w:cs="Arial" w:eastAsia="Arial" w:hAnsi="Arial"/>
          <w:sz w:val="12"/>
          <w:szCs w:val="12"/>
          <w:color w:val="1A6DBB"/>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7019925</wp:posOffset>
            </wp:positionH>
            <wp:positionV relativeFrom="paragraph">
              <wp:posOffset>-71120</wp:posOffset>
            </wp:positionV>
            <wp:extent cx="102870" cy="946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12"/>
        </w:numPr>
        <w:rPr>
          <w:rFonts w:ascii="Arial" w:cs="Arial" w:eastAsia="Arial" w:hAnsi="Arial"/>
          <w:sz w:val="90"/>
          <w:szCs w:val="90"/>
          <w:color w:val="1A6DBB"/>
        </w:rPr>
      </w:pPr>
      <w:r>
        <w:rPr>
          <w:rFonts w:ascii="Arial" w:cs="Arial" w:eastAsia="Arial" w:hAnsi="Arial"/>
          <w:sz w:val="41"/>
          <w:szCs w:val="41"/>
          <w:color w:val="1A6DBB"/>
        </w:rPr>
        <w:t xml:space="preserve">General Information About the Meeting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740" w:type="dxa"/>
            <w:vAlign w:val="bottom"/>
            <w:shd w:val="clear" w:color="auto" w:fill="1A6DBB"/>
          </w:tcPr>
          <w:p>
            <w:pPr>
              <w:spacing w:after="0" w:line="20" w:lineRule="exact"/>
              <w:rPr>
                <w:sz w:val="1"/>
                <w:szCs w:val="1"/>
                <w:color w:val="auto"/>
              </w:rPr>
            </w:pPr>
          </w:p>
        </w:tc>
        <w:tc>
          <w:tcPr>
            <w:tcW w:w="120" w:type="dxa"/>
            <w:vAlign w:val="bottom"/>
            <w:shd w:val="clear" w:color="auto" w:fill="1A6DBB"/>
          </w:tcPr>
          <w:p>
            <w:pPr>
              <w:spacing w:after="0" w:line="20" w:lineRule="exact"/>
              <w:rPr>
                <w:sz w:val="1"/>
                <w:szCs w:val="1"/>
                <w:color w:val="auto"/>
              </w:rPr>
            </w:pPr>
          </w:p>
        </w:tc>
        <w:tc>
          <w:tcPr>
            <w:tcW w:w="7160" w:type="dxa"/>
            <w:vAlign w:val="bottom"/>
            <w:shd w:val="clear" w:color="auto" w:fill="1A6DB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760" w:type="dxa"/>
            <w:vAlign w:val="bottom"/>
            <w:gridSpan w:val="2"/>
          </w:tcPr>
          <w:p>
            <w:pPr>
              <w:spacing w:after="0"/>
              <w:rPr>
                <w:sz w:val="20"/>
                <w:szCs w:val="20"/>
                <w:color w:val="auto"/>
              </w:rPr>
            </w:pPr>
            <w:r>
              <w:rPr>
                <w:rFonts w:ascii="Arial" w:cs="Arial" w:eastAsia="Arial" w:hAnsi="Arial"/>
                <w:sz w:val="16"/>
                <w:szCs w:val="16"/>
                <w:b w:val="1"/>
                <w:bCs w:val="1"/>
                <w:i w:val="1"/>
                <w:iCs w:val="1"/>
                <w:color w:val="1A6DBB"/>
              </w:rPr>
              <w:t>What am I voting on at the Annual Meeting?</w:t>
            </w:r>
          </w:p>
        </w:tc>
        <w:tc>
          <w:tcPr>
            <w:tcW w:w="120" w:type="dxa"/>
            <w:vAlign w:val="bottom"/>
            <w:shd w:val="clear" w:color="auto" w:fill="E8F0F8"/>
          </w:tcPr>
          <w:p>
            <w:pPr>
              <w:spacing w:after="0"/>
              <w:rPr>
                <w:sz w:val="22"/>
                <w:szCs w:val="22"/>
                <w:color w:val="auto"/>
              </w:rPr>
            </w:pPr>
          </w:p>
        </w:tc>
        <w:tc>
          <w:tcPr>
            <w:tcW w:w="7160" w:type="dxa"/>
            <w:vAlign w:val="bottom"/>
            <w:shd w:val="clear" w:color="auto" w:fill="E8F0F8"/>
          </w:tcPr>
          <w:p>
            <w:pPr>
              <w:spacing w:after="0"/>
              <w:rPr>
                <w:sz w:val="20"/>
                <w:szCs w:val="20"/>
                <w:color w:val="auto"/>
              </w:rPr>
            </w:pPr>
            <w:r>
              <w:rPr>
                <w:rFonts w:ascii="Arial" w:cs="Arial" w:eastAsia="Arial" w:hAnsi="Arial"/>
                <w:sz w:val="16"/>
                <w:szCs w:val="16"/>
                <w:color w:val="auto"/>
              </w:rPr>
              <w:t>Stockholders will be asked to vote on the following items at the Annual Meeting:</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shd w:val="clear" w:color="auto" w:fill="E8F0F8"/>
          </w:tcPr>
          <w:p>
            <w:pPr>
              <w:spacing w:after="0"/>
              <w:rPr>
                <w:sz w:val="24"/>
                <w:szCs w:val="24"/>
                <w:color w:val="auto"/>
              </w:rPr>
            </w:pPr>
          </w:p>
        </w:tc>
        <w:tc>
          <w:tcPr>
            <w:tcW w:w="7160" w:type="dxa"/>
            <w:vAlign w:val="bottom"/>
            <w:shd w:val="clear" w:color="auto" w:fill="E8F0F8"/>
          </w:tcPr>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The election to our Board of Directors of the 14 director nominees (Proposal 1);</w:t>
            </w: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shd w:val="clear" w:color="auto" w:fill="E8F0F8"/>
          </w:tcPr>
          <w:p>
            <w:pPr>
              <w:spacing w:after="0"/>
              <w:rPr>
                <w:sz w:val="24"/>
                <w:szCs w:val="24"/>
                <w:color w:val="auto"/>
              </w:rPr>
            </w:pPr>
          </w:p>
        </w:tc>
        <w:tc>
          <w:tcPr>
            <w:tcW w:w="7160" w:type="dxa"/>
            <w:vAlign w:val="bottom"/>
            <w:shd w:val="clear" w:color="auto" w:fill="E8F0F8"/>
          </w:tcPr>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The ratification of the selection of PricewaterhouseCoopers LLP (PwC) as our independent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shd w:val="clear" w:color="auto" w:fill="E8F0F8"/>
          </w:tcPr>
          <w:p>
            <w:pPr>
              <w:spacing w:after="0"/>
              <w:rPr>
                <w:sz w:val="16"/>
                <w:szCs w:val="16"/>
                <w:color w:val="auto"/>
              </w:rPr>
            </w:pPr>
          </w:p>
        </w:tc>
        <w:tc>
          <w:tcPr>
            <w:tcW w:w="7160" w:type="dxa"/>
            <w:vAlign w:val="bottom"/>
            <w:shd w:val="clear" w:color="auto" w:fill="E8F0F8"/>
          </w:tcPr>
          <w:p>
            <w:pPr>
              <w:ind w:left="200"/>
              <w:spacing w:after="0"/>
              <w:rPr>
                <w:sz w:val="20"/>
                <w:szCs w:val="20"/>
                <w:color w:val="auto"/>
              </w:rPr>
            </w:pPr>
            <w:r>
              <w:rPr>
                <w:rFonts w:ascii="Arial" w:cs="Arial" w:eastAsia="Arial" w:hAnsi="Arial"/>
                <w:sz w:val="16"/>
                <w:szCs w:val="16"/>
                <w:color w:val="auto"/>
              </w:rPr>
              <w:t>registered public accounting firm for the fiscal year ending December 31, 2019 (Proposal 2);</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shd w:val="clear" w:color="auto" w:fill="E8F0F8"/>
          </w:tcPr>
          <w:p>
            <w:pPr>
              <w:spacing w:after="0"/>
              <w:rPr>
                <w:sz w:val="24"/>
                <w:szCs w:val="24"/>
                <w:color w:val="auto"/>
              </w:rPr>
            </w:pPr>
          </w:p>
        </w:tc>
        <w:tc>
          <w:tcPr>
            <w:tcW w:w="7160" w:type="dxa"/>
            <w:vAlign w:val="bottom"/>
            <w:shd w:val="clear" w:color="auto" w:fill="E8F0F8"/>
          </w:tcPr>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The advisory vote on executive compensation (Proposal 3); and</w:t>
            </w: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shd w:val="clear" w:color="auto" w:fill="E8F0F8"/>
          </w:tcPr>
          <w:p>
            <w:pPr>
              <w:spacing w:after="0"/>
              <w:rPr>
                <w:sz w:val="24"/>
                <w:szCs w:val="24"/>
                <w:color w:val="auto"/>
              </w:rPr>
            </w:pPr>
          </w:p>
        </w:tc>
        <w:tc>
          <w:tcPr>
            <w:tcW w:w="7160" w:type="dxa"/>
            <w:vAlign w:val="bottom"/>
            <w:shd w:val="clear" w:color="auto" w:fill="E8F0F8"/>
          </w:tcPr>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The transaction of such other business as may be properly brought before the meeting and any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shd w:val="clear" w:color="auto" w:fill="E8F0F8"/>
          </w:tcPr>
          <w:p>
            <w:pPr>
              <w:spacing w:after="0"/>
              <w:rPr>
                <w:sz w:val="16"/>
                <w:szCs w:val="16"/>
                <w:color w:val="auto"/>
              </w:rPr>
            </w:pPr>
          </w:p>
        </w:tc>
        <w:tc>
          <w:tcPr>
            <w:tcW w:w="7160" w:type="dxa"/>
            <w:vAlign w:val="bottom"/>
            <w:shd w:val="clear" w:color="auto" w:fill="E8F0F8"/>
          </w:tcPr>
          <w:p>
            <w:pPr>
              <w:ind w:left="200"/>
              <w:spacing w:after="0"/>
              <w:rPr>
                <w:sz w:val="20"/>
                <w:szCs w:val="20"/>
                <w:color w:val="auto"/>
              </w:rPr>
            </w:pPr>
            <w:r>
              <w:rPr>
                <w:rFonts w:ascii="Arial" w:cs="Arial" w:eastAsia="Arial" w:hAnsi="Arial"/>
                <w:sz w:val="16"/>
                <w:szCs w:val="16"/>
                <w:color w:val="auto"/>
              </w:rPr>
              <w:t>adjournments or postponements.</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740" w:type="dxa"/>
            <w:vAlign w:val="bottom"/>
            <w:tcBorders>
              <w:bottom w:val="single" w:sz="8" w:color="1A6DBB"/>
            </w:tcBorders>
          </w:tcPr>
          <w:p>
            <w:pPr>
              <w:spacing w:after="0"/>
              <w:rPr>
                <w:sz w:val="7"/>
                <w:szCs w:val="7"/>
                <w:color w:val="auto"/>
              </w:rPr>
            </w:pPr>
          </w:p>
        </w:tc>
        <w:tc>
          <w:tcPr>
            <w:tcW w:w="120" w:type="dxa"/>
            <w:vAlign w:val="bottom"/>
            <w:tcBorders>
              <w:bottom w:val="single" w:sz="8" w:color="1A6DBB"/>
            </w:tcBorders>
            <w:shd w:val="clear" w:color="auto" w:fill="E8F0F8"/>
          </w:tcPr>
          <w:p>
            <w:pPr>
              <w:spacing w:after="0"/>
              <w:rPr>
                <w:sz w:val="7"/>
                <w:szCs w:val="7"/>
                <w:color w:val="auto"/>
              </w:rPr>
            </w:pPr>
          </w:p>
        </w:tc>
        <w:tc>
          <w:tcPr>
            <w:tcW w:w="7160" w:type="dxa"/>
            <w:vAlign w:val="bottom"/>
            <w:tcBorders>
              <w:bottom w:val="single" w:sz="8" w:color="1A6DBB"/>
            </w:tcBorders>
            <w:shd w:val="clear" w:color="auto" w:fill="E8F0F8"/>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3760" w:type="dxa"/>
            <w:vAlign w:val="bottom"/>
            <w:gridSpan w:val="2"/>
          </w:tcPr>
          <w:p>
            <w:pPr>
              <w:spacing w:after="0"/>
              <w:rPr>
                <w:sz w:val="20"/>
                <w:szCs w:val="20"/>
                <w:color w:val="auto"/>
              </w:rPr>
            </w:pPr>
            <w:r>
              <w:rPr>
                <w:rFonts w:ascii="Arial" w:cs="Arial" w:eastAsia="Arial" w:hAnsi="Arial"/>
                <w:sz w:val="16"/>
                <w:szCs w:val="16"/>
                <w:b w:val="1"/>
                <w:bCs w:val="1"/>
                <w:i w:val="1"/>
                <w:iCs w:val="1"/>
                <w:color w:val="1A6DBB"/>
              </w:rPr>
              <w:t>What is the recommendation of our Board of</w:t>
            </w:r>
          </w:p>
        </w:tc>
        <w:tc>
          <w:tcPr>
            <w:tcW w:w="120" w:type="dxa"/>
            <w:vAlign w:val="bottom"/>
            <w:shd w:val="clear" w:color="auto" w:fill="E8F0F8"/>
          </w:tcPr>
          <w:p>
            <w:pPr>
              <w:spacing w:after="0"/>
              <w:rPr>
                <w:sz w:val="20"/>
                <w:szCs w:val="20"/>
                <w:color w:val="auto"/>
              </w:rPr>
            </w:pPr>
          </w:p>
        </w:tc>
        <w:tc>
          <w:tcPr>
            <w:tcW w:w="7160" w:type="dxa"/>
            <w:vAlign w:val="bottom"/>
            <w:shd w:val="clear" w:color="auto" w:fill="E8F0F8"/>
          </w:tcPr>
          <w:p>
            <w:pPr>
              <w:spacing w:after="0"/>
              <w:rPr>
                <w:sz w:val="20"/>
                <w:szCs w:val="20"/>
                <w:color w:val="auto"/>
              </w:rPr>
            </w:pPr>
            <w:r>
              <w:rPr>
                <w:rFonts w:ascii="Arial" w:cs="Arial" w:eastAsia="Arial" w:hAnsi="Arial"/>
                <w:sz w:val="16"/>
                <w:szCs w:val="16"/>
                <w:color w:val="auto"/>
              </w:rPr>
              <w:t>Our Board of Directors recommends that you vote:</w:t>
            </w:r>
          </w:p>
        </w:tc>
        <w:tc>
          <w:tcPr>
            <w:tcW w:w="0" w:type="dxa"/>
            <w:vAlign w:val="bottom"/>
          </w:tcPr>
          <w:p>
            <w:pPr>
              <w:spacing w:after="0"/>
              <w:rPr>
                <w:sz w:val="1"/>
                <w:szCs w:val="1"/>
                <w:color w:val="auto"/>
              </w:rPr>
            </w:pPr>
          </w:p>
        </w:tc>
      </w:tr>
      <w:tr>
        <w:trPr>
          <w:trHeight w:val="189"/>
        </w:trPr>
        <w:tc>
          <w:tcPr>
            <w:tcW w:w="3760" w:type="dxa"/>
            <w:vAlign w:val="bottom"/>
            <w:gridSpan w:val="2"/>
          </w:tcPr>
          <w:p>
            <w:pPr>
              <w:spacing w:after="0"/>
              <w:rPr>
                <w:sz w:val="20"/>
                <w:szCs w:val="20"/>
                <w:color w:val="auto"/>
              </w:rPr>
            </w:pPr>
            <w:r>
              <w:rPr>
                <w:rFonts w:ascii="Arial" w:cs="Arial" w:eastAsia="Arial" w:hAnsi="Arial"/>
                <w:sz w:val="16"/>
                <w:szCs w:val="16"/>
                <w:b w:val="1"/>
                <w:bCs w:val="1"/>
                <w:i w:val="1"/>
                <w:iCs w:val="1"/>
                <w:color w:val="1A6DBB"/>
              </w:rPr>
              <w:t>Directors on each of the matters scheduled to</w:t>
            </w:r>
          </w:p>
        </w:tc>
        <w:tc>
          <w:tcPr>
            <w:tcW w:w="120" w:type="dxa"/>
            <w:vAlign w:val="bottom"/>
            <w:shd w:val="clear" w:color="auto" w:fill="E8F0F8"/>
          </w:tcPr>
          <w:p>
            <w:pPr>
              <w:spacing w:after="0"/>
              <w:rPr>
                <w:sz w:val="16"/>
                <w:szCs w:val="16"/>
                <w:color w:val="auto"/>
              </w:rPr>
            </w:pPr>
          </w:p>
        </w:tc>
        <w:tc>
          <w:tcPr>
            <w:tcW w:w="7160" w:type="dxa"/>
            <w:vAlign w:val="bottom"/>
            <w:shd w:val="clear" w:color="auto" w:fill="E8F0F8"/>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760" w:type="dxa"/>
            <w:vAlign w:val="bottom"/>
            <w:gridSpan w:val="2"/>
          </w:tcPr>
          <w:p>
            <w:pPr>
              <w:spacing w:after="0"/>
              <w:rPr>
                <w:sz w:val="20"/>
                <w:szCs w:val="20"/>
                <w:color w:val="auto"/>
              </w:rPr>
            </w:pPr>
            <w:r>
              <w:rPr>
                <w:rFonts w:ascii="Arial" w:cs="Arial" w:eastAsia="Arial" w:hAnsi="Arial"/>
                <w:sz w:val="16"/>
                <w:szCs w:val="16"/>
                <w:b w:val="1"/>
                <w:bCs w:val="1"/>
                <w:i w:val="1"/>
                <w:iCs w:val="1"/>
                <w:color w:val="1A6DBB"/>
              </w:rPr>
              <w:t>be voted on at the Annual Meeting?</w:t>
            </w:r>
          </w:p>
        </w:tc>
        <w:tc>
          <w:tcPr>
            <w:tcW w:w="120" w:type="dxa"/>
            <w:vAlign w:val="bottom"/>
            <w:shd w:val="clear" w:color="auto" w:fill="E8F0F8"/>
          </w:tcPr>
          <w:p>
            <w:pPr>
              <w:spacing w:after="0"/>
              <w:rPr>
                <w:sz w:val="18"/>
                <w:szCs w:val="18"/>
                <w:color w:val="auto"/>
              </w:rPr>
            </w:pPr>
          </w:p>
        </w:tc>
        <w:tc>
          <w:tcPr>
            <w:tcW w:w="7160" w:type="dxa"/>
            <w:vAlign w:val="bottom"/>
            <w:vMerge w:val="restart"/>
            <w:shd w:val="clear" w:color="auto" w:fill="E8F0F8"/>
          </w:tcPr>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w:t>
            </w:r>
            <w:r>
              <w:rPr>
                <w:rFonts w:ascii="Arial" w:cs="Arial" w:eastAsia="Arial" w:hAnsi="Arial"/>
                <w:sz w:val="16"/>
                <w:szCs w:val="16"/>
                <w:b w:val="1"/>
                <w:bCs w:val="1"/>
                <w:color w:val="000000"/>
              </w:rPr>
              <w:t>FOR</w:t>
            </w:r>
            <w:r>
              <w:rPr>
                <w:rFonts w:ascii="Arial" w:cs="Arial" w:eastAsia="Arial" w:hAnsi="Arial"/>
                <w:sz w:val="16"/>
                <w:szCs w:val="16"/>
                <w:color w:val="000000"/>
              </w:rPr>
              <w:t>” each of the director nominees (Proposal 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20" w:type="dxa"/>
            <w:vAlign w:val="bottom"/>
            <w:shd w:val="clear" w:color="auto" w:fill="E8F0F8"/>
          </w:tcPr>
          <w:p>
            <w:pPr>
              <w:spacing w:after="0"/>
              <w:rPr>
                <w:sz w:val="8"/>
                <w:szCs w:val="8"/>
                <w:color w:val="auto"/>
              </w:rPr>
            </w:pPr>
          </w:p>
        </w:tc>
        <w:tc>
          <w:tcPr>
            <w:tcW w:w="7160" w:type="dxa"/>
            <w:vAlign w:val="bottom"/>
            <w:vMerge w:val="continue"/>
            <w:shd w:val="clear" w:color="auto" w:fill="E8F0F8"/>
          </w:tcPr>
          <w:p>
            <w:pPr>
              <w:spacing w:after="0"/>
              <w:rPr>
                <w:sz w:val="8"/>
                <w:szCs w:val="8"/>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shd w:val="clear" w:color="auto" w:fill="E8F0F8"/>
          </w:tcPr>
          <w:p>
            <w:pPr>
              <w:spacing w:after="0"/>
              <w:rPr>
                <w:sz w:val="24"/>
                <w:szCs w:val="24"/>
                <w:color w:val="auto"/>
              </w:rPr>
            </w:pPr>
          </w:p>
        </w:tc>
        <w:tc>
          <w:tcPr>
            <w:tcW w:w="7160" w:type="dxa"/>
            <w:vAlign w:val="bottom"/>
            <w:shd w:val="clear" w:color="auto" w:fill="E8F0F8"/>
          </w:tcPr>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w:t>
            </w:r>
            <w:r>
              <w:rPr>
                <w:rFonts w:ascii="Arial" w:cs="Arial" w:eastAsia="Arial" w:hAnsi="Arial"/>
                <w:sz w:val="16"/>
                <w:szCs w:val="16"/>
                <w:b w:val="1"/>
                <w:bCs w:val="1"/>
                <w:color w:val="000000"/>
              </w:rPr>
              <w:t>FOR</w:t>
            </w:r>
            <w:r>
              <w:rPr>
                <w:rFonts w:ascii="Arial" w:cs="Arial" w:eastAsia="Arial" w:hAnsi="Arial"/>
                <w:sz w:val="16"/>
                <w:szCs w:val="16"/>
                <w:color w:val="000000"/>
              </w:rPr>
              <w:t>” the ratification of the selection of PwC as our independent registered public accounting</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shd w:val="clear" w:color="auto" w:fill="E8F0F8"/>
          </w:tcPr>
          <w:p>
            <w:pPr>
              <w:spacing w:after="0"/>
              <w:rPr>
                <w:sz w:val="16"/>
                <w:szCs w:val="16"/>
                <w:color w:val="auto"/>
              </w:rPr>
            </w:pPr>
          </w:p>
        </w:tc>
        <w:tc>
          <w:tcPr>
            <w:tcW w:w="7160" w:type="dxa"/>
            <w:vAlign w:val="bottom"/>
            <w:shd w:val="clear" w:color="auto" w:fill="E8F0F8"/>
          </w:tcPr>
          <w:p>
            <w:pPr>
              <w:ind w:left="200"/>
              <w:spacing w:after="0"/>
              <w:rPr>
                <w:sz w:val="20"/>
                <w:szCs w:val="20"/>
                <w:color w:val="auto"/>
              </w:rPr>
            </w:pPr>
            <w:r>
              <w:rPr>
                <w:rFonts w:ascii="Arial" w:cs="Arial" w:eastAsia="Arial" w:hAnsi="Arial"/>
                <w:sz w:val="16"/>
                <w:szCs w:val="16"/>
                <w:color w:val="auto"/>
              </w:rPr>
              <w:t>firm for the fiscal year ending December 31, 2019 (Proposal 2); and</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shd w:val="clear" w:color="auto" w:fill="E8F0F8"/>
          </w:tcPr>
          <w:p>
            <w:pPr>
              <w:spacing w:after="0"/>
              <w:rPr>
                <w:sz w:val="24"/>
                <w:szCs w:val="24"/>
                <w:color w:val="auto"/>
              </w:rPr>
            </w:pPr>
          </w:p>
        </w:tc>
        <w:tc>
          <w:tcPr>
            <w:tcW w:w="7160" w:type="dxa"/>
            <w:vAlign w:val="bottom"/>
            <w:shd w:val="clear" w:color="auto" w:fill="E8F0F8"/>
          </w:tcPr>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On an advisory basis, “</w:t>
            </w:r>
            <w:r>
              <w:rPr>
                <w:rFonts w:ascii="Arial" w:cs="Arial" w:eastAsia="Arial" w:hAnsi="Arial"/>
                <w:sz w:val="16"/>
                <w:szCs w:val="16"/>
                <w:b w:val="1"/>
                <w:bCs w:val="1"/>
                <w:color w:val="000000"/>
              </w:rPr>
              <w:t>FOR</w:t>
            </w:r>
            <w:r>
              <w:rPr>
                <w:rFonts w:ascii="Arial" w:cs="Arial" w:eastAsia="Arial" w:hAnsi="Arial"/>
                <w:sz w:val="16"/>
                <w:szCs w:val="16"/>
                <w:color w:val="000000"/>
              </w:rPr>
              <w:t>” the approval of our executive compensation (Proposal 3).</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740" w:type="dxa"/>
            <w:vAlign w:val="bottom"/>
            <w:tcBorders>
              <w:bottom w:val="single" w:sz="8" w:color="1A6DBB"/>
            </w:tcBorders>
          </w:tcPr>
          <w:p>
            <w:pPr>
              <w:spacing w:after="0"/>
              <w:rPr>
                <w:sz w:val="6"/>
                <w:szCs w:val="6"/>
                <w:color w:val="auto"/>
              </w:rPr>
            </w:pPr>
          </w:p>
        </w:tc>
        <w:tc>
          <w:tcPr>
            <w:tcW w:w="120" w:type="dxa"/>
            <w:vAlign w:val="bottom"/>
            <w:tcBorders>
              <w:bottom w:val="single" w:sz="8" w:color="1A6DBB"/>
            </w:tcBorders>
            <w:shd w:val="clear" w:color="auto" w:fill="E8F0F8"/>
          </w:tcPr>
          <w:p>
            <w:pPr>
              <w:spacing w:after="0"/>
              <w:rPr>
                <w:sz w:val="6"/>
                <w:szCs w:val="6"/>
                <w:color w:val="auto"/>
              </w:rPr>
            </w:pPr>
          </w:p>
        </w:tc>
        <w:tc>
          <w:tcPr>
            <w:tcW w:w="7160" w:type="dxa"/>
            <w:vAlign w:val="bottom"/>
            <w:tcBorders>
              <w:bottom w:val="single" w:sz="8" w:color="1A6DBB"/>
            </w:tcBorders>
            <w:shd w:val="clear" w:color="auto" w:fill="E8F0F8"/>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3760" w:type="dxa"/>
            <w:vAlign w:val="bottom"/>
            <w:gridSpan w:val="2"/>
          </w:tcPr>
          <w:p>
            <w:pPr>
              <w:spacing w:after="0"/>
              <w:rPr>
                <w:sz w:val="20"/>
                <w:szCs w:val="20"/>
                <w:color w:val="auto"/>
              </w:rPr>
            </w:pPr>
            <w:r>
              <w:rPr>
                <w:rFonts w:ascii="Arial" w:cs="Arial" w:eastAsia="Arial" w:hAnsi="Arial"/>
                <w:sz w:val="16"/>
                <w:szCs w:val="16"/>
                <w:b w:val="1"/>
                <w:bCs w:val="1"/>
                <w:i w:val="1"/>
                <w:iCs w:val="1"/>
                <w:color w:val="1A6DBB"/>
              </w:rPr>
              <w:t>How do proxies work?</w:t>
            </w:r>
          </w:p>
        </w:tc>
        <w:tc>
          <w:tcPr>
            <w:tcW w:w="120" w:type="dxa"/>
            <w:vAlign w:val="bottom"/>
            <w:shd w:val="clear" w:color="auto" w:fill="E8F0F8"/>
          </w:tcPr>
          <w:p>
            <w:pPr>
              <w:spacing w:after="0"/>
              <w:rPr>
                <w:sz w:val="22"/>
                <w:szCs w:val="22"/>
                <w:color w:val="auto"/>
              </w:rPr>
            </w:pPr>
          </w:p>
        </w:tc>
        <w:tc>
          <w:tcPr>
            <w:tcW w:w="7160" w:type="dxa"/>
            <w:vAlign w:val="bottom"/>
            <w:vMerge w:val="restart"/>
            <w:shd w:val="clear" w:color="auto" w:fill="E8F0F8"/>
          </w:tcPr>
          <w:p>
            <w:pPr>
              <w:spacing w:after="0"/>
              <w:rPr>
                <w:sz w:val="20"/>
                <w:szCs w:val="20"/>
                <w:color w:val="auto"/>
              </w:rPr>
            </w:pPr>
            <w:r>
              <w:rPr>
                <w:rFonts w:ascii="Arial" w:cs="Arial" w:eastAsia="Arial" w:hAnsi="Arial"/>
                <w:sz w:val="16"/>
                <w:szCs w:val="16"/>
                <w:color w:val="auto"/>
              </w:rPr>
              <w:t>Our Board of Directors is asking for your proxy authorizing the individuals named as proxies to vote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740" w:type="dxa"/>
            <w:vAlign w:val="bottom"/>
          </w:tcPr>
          <w:p>
            <w:pPr>
              <w:spacing w:after="0"/>
              <w:rPr>
                <w:sz w:val="4"/>
                <w:szCs w:val="4"/>
                <w:color w:val="auto"/>
              </w:rPr>
            </w:pPr>
          </w:p>
        </w:tc>
        <w:tc>
          <w:tcPr>
            <w:tcW w:w="120" w:type="dxa"/>
            <w:vAlign w:val="bottom"/>
            <w:shd w:val="clear" w:color="auto" w:fill="E8F0F8"/>
          </w:tcPr>
          <w:p>
            <w:pPr>
              <w:spacing w:after="0"/>
              <w:rPr>
                <w:sz w:val="4"/>
                <w:szCs w:val="4"/>
                <w:color w:val="auto"/>
              </w:rPr>
            </w:pPr>
          </w:p>
        </w:tc>
        <w:tc>
          <w:tcPr>
            <w:tcW w:w="7160" w:type="dxa"/>
            <w:vAlign w:val="bottom"/>
            <w:vMerge w:val="continue"/>
            <w:shd w:val="clear" w:color="auto" w:fill="E8F0F8"/>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shd w:val="clear" w:color="auto" w:fill="E8F0F8"/>
          </w:tcPr>
          <w:p>
            <w:pPr>
              <w:spacing w:after="0"/>
              <w:rPr>
                <w:sz w:val="16"/>
                <w:szCs w:val="16"/>
                <w:color w:val="auto"/>
              </w:rPr>
            </w:pPr>
          </w:p>
        </w:tc>
        <w:tc>
          <w:tcPr>
            <w:tcW w:w="7160" w:type="dxa"/>
            <w:vAlign w:val="bottom"/>
            <w:shd w:val="clear" w:color="auto" w:fill="E8F0F8"/>
          </w:tcPr>
          <w:p>
            <w:pPr>
              <w:spacing w:after="0"/>
              <w:rPr>
                <w:sz w:val="20"/>
                <w:szCs w:val="20"/>
                <w:color w:val="auto"/>
              </w:rPr>
            </w:pPr>
            <w:r>
              <w:rPr>
                <w:rFonts w:ascii="Arial" w:cs="Arial" w:eastAsia="Arial" w:hAnsi="Arial"/>
                <w:sz w:val="16"/>
                <w:szCs w:val="16"/>
                <w:color w:val="auto"/>
              </w:rPr>
              <w:t>your shares at the Annual Meeting in the manner you direct. You may abstain from voting on any</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shd w:val="clear" w:color="auto" w:fill="E8F0F8"/>
          </w:tcPr>
          <w:p>
            <w:pPr>
              <w:spacing w:after="0"/>
              <w:rPr>
                <w:sz w:val="16"/>
                <w:szCs w:val="16"/>
                <w:color w:val="auto"/>
              </w:rPr>
            </w:pPr>
          </w:p>
        </w:tc>
        <w:tc>
          <w:tcPr>
            <w:tcW w:w="7160" w:type="dxa"/>
            <w:vAlign w:val="bottom"/>
            <w:shd w:val="clear" w:color="auto" w:fill="E8F0F8"/>
          </w:tcPr>
          <w:p>
            <w:pPr>
              <w:spacing w:after="0"/>
              <w:rPr>
                <w:sz w:val="20"/>
                <w:szCs w:val="20"/>
                <w:color w:val="auto"/>
              </w:rPr>
            </w:pPr>
            <w:r>
              <w:rPr>
                <w:rFonts w:ascii="Arial" w:cs="Arial" w:eastAsia="Arial" w:hAnsi="Arial"/>
                <w:sz w:val="16"/>
                <w:szCs w:val="16"/>
                <w:color w:val="auto"/>
              </w:rPr>
              <w:t>matter. If you submit your proxy without specifying your voting instructions, we will vote your shares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shd w:val="clear" w:color="auto" w:fill="E8F0F8"/>
          </w:tcPr>
          <w:p>
            <w:pPr>
              <w:spacing w:after="0"/>
              <w:rPr>
                <w:sz w:val="16"/>
                <w:szCs w:val="16"/>
                <w:color w:val="auto"/>
              </w:rPr>
            </w:pPr>
          </w:p>
        </w:tc>
        <w:tc>
          <w:tcPr>
            <w:tcW w:w="7160" w:type="dxa"/>
            <w:vAlign w:val="bottom"/>
            <w:shd w:val="clear" w:color="auto" w:fill="E8F0F8"/>
          </w:tcPr>
          <w:p>
            <w:pPr>
              <w:spacing w:after="0"/>
              <w:rPr>
                <w:sz w:val="20"/>
                <w:szCs w:val="20"/>
                <w:color w:val="auto"/>
              </w:rPr>
            </w:pPr>
            <w:r>
              <w:rPr>
                <w:rFonts w:ascii="Arial" w:cs="Arial" w:eastAsia="Arial" w:hAnsi="Arial"/>
                <w:sz w:val="16"/>
                <w:szCs w:val="16"/>
                <w:color w:val="auto"/>
              </w:rPr>
              <w:t>on the matters scheduled to be voted on at the Annual Meeting in accordance with our Board of</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shd w:val="clear" w:color="auto" w:fill="E8F0F8"/>
          </w:tcPr>
          <w:p>
            <w:pPr>
              <w:spacing w:after="0"/>
              <w:rPr>
                <w:sz w:val="16"/>
                <w:szCs w:val="16"/>
                <w:color w:val="auto"/>
              </w:rPr>
            </w:pPr>
          </w:p>
        </w:tc>
        <w:tc>
          <w:tcPr>
            <w:tcW w:w="7160" w:type="dxa"/>
            <w:vAlign w:val="bottom"/>
            <w:shd w:val="clear" w:color="auto" w:fill="E8F0F8"/>
          </w:tcPr>
          <w:p>
            <w:pPr>
              <w:spacing w:after="0"/>
              <w:rPr>
                <w:sz w:val="20"/>
                <w:szCs w:val="20"/>
                <w:color w:val="auto"/>
              </w:rPr>
            </w:pPr>
            <w:r>
              <w:rPr>
                <w:rFonts w:ascii="Arial" w:cs="Arial" w:eastAsia="Arial" w:hAnsi="Arial"/>
                <w:sz w:val="16"/>
                <w:szCs w:val="16"/>
                <w:color w:val="auto"/>
              </w:rPr>
              <w:t>Directors’ recommendations described above. As to any other matter that may properly come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shd w:val="clear" w:color="auto" w:fill="E8F0F8"/>
          </w:tcPr>
          <w:p>
            <w:pPr>
              <w:spacing w:after="0"/>
              <w:rPr>
                <w:sz w:val="16"/>
                <w:szCs w:val="16"/>
                <w:color w:val="auto"/>
              </w:rPr>
            </w:pPr>
          </w:p>
        </w:tc>
        <w:tc>
          <w:tcPr>
            <w:tcW w:w="7160" w:type="dxa"/>
            <w:vAlign w:val="bottom"/>
            <w:shd w:val="clear" w:color="auto" w:fill="E8F0F8"/>
          </w:tcPr>
          <w:p>
            <w:pPr>
              <w:spacing w:after="0"/>
              <w:rPr>
                <w:sz w:val="20"/>
                <w:szCs w:val="20"/>
                <w:color w:val="auto"/>
              </w:rPr>
            </w:pPr>
            <w:r>
              <w:rPr>
                <w:rFonts w:ascii="Arial" w:cs="Arial" w:eastAsia="Arial" w:hAnsi="Arial"/>
                <w:sz w:val="16"/>
                <w:szCs w:val="16"/>
                <w:color w:val="auto"/>
              </w:rPr>
              <w:t>before the Annual Meeting or any adjournment or postponement, the individuals named as proxies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shd w:val="clear" w:color="auto" w:fill="E8F0F8"/>
          </w:tcPr>
          <w:p>
            <w:pPr>
              <w:spacing w:after="0"/>
              <w:rPr>
                <w:sz w:val="16"/>
                <w:szCs w:val="16"/>
                <w:color w:val="auto"/>
              </w:rPr>
            </w:pPr>
          </w:p>
        </w:tc>
        <w:tc>
          <w:tcPr>
            <w:tcW w:w="7160" w:type="dxa"/>
            <w:vAlign w:val="bottom"/>
            <w:shd w:val="clear" w:color="auto" w:fill="E8F0F8"/>
          </w:tcPr>
          <w:p>
            <w:pPr>
              <w:spacing w:after="0"/>
              <w:rPr>
                <w:sz w:val="20"/>
                <w:szCs w:val="20"/>
                <w:color w:val="auto"/>
              </w:rPr>
            </w:pPr>
            <w:r>
              <w:rPr>
                <w:rFonts w:ascii="Arial" w:cs="Arial" w:eastAsia="Arial" w:hAnsi="Arial"/>
                <w:sz w:val="16"/>
                <w:szCs w:val="16"/>
                <w:color w:val="auto"/>
              </w:rPr>
              <w:t>will vote your shares at the Annual Meeting in accordance with their best judgment.</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shd w:val="clear" w:color="auto" w:fill="E8F0F8"/>
          </w:tcPr>
          <w:p>
            <w:pPr>
              <w:spacing w:after="0"/>
              <w:rPr>
                <w:sz w:val="24"/>
                <w:szCs w:val="24"/>
                <w:color w:val="auto"/>
              </w:rPr>
            </w:pPr>
          </w:p>
        </w:tc>
        <w:tc>
          <w:tcPr>
            <w:tcW w:w="7160" w:type="dxa"/>
            <w:vAlign w:val="bottom"/>
            <w:shd w:val="clear" w:color="auto" w:fill="E8F0F8"/>
          </w:tcPr>
          <w:p>
            <w:pPr>
              <w:spacing w:after="0"/>
              <w:rPr>
                <w:sz w:val="20"/>
                <w:szCs w:val="20"/>
                <w:color w:val="auto"/>
              </w:rPr>
            </w:pPr>
            <w:r>
              <w:rPr>
                <w:rFonts w:ascii="Arial" w:cs="Arial" w:eastAsia="Arial" w:hAnsi="Arial"/>
                <w:sz w:val="16"/>
                <w:szCs w:val="16"/>
                <w:color w:val="auto"/>
              </w:rPr>
              <w:t>Shares represented by valid proxies received in time for the Annual Meeting and not revoked before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shd w:val="clear" w:color="auto" w:fill="E8F0F8"/>
          </w:tcPr>
          <w:p>
            <w:pPr>
              <w:spacing w:after="0"/>
              <w:rPr>
                <w:sz w:val="16"/>
                <w:szCs w:val="16"/>
                <w:color w:val="auto"/>
              </w:rPr>
            </w:pPr>
          </w:p>
        </w:tc>
        <w:tc>
          <w:tcPr>
            <w:tcW w:w="7160" w:type="dxa"/>
            <w:vAlign w:val="bottom"/>
            <w:shd w:val="clear" w:color="auto" w:fill="E8F0F8"/>
          </w:tcPr>
          <w:p>
            <w:pPr>
              <w:spacing w:after="0"/>
              <w:rPr>
                <w:sz w:val="20"/>
                <w:szCs w:val="20"/>
                <w:color w:val="auto"/>
              </w:rPr>
            </w:pPr>
            <w:r>
              <w:rPr>
                <w:rFonts w:ascii="Arial" w:cs="Arial" w:eastAsia="Arial" w:hAnsi="Arial"/>
                <w:sz w:val="16"/>
                <w:szCs w:val="16"/>
                <w:color w:val="auto"/>
              </w:rPr>
              <w:t>the Annual Meeting will be voted at the Annual Meeting. You can revoke your proxy and change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shd w:val="clear" w:color="auto" w:fill="E8F0F8"/>
          </w:tcPr>
          <w:p>
            <w:pPr>
              <w:spacing w:after="0"/>
              <w:rPr>
                <w:sz w:val="16"/>
                <w:szCs w:val="16"/>
                <w:color w:val="auto"/>
              </w:rPr>
            </w:pPr>
          </w:p>
        </w:tc>
        <w:tc>
          <w:tcPr>
            <w:tcW w:w="7160" w:type="dxa"/>
            <w:vAlign w:val="bottom"/>
            <w:shd w:val="clear" w:color="auto" w:fill="E8F0F8"/>
          </w:tcPr>
          <w:p>
            <w:pPr>
              <w:spacing w:after="0"/>
              <w:rPr>
                <w:sz w:val="20"/>
                <w:szCs w:val="20"/>
                <w:color w:val="auto"/>
              </w:rPr>
            </w:pPr>
            <w:r>
              <w:rPr>
                <w:rFonts w:ascii="Arial" w:cs="Arial" w:eastAsia="Arial" w:hAnsi="Arial"/>
                <w:sz w:val="16"/>
                <w:szCs w:val="16"/>
                <w:color w:val="auto"/>
              </w:rPr>
              <w:t>your vote in the manner described below (under the heading “Can I revoke or change my vote after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shd w:val="clear" w:color="auto" w:fill="E8F0F8"/>
          </w:tcPr>
          <w:p>
            <w:pPr>
              <w:spacing w:after="0"/>
              <w:rPr>
                <w:sz w:val="16"/>
                <w:szCs w:val="16"/>
                <w:color w:val="auto"/>
              </w:rPr>
            </w:pPr>
          </w:p>
        </w:tc>
        <w:tc>
          <w:tcPr>
            <w:tcW w:w="7160" w:type="dxa"/>
            <w:vAlign w:val="bottom"/>
            <w:shd w:val="clear" w:color="auto" w:fill="E8F0F8"/>
          </w:tcPr>
          <w:p>
            <w:pPr>
              <w:spacing w:after="0"/>
              <w:rPr>
                <w:sz w:val="20"/>
                <w:szCs w:val="20"/>
                <w:color w:val="auto"/>
              </w:rPr>
            </w:pPr>
            <w:r>
              <w:rPr>
                <w:rFonts w:ascii="Arial" w:cs="Arial" w:eastAsia="Arial" w:hAnsi="Arial"/>
                <w:sz w:val="16"/>
                <w:szCs w:val="16"/>
                <w:color w:val="auto"/>
              </w:rPr>
              <w:t>I submit my proxy?”). If your shares are held through a bank, broker or other nominee, please follow</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shd w:val="clear" w:color="auto" w:fill="E8F0F8"/>
          </w:tcPr>
          <w:p>
            <w:pPr>
              <w:spacing w:after="0"/>
              <w:rPr>
                <w:sz w:val="16"/>
                <w:szCs w:val="16"/>
                <w:color w:val="auto"/>
              </w:rPr>
            </w:pPr>
          </w:p>
        </w:tc>
        <w:tc>
          <w:tcPr>
            <w:tcW w:w="7160" w:type="dxa"/>
            <w:vAlign w:val="bottom"/>
            <w:shd w:val="clear" w:color="auto" w:fill="E8F0F8"/>
          </w:tcPr>
          <w:p>
            <w:pPr>
              <w:spacing w:after="0"/>
              <w:rPr>
                <w:sz w:val="20"/>
                <w:szCs w:val="20"/>
                <w:color w:val="auto"/>
              </w:rPr>
            </w:pPr>
            <w:r>
              <w:rPr>
                <w:rFonts w:ascii="Arial" w:cs="Arial" w:eastAsia="Arial" w:hAnsi="Arial"/>
                <w:sz w:val="16"/>
                <w:szCs w:val="16"/>
                <w:color w:val="auto"/>
              </w:rPr>
              <w:t>the instructions that you were provided by your bank, broker or other nominee.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740" w:type="dxa"/>
            <w:vAlign w:val="bottom"/>
            <w:tcBorders>
              <w:bottom w:val="single" w:sz="8" w:color="1A6DBB"/>
            </w:tcBorders>
          </w:tcPr>
          <w:p>
            <w:pPr>
              <w:spacing w:after="0"/>
              <w:rPr>
                <w:sz w:val="11"/>
                <w:szCs w:val="11"/>
                <w:color w:val="auto"/>
              </w:rPr>
            </w:pPr>
          </w:p>
        </w:tc>
        <w:tc>
          <w:tcPr>
            <w:tcW w:w="120" w:type="dxa"/>
            <w:vAlign w:val="bottom"/>
            <w:tcBorders>
              <w:bottom w:val="single" w:sz="8" w:color="1A6DBB"/>
            </w:tcBorders>
            <w:shd w:val="clear" w:color="auto" w:fill="E8F0F8"/>
          </w:tcPr>
          <w:p>
            <w:pPr>
              <w:spacing w:after="0"/>
              <w:rPr>
                <w:sz w:val="11"/>
                <w:szCs w:val="11"/>
                <w:color w:val="auto"/>
              </w:rPr>
            </w:pPr>
          </w:p>
        </w:tc>
        <w:tc>
          <w:tcPr>
            <w:tcW w:w="7160" w:type="dxa"/>
            <w:vAlign w:val="bottom"/>
            <w:tcBorders>
              <w:bottom w:val="single" w:sz="8" w:color="1A6DBB"/>
            </w:tcBorders>
            <w:shd w:val="clear" w:color="auto" w:fill="E8F0F8"/>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-4278630</wp:posOffset>
            </wp:positionV>
            <wp:extent cx="454533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545330" cy="8890"/>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-3987165</wp:posOffset>
            </wp:positionV>
            <wp:extent cx="454533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545330" cy="8890"/>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-3575685</wp:posOffset>
            </wp:positionV>
            <wp:extent cx="45453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545330" cy="8890"/>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-3275330</wp:posOffset>
            </wp:positionV>
            <wp:extent cx="45453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545330" cy="8890"/>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-2623820</wp:posOffset>
            </wp:positionV>
            <wp:extent cx="454533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545330" cy="8890"/>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-2331720</wp:posOffset>
            </wp:positionV>
            <wp:extent cx="454533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545330" cy="8890"/>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-1920240</wp:posOffset>
            </wp:positionV>
            <wp:extent cx="454533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545330"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85725</wp:posOffset>
            </wp:positionV>
            <wp:extent cx="66040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60400" cy="154305"/>
                    </a:xfrm>
                    <a:prstGeom prst="rect">
                      <a:avLst/>
                    </a:prstGeom>
                    <a:noFill/>
                  </pic:spPr>
                </pic:pic>
              </a:graphicData>
            </a:graphic>
          </wp:anchor>
        </w:drawing>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2"/>
          <w:szCs w:val="12"/>
          <w:color w:val="1A6DBB"/>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7019925</wp:posOffset>
            </wp:positionH>
            <wp:positionV relativeFrom="paragraph">
              <wp:posOffset>-71120</wp:posOffset>
            </wp:positionV>
            <wp:extent cx="102870" cy="946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7" w:lineRule="exact"/>
        <w:rPr>
          <w:sz w:val="20"/>
          <w:szCs w:val="20"/>
          <w:color w:val="auto"/>
        </w:rPr>
      </w:pPr>
    </w:p>
    <w:p>
      <w:pPr>
        <w:ind w:left="460"/>
        <w:spacing w:after="0"/>
        <w:rPr>
          <w:sz w:val="20"/>
          <w:szCs w:val="20"/>
          <w:color w:val="auto"/>
        </w:rPr>
      </w:pPr>
      <w:r>
        <w:rPr>
          <w:rFonts w:ascii="Arial" w:cs="Arial" w:eastAsia="Arial" w:hAnsi="Arial"/>
          <w:sz w:val="88"/>
          <w:szCs w:val="88"/>
          <w:color w:val="1A6DBB"/>
        </w:rPr>
        <w:t xml:space="preserve">1 </w:t>
      </w:r>
      <w:r>
        <w:rPr>
          <w:rFonts w:ascii="Arial" w:cs="Arial" w:eastAsia="Arial" w:hAnsi="Arial"/>
          <w:sz w:val="40"/>
          <w:szCs w:val="40"/>
          <w:color w:val="1A6DBB"/>
        </w:rPr>
        <w:t>General Information About the Meeting</w:t>
      </w:r>
      <w:r>
        <w:rPr>
          <w:rFonts w:ascii="Arial" w:cs="Arial" w:eastAsia="Arial" w:hAnsi="Arial"/>
          <w:sz w:val="88"/>
          <w:szCs w:val="88"/>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56172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7700" cy="561721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88" w:lineRule="exact"/>
        <w:rPr>
          <w:sz w:val="20"/>
          <w:szCs w:val="20"/>
          <w:color w:val="auto"/>
        </w:rPr>
      </w:pPr>
    </w:p>
    <w:p>
      <w:pPr>
        <w:ind w:left="200" w:right="760"/>
        <w:spacing w:after="0" w:line="286" w:lineRule="auto"/>
        <w:rPr>
          <w:sz w:val="20"/>
          <w:szCs w:val="20"/>
          <w:color w:val="auto"/>
        </w:rPr>
      </w:pPr>
      <w:r>
        <w:rPr>
          <w:rFonts w:ascii="Arial" w:cs="Arial" w:eastAsia="Arial" w:hAnsi="Arial"/>
          <w:sz w:val="16"/>
          <w:szCs w:val="16"/>
          <w:b w:val="1"/>
          <w:bCs w:val="1"/>
          <w:i w:val="1"/>
          <w:iCs w:val="1"/>
          <w:color w:val="1A6DBB"/>
        </w:rPr>
        <w:t>How do I vote and what are the voting deadlines?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5273040</wp:posOffset>
            </wp:positionV>
            <wp:extent cx="660400"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6040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b w:val="1"/>
          <w:bCs w:val="1"/>
          <w:color w:val="1A6DBB"/>
        </w:rPr>
        <w:t xml:space="preserve">Stockholders of Record. </w:t>
      </w:r>
      <w:r>
        <w:rPr>
          <w:rFonts w:ascii="Arial" w:cs="Arial" w:eastAsia="Arial" w:hAnsi="Arial"/>
          <w:sz w:val="16"/>
          <w:szCs w:val="16"/>
          <w:color w:val="000000"/>
        </w:rPr>
        <w:t>If you are a stockholder of record, there are several ways for you to vote</w:t>
      </w:r>
      <w:r>
        <w:rPr>
          <w:rFonts w:ascii="Arial" w:cs="Arial" w:eastAsia="Arial" w:hAnsi="Arial"/>
          <w:sz w:val="16"/>
          <w:szCs w:val="16"/>
          <w:b w:val="1"/>
          <w:bCs w:val="1"/>
          <w:color w:val="1A6DBB"/>
        </w:rPr>
        <w:t xml:space="preserve"> </w:t>
      </w:r>
      <w:r>
        <w:rPr>
          <w:rFonts w:ascii="Arial" w:cs="Arial" w:eastAsia="Arial" w:hAnsi="Arial"/>
          <w:sz w:val="16"/>
          <w:szCs w:val="16"/>
          <w:color w:val="000000"/>
        </w:rPr>
        <w:t>your shares.</w:t>
      </w:r>
    </w:p>
    <w:p>
      <w:pPr>
        <w:spacing w:after="0" w:line="142" w:lineRule="exact"/>
        <w:rPr>
          <w:sz w:val="20"/>
          <w:szCs w:val="20"/>
          <w:color w:val="auto"/>
        </w:rPr>
      </w:pPr>
    </w:p>
    <w:p>
      <w:pPr>
        <w:ind w:left="540" w:right="40" w:firstLine="50"/>
        <w:spacing w:after="0" w:line="256" w:lineRule="auto"/>
        <w:rPr>
          <w:sz w:val="20"/>
          <w:szCs w:val="20"/>
          <w:color w:val="auto"/>
        </w:rPr>
      </w:pPr>
      <w:r>
        <w:rPr>
          <w:rFonts w:ascii="Arial" w:cs="Arial" w:eastAsia="Arial" w:hAnsi="Arial"/>
          <w:sz w:val="16"/>
          <w:szCs w:val="16"/>
          <w:b w:val="1"/>
          <w:bCs w:val="1"/>
          <w:color w:val="7F7F7F"/>
        </w:rPr>
        <w:t xml:space="preserve">By Internet. </w:t>
      </w:r>
      <w:r>
        <w:rPr>
          <w:rFonts w:ascii="Arial" w:cs="Arial" w:eastAsia="Arial" w:hAnsi="Arial"/>
          <w:sz w:val="16"/>
          <w:szCs w:val="16"/>
          <w:color w:val="7F7F7F"/>
        </w:rPr>
        <w:t>You may vote at</w:t>
      </w:r>
      <w:r>
        <w:rPr>
          <w:rFonts w:ascii="Arial" w:cs="Arial" w:eastAsia="Arial" w:hAnsi="Arial"/>
          <w:sz w:val="16"/>
          <w:szCs w:val="16"/>
          <w:b w:val="1"/>
          <w:bCs w:val="1"/>
          <w:color w:val="7F7F7F"/>
        </w:rPr>
        <w:t xml:space="preserve"> </w:t>
      </w:r>
      <w:r>
        <w:rPr>
          <w:rFonts w:ascii="Arial" w:cs="Arial" w:eastAsia="Arial" w:hAnsi="Arial"/>
          <w:sz w:val="16"/>
          <w:szCs w:val="16"/>
          <w:b w:val="1"/>
          <w:bCs w:val="1"/>
          <w:i w:val="1"/>
          <w:iCs w:val="1"/>
          <w:u w:val="single" w:color="auto"/>
          <w:color w:val="7F7F7F"/>
        </w:rPr>
        <w:t>www.proxyvote.com</w:t>
      </w:r>
      <w:r>
        <w:rPr>
          <w:rFonts w:ascii="Arial" w:cs="Arial" w:eastAsia="Arial" w:hAnsi="Arial"/>
          <w:sz w:val="16"/>
          <w:szCs w:val="16"/>
          <w:color w:val="7F7F7F"/>
        </w:rPr>
        <w:t>, 24 hours a day, seven days a week.</w:t>
      </w:r>
      <w:r>
        <w:rPr>
          <w:rFonts w:ascii="Arial" w:cs="Arial" w:eastAsia="Arial" w:hAnsi="Arial"/>
          <w:sz w:val="16"/>
          <w:szCs w:val="16"/>
          <w:b w:val="1"/>
          <w:bCs w:val="1"/>
          <w:color w:val="7F7F7F"/>
        </w:rPr>
        <w:t xml:space="preserve"> </w:t>
      </w:r>
      <w:r>
        <w:rPr>
          <w:rFonts w:ascii="Arial" w:cs="Arial" w:eastAsia="Arial" w:hAnsi="Arial"/>
          <w:sz w:val="16"/>
          <w:szCs w:val="16"/>
          <w:color w:val="7F7F7F"/>
        </w:rPr>
        <w:t xml:space="preserve">You will need the 16-digit control number included on your Notice of Internet Availability of Proxy Materials or, if you received a printed copy of the proxy materials, on your proxy card. Votes submitted through </w:t>
      </w:r>
      <w:r>
        <w:rPr>
          <w:rFonts w:ascii="Arial" w:cs="Arial" w:eastAsia="Arial" w:hAnsi="Arial"/>
          <w:sz w:val="16"/>
          <w:szCs w:val="16"/>
          <w:b w:val="1"/>
          <w:bCs w:val="1"/>
          <w:i w:val="1"/>
          <w:iCs w:val="1"/>
          <w:u w:val="single" w:color="auto"/>
          <w:color w:val="7F7F7F"/>
        </w:rPr>
        <w:t>www.proxyvote.com</w:t>
      </w:r>
      <w:r>
        <w:rPr>
          <w:rFonts w:ascii="Arial" w:cs="Arial" w:eastAsia="Arial" w:hAnsi="Arial"/>
          <w:sz w:val="16"/>
          <w:szCs w:val="16"/>
          <w:color w:val="7F7F7F"/>
        </w:rPr>
        <w:t xml:space="preserve"> must be received by 11:59 p.m. Eastern Time on June 18, 2019.</w:t>
      </w:r>
    </w:p>
    <w:p>
      <w:pPr>
        <w:spacing w:after="0" w:line="167" w:lineRule="exact"/>
        <w:rPr>
          <w:sz w:val="20"/>
          <w:szCs w:val="20"/>
          <w:color w:val="auto"/>
        </w:rPr>
      </w:pPr>
    </w:p>
    <w:p>
      <w:pPr>
        <w:ind w:left="540" w:right="60" w:firstLine="50"/>
        <w:spacing w:after="0" w:line="256" w:lineRule="auto"/>
        <w:rPr>
          <w:sz w:val="20"/>
          <w:szCs w:val="20"/>
          <w:color w:val="auto"/>
        </w:rPr>
      </w:pPr>
      <w:r>
        <w:rPr>
          <w:rFonts w:ascii="Arial" w:cs="Arial" w:eastAsia="Arial" w:hAnsi="Arial"/>
          <w:sz w:val="16"/>
          <w:szCs w:val="16"/>
          <w:b w:val="1"/>
          <w:bCs w:val="1"/>
          <w:color w:val="7F7F7F"/>
        </w:rPr>
        <w:t xml:space="preserve">By Telephone. </w:t>
      </w:r>
      <w:r>
        <w:rPr>
          <w:rFonts w:ascii="Arial" w:cs="Arial" w:eastAsia="Arial" w:hAnsi="Arial"/>
          <w:sz w:val="16"/>
          <w:szCs w:val="16"/>
          <w:color w:val="7F7F7F"/>
        </w:rPr>
        <w:t>You may vote using a touch-tone telephone by calling 1-800-690-6903, 24</w:t>
      </w:r>
      <w:r>
        <w:rPr>
          <w:rFonts w:ascii="Arial" w:cs="Arial" w:eastAsia="Arial" w:hAnsi="Arial"/>
          <w:sz w:val="16"/>
          <w:szCs w:val="16"/>
          <w:b w:val="1"/>
          <w:bCs w:val="1"/>
          <w:color w:val="7F7F7F"/>
        </w:rPr>
        <w:t xml:space="preserve"> </w:t>
      </w:r>
      <w:r>
        <w:rPr>
          <w:rFonts w:ascii="Arial" w:cs="Arial" w:eastAsia="Arial" w:hAnsi="Arial"/>
          <w:sz w:val="16"/>
          <w:szCs w:val="16"/>
          <w:color w:val="7F7F7F"/>
        </w:rPr>
        <w:t>hours a day, seven days a week. You will need the 16-digit control number included on your Notice of Internet Availability of Proxy Materials or, if you received a printed copy of the proxy materials, on your proxy card. Votes submitted by telephone must be received by 11:59 p.m. Eastern Time on June 18, 2019.</w:t>
      </w:r>
    </w:p>
    <w:p>
      <w:pPr>
        <w:spacing w:after="0" w:line="167" w:lineRule="exact"/>
        <w:rPr>
          <w:sz w:val="20"/>
          <w:szCs w:val="20"/>
          <w:color w:val="auto"/>
        </w:rPr>
      </w:pPr>
    </w:p>
    <w:p>
      <w:pPr>
        <w:jc w:val="both"/>
        <w:ind w:left="540" w:right="140" w:firstLine="50"/>
        <w:spacing w:after="0" w:line="259" w:lineRule="auto"/>
        <w:rPr>
          <w:sz w:val="20"/>
          <w:szCs w:val="20"/>
          <w:color w:val="auto"/>
        </w:rPr>
      </w:pPr>
      <w:r>
        <w:rPr>
          <w:rFonts w:ascii="Arial" w:cs="Arial" w:eastAsia="Arial" w:hAnsi="Arial"/>
          <w:sz w:val="16"/>
          <w:szCs w:val="16"/>
          <w:b w:val="1"/>
          <w:bCs w:val="1"/>
          <w:color w:val="7F7F7F"/>
        </w:rPr>
        <w:t xml:space="preserve">By Mail. </w:t>
      </w:r>
      <w:r>
        <w:rPr>
          <w:rFonts w:ascii="Arial" w:cs="Arial" w:eastAsia="Arial" w:hAnsi="Arial"/>
          <w:sz w:val="16"/>
          <w:szCs w:val="16"/>
          <w:color w:val="7F7F7F"/>
        </w:rPr>
        <w:t>If you received printed proxy materials, you may submit your vote by completing,</w:t>
      </w:r>
      <w:r>
        <w:rPr>
          <w:rFonts w:ascii="Arial" w:cs="Arial" w:eastAsia="Arial" w:hAnsi="Arial"/>
          <w:sz w:val="16"/>
          <w:szCs w:val="16"/>
          <w:b w:val="1"/>
          <w:bCs w:val="1"/>
          <w:color w:val="7F7F7F"/>
        </w:rPr>
        <w:t xml:space="preserve"> </w:t>
      </w:r>
      <w:r>
        <w:rPr>
          <w:rFonts w:ascii="Arial" w:cs="Arial" w:eastAsia="Arial" w:hAnsi="Arial"/>
          <w:sz w:val="16"/>
          <w:szCs w:val="16"/>
          <w:color w:val="7F7F7F"/>
        </w:rPr>
        <w:t>signing and dating each proxy card received and returning it in the prepaid envelope. Sign your name exactly as it appears on the proxy card. Proxy cards submitted by mail must be received no later than June 18, 2019, to be voted at the Annual Meeting.</w:t>
      </w:r>
    </w:p>
    <w:p>
      <w:pPr>
        <w:spacing w:after="0" w:line="165" w:lineRule="exact"/>
        <w:rPr>
          <w:sz w:val="20"/>
          <w:szCs w:val="20"/>
          <w:color w:val="auto"/>
        </w:rPr>
      </w:pPr>
    </w:p>
    <w:p>
      <w:pPr>
        <w:ind w:left="540" w:right="100" w:firstLine="50"/>
        <w:spacing w:after="0" w:line="259" w:lineRule="auto"/>
        <w:rPr>
          <w:sz w:val="20"/>
          <w:szCs w:val="20"/>
          <w:color w:val="auto"/>
        </w:rPr>
      </w:pPr>
      <w:r>
        <w:rPr>
          <w:rFonts w:ascii="Arial" w:cs="Arial" w:eastAsia="Arial" w:hAnsi="Arial"/>
          <w:sz w:val="16"/>
          <w:szCs w:val="16"/>
          <w:b w:val="1"/>
          <w:bCs w:val="1"/>
          <w:color w:val="7F7F7F"/>
        </w:rPr>
        <w:t xml:space="preserve">During the Annual Meeting. </w:t>
      </w:r>
      <w:r>
        <w:rPr>
          <w:rFonts w:ascii="Arial" w:cs="Arial" w:eastAsia="Arial" w:hAnsi="Arial"/>
          <w:sz w:val="16"/>
          <w:szCs w:val="16"/>
          <w:color w:val="7F7F7F"/>
        </w:rPr>
        <w:t>You may vote during the Annual Meeting by submitting a</w:t>
      </w:r>
      <w:r>
        <w:rPr>
          <w:rFonts w:ascii="Arial" w:cs="Arial" w:eastAsia="Arial" w:hAnsi="Arial"/>
          <w:sz w:val="16"/>
          <w:szCs w:val="16"/>
          <w:b w:val="1"/>
          <w:bCs w:val="1"/>
          <w:color w:val="7F7F7F"/>
        </w:rPr>
        <w:t xml:space="preserve"> </w:t>
      </w:r>
      <w:r>
        <w:rPr>
          <w:rFonts w:ascii="Arial" w:cs="Arial" w:eastAsia="Arial" w:hAnsi="Arial"/>
          <w:sz w:val="16"/>
          <w:szCs w:val="16"/>
          <w:color w:val="7F7F7F"/>
        </w:rPr>
        <w:t>written ballot in person at the Annual Meeting. To obtain directions to attend the Annual Meeting, please contact our Investor Relations department at (781) 464-2442. We will pass out ballots at the Annual Meeting to anyone who wishes to vote in person.</w:t>
      </w:r>
    </w:p>
    <w:p>
      <w:pPr>
        <w:spacing w:after="0" w:line="104" w:lineRule="exact"/>
        <w:rPr>
          <w:sz w:val="20"/>
          <w:szCs w:val="20"/>
          <w:color w:val="auto"/>
        </w:rPr>
      </w:pPr>
    </w:p>
    <w:p>
      <w:pPr>
        <w:ind w:left="540"/>
        <w:spacing w:after="0" w:line="250" w:lineRule="auto"/>
        <w:rPr>
          <w:sz w:val="20"/>
          <w:szCs w:val="20"/>
          <w:color w:val="auto"/>
        </w:rPr>
      </w:pPr>
      <w:r>
        <w:rPr>
          <w:rFonts w:ascii="Arial" w:cs="Arial" w:eastAsia="Arial" w:hAnsi="Arial"/>
          <w:sz w:val="16"/>
          <w:szCs w:val="16"/>
          <w:color w:val="auto"/>
        </w:rPr>
        <w:t xml:space="preserve">You may also vote during the Annual Meeting via the Internet by going to </w:t>
      </w:r>
      <w:r>
        <w:rPr>
          <w:rFonts w:ascii="Arial" w:cs="Arial" w:eastAsia="Arial" w:hAnsi="Arial"/>
          <w:sz w:val="16"/>
          <w:szCs w:val="16"/>
          <w:u w:val="single" w:color="auto"/>
          <w:color w:val="auto"/>
        </w:rPr>
        <w:t>www.virtualshareholdermeeting.com/BIIB2019</w:t>
      </w:r>
      <w:r>
        <w:rPr>
          <w:rFonts w:ascii="Arial" w:cs="Arial" w:eastAsia="Arial" w:hAnsi="Arial"/>
          <w:sz w:val="16"/>
          <w:szCs w:val="16"/>
          <w:color w:val="auto"/>
        </w:rPr>
        <w:t xml:space="preserve"> . You will need the 16-digit control number included on your Notice of Internet Availability of Proxy Materials or, if you received a printed copy of the proxy materials, on your proxy card to be able to vote during the Annual Meeting via the Internet.</w:t>
      </w:r>
    </w:p>
    <w:p>
      <w:pPr>
        <w:spacing w:after="0" w:line="109"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 xml:space="preserve">If you vote via the Internet or by telephone before the Annual Meeting, your electronic vote authorizes the named proxies in the same manner as if you signed, dated and returned your proxy card. </w:t>
      </w:r>
      <w:r>
        <w:rPr>
          <w:rFonts w:ascii="Arial" w:cs="Arial" w:eastAsia="Arial" w:hAnsi="Arial"/>
          <w:sz w:val="16"/>
          <w:szCs w:val="16"/>
          <w:b w:val="1"/>
          <w:bCs w:val="1"/>
          <w:color w:val="auto"/>
        </w:rPr>
        <w:t>If you vote via the Internet or by telephone before the Annual Meeting, do not return</w:t>
      </w:r>
      <w:r>
        <w:rPr>
          <w:rFonts w:ascii="Arial" w:cs="Arial" w:eastAsia="Arial" w:hAnsi="Arial"/>
          <w:sz w:val="16"/>
          <w:szCs w:val="16"/>
          <w:color w:val="auto"/>
        </w:rPr>
        <w:t xml:space="preserve"> </w:t>
      </w:r>
      <w:r>
        <w:rPr>
          <w:rFonts w:ascii="Arial" w:cs="Arial" w:eastAsia="Arial" w:hAnsi="Arial"/>
          <w:sz w:val="16"/>
          <w:szCs w:val="16"/>
          <w:b w:val="1"/>
          <w:bCs w:val="1"/>
          <w:color w:val="auto"/>
        </w:rPr>
        <w:t>your proxy card.</w:t>
      </w:r>
    </w:p>
    <w:p>
      <w:pPr>
        <w:spacing w:after="0" w:line="10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b w:val="1"/>
          <w:bCs w:val="1"/>
          <w:color w:val="1A6DBB"/>
        </w:rPr>
        <w:t xml:space="preserve">Beneficial Owners. </w:t>
      </w:r>
      <w:r>
        <w:rPr>
          <w:rFonts w:ascii="Arial" w:cs="Arial" w:eastAsia="Arial" w:hAnsi="Arial"/>
          <w:sz w:val="16"/>
          <w:szCs w:val="16"/>
          <w:b w:val="1"/>
          <w:bCs w:val="1"/>
          <w:i w:val="1"/>
          <w:iCs w:val="1"/>
          <w:color w:val="000000"/>
        </w:rPr>
        <w:t>If your shares are held in a brokerage account in your broker’s name,</w:t>
      </w:r>
      <w:r>
        <w:rPr>
          <w:rFonts w:ascii="Arial" w:cs="Arial" w:eastAsia="Arial" w:hAnsi="Arial"/>
          <w:sz w:val="16"/>
          <w:szCs w:val="16"/>
          <w:b w:val="1"/>
          <w:bCs w:val="1"/>
          <w:color w:val="1A6DBB"/>
        </w:rPr>
        <w:t xml:space="preserve"> </w:t>
      </w:r>
      <w:r>
        <w:rPr>
          <w:rFonts w:ascii="Arial" w:cs="Arial" w:eastAsia="Arial" w:hAnsi="Arial"/>
          <w:sz w:val="16"/>
          <w:szCs w:val="16"/>
          <w:b w:val="1"/>
          <w:bCs w:val="1"/>
          <w:i w:val="1"/>
          <w:iCs w:val="1"/>
          <w:color w:val="000000"/>
        </w:rPr>
        <w:t xml:space="preserve">then you are the beneficial owner of shares held in “street name.” </w:t>
      </w:r>
      <w:r>
        <w:rPr>
          <w:rFonts w:ascii="Arial" w:cs="Arial" w:eastAsia="Arial" w:hAnsi="Arial"/>
          <w:sz w:val="16"/>
          <w:szCs w:val="16"/>
          <w:color w:val="000000"/>
        </w:rPr>
        <w:t>If you are a beneficial owner</w:t>
      </w:r>
      <w:r>
        <w:rPr>
          <w:rFonts w:ascii="Arial" w:cs="Arial" w:eastAsia="Arial" w:hAnsi="Arial"/>
          <w:sz w:val="16"/>
          <w:szCs w:val="16"/>
          <w:b w:val="1"/>
          <w:bCs w:val="1"/>
          <w:i w:val="1"/>
          <w:iCs w:val="1"/>
          <w:color w:val="000000"/>
        </w:rPr>
        <w:t xml:space="preserve"> </w:t>
      </w:r>
      <w:r>
        <w:rPr>
          <w:rFonts w:ascii="Arial" w:cs="Arial" w:eastAsia="Arial" w:hAnsi="Arial"/>
          <w:sz w:val="16"/>
          <w:szCs w:val="16"/>
          <w:color w:val="000000"/>
        </w:rPr>
        <w:t xml:space="preserve">of your shares, you should have received a Notice of Internet Availability of Proxy Materials or voting instructions from the bank, broker or other nominee holding your shares. You should follow the instructions in the Notice of Internet Availability of Proxy Materials or voting instructions provided by your bank, broker or other nominee in order to instruct your bank, broker or other nominee on how to vote your shares. The availability of telephone and Internet voting will depend on the voting process of the bank, broker or other nominee. </w:t>
      </w:r>
      <w:r>
        <w:rPr>
          <w:rFonts w:ascii="Arial" w:cs="Arial" w:eastAsia="Arial" w:hAnsi="Arial"/>
          <w:sz w:val="16"/>
          <w:szCs w:val="16"/>
          <w:b w:val="1"/>
          <w:bCs w:val="1"/>
          <w:color w:val="000000"/>
        </w:rPr>
        <w:t>Shares held beneficially may not be</w:t>
      </w:r>
      <w:r>
        <w:rPr>
          <w:rFonts w:ascii="Arial" w:cs="Arial" w:eastAsia="Arial" w:hAnsi="Arial"/>
          <w:sz w:val="16"/>
          <w:szCs w:val="16"/>
          <w:color w:val="000000"/>
        </w:rPr>
        <w:t xml:space="preserve"> </w:t>
      </w:r>
      <w:r>
        <w:rPr>
          <w:rFonts w:ascii="Arial" w:cs="Arial" w:eastAsia="Arial" w:hAnsi="Arial"/>
          <w:sz w:val="16"/>
          <w:szCs w:val="16"/>
          <w:b w:val="1"/>
          <w:bCs w:val="1"/>
          <w:color w:val="000000"/>
        </w:rPr>
        <w:t>voted during the Annual Meeting; instead a beneficial holder must instruct their bank, broker or other nominee in advance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-2443480</wp:posOffset>
            </wp:positionH>
            <wp:positionV relativeFrom="paragraph">
              <wp:posOffset>-635</wp:posOffset>
            </wp:positionV>
            <wp:extent cx="6997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720"/>
            <w:col w:w="7160"/>
          </w:cols>
          <w:pgMar w:left="240" w:top="459" w:right="439" w:bottom="1440" w:gutter="0" w:footer="0" w:header="0"/>
          <w:type w:val="continuous"/>
        </w:sectPr>
      </w:pPr>
    </w:p>
    <w:p>
      <w:pPr>
        <w:spacing w:after="0" w:line="3" w:lineRule="exact"/>
        <w:rPr>
          <w:sz w:val="20"/>
          <w:szCs w:val="20"/>
          <w:color w:val="auto"/>
        </w:rPr>
      </w:pPr>
    </w:p>
    <w:p>
      <w:pPr>
        <w:ind w:left="380"/>
        <w:spacing w:after="0"/>
        <w:rPr>
          <w:sz w:val="20"/>
          <w:szCs w:val="20"/>
          <w:color w:val="auto"/>
        </w:rPr>
      </w:pPr>
      <w:r>
        <w:rPr>
          <w:rFonts w:ascii="Arial" w:cs="Arial" w:eastAsia="Arial" w:hAnsi="Arial"/>
          <w:sz w:val="9"/>
          <w:szCs w:val="9"/>
          <w:color w:val="1A6DBB"/>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7019925</wp:posOffset>
            </wp:positionH>
            <wp:positionV relativeFrom="paragraph">
              <wp:posOffset>-49530</wp:posOffset>
            </wp:positionV>
            <wp:extent cx="102870" cy="946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13"/>
        </w:numPr>
        <w:rPr>
          <w:rFonts w:ascii="Arial" w:cs="Arial" w:eastAsia="Arial" w:hAnsi="Arial"/>
          <w:sz w:val="90"/>
          <w:szCs w:val="90"/>
          <w:color w:val="1A6DBB"/>
        </w:rPr>
      </w:pPr>
      <w:r>
        <w:rPr>
          <w:rFonts w:ascii="Arial" w:cs="Arial" w:eastAsia="Arial" w:hAnsi="Arial"/>
          <w:sz w:val="41"/>
          <w:szCs w:val="41"/>
          <w:color w:val="1A6DBB"/>
        </w:rPr>
        <w:t xml:space="preserve">General Information About the Meeting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740" w:type="dxa"/>
            <w:vAlign w:val="bottom"/>
            <w:shd w:val="clear" w:color="auto" w:fill="1A6DBB"/>
          </w:tcPr>
          <w:p>
            <w:pPr>
              <w:spacing w:after="0" w:line="20" w:lineRule="exact"/>
              <w:rPr>
                <w:sz w:val="1"/>
                <w:szCs w:val="1"/>
                <w:color w:val="auto"/>
              </w:rPr>
            </w:pPr>
          </w:p>
        </w:tc>
        <w:tc>
          <w:tcPr>
            <w:tcW w:w="7280" w:type="dxa"/>
            <w:vAlign w:val="bottom"/>
            <w:shd w:val="clear" w:color="auto" w:fill="1A6DBB"/>
          </w:tcPr>
          <w:p>
            <w:pPr>
              <w:spacing w:after="0" w:line="20" w:lineRule="exact"/>
              <w:rPr>
                <w:sz w:val="1"/>
                <w:szCs w:val="1"/>
                <w:color w:val="auto"/>
              </w:rPr>
            </w:pPr>
          </w:p>
        </w:tc>
      </w:tr>
      <w:tr>
        <w:trPr>
          <w:trHeight w:val="232"/>
        </w:trPr>
        <w:tc>
          <w:tcPr>
            <w:tcW w:w="3760" w:type="dxa"/>
            <w:vAlign w:val="bottom"/>
            <w:gridSpan w:val="2"/>
          </w:tcPr>
          <w:p>
            <w:pPr>
              <w:spacing w:after="0"/>
              <w:rPr>
                <w:sz w:val="20"/>
                <w:szCs w:val="20"/>
                <w:color w:val="auto"/>
              </w:rPr>
            </w:pPr>
            <w:r>
              <w:rPr>
                <w:rFonts w:ascii="Arial" w:cs="Arial" w:eastAsia="Arial" w:hAnsi="Arial"/>
                <w:sz w:val="16"/>
                <w:szCs w:val="16"/>
                <w:b w:val="1"/>
                <w:bCs w:val="1"/>
                <w:i w:val="1"/>
                <w:iCs w:val="1"/>
                <w:color w:val="1A6DBB"/>
              </w:rPr>
              <w:t>Can I revoke or change my vote after I submit</w:t>
            </w: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b w:val="1"/>
                <w:bCs w:val="1"/>
                <w:color w:val="1A6DBB"/>
              </w:rPr>
              <w:t xml:space="preserve">Stockholders of Record. </w:t>
            </w:r>
            <w:r>
              <w:rPr>
                <w:rFonts w:ascii="Arial" w:cs="Arial" w:eastAsia="Arial" w:hAnsi="Arial"/>
                <w:sz w:val="16"/>
                <w:szCs w:val="16"/>
                <w:color w:val="000000"/>
              </w:rPr>
              <w:t>If you are a stockholder of record, you may revoke or change your vote</w:t>
            </w:r>
          </w:p>
        </w:tc>
      </w:tr>
      <w:tr>
        <w:trPr>
          <w:trHeight w:val="215"/>
        </w:trPr>
        <w:tc>
          <w:tcPr>
            <w:tcW w:w="3760" w:type="dxa"/>
            <w:vAlign w:val="bottom"/>
            <w:gridSpan w:val="2"/>
          </w:tcPr>
          <w:p>
            <w:pPr>
              <w:spacing w:after="0"/>
              <w:rPr>
                <w:sz w:val="20"/>
                <w:szCs w:val="20"/>
                <w:color w:val="auto"/>
              </w:rPr>
            </w:pPr>
            <w:r>
              <w:rPr>
                <w:rFonts w:ascii="Arial" w:cs="Arial" w:eastAsia="Arial" w:hAnsi="Arial"/>
                <w:sz w:val="16"/>
                <w:szCs w:val="16"/>
                <w:b w:val="1"/>
                <w:bCs w:val="1"/>
                <w:i w:val="1"/>
                <w:iCs w:val="1"/>
                <w:color w:val="1A6DBB"/>
              </w:rPr>
              <w:t>my proxy?</w:t>
            </w: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color w:val="auto"/>
              </w:rPr>
              <w:t>at any time before the final vote at the Annual Meeting by:</w:t>
            </w:r>
          </w:p>
        </w:tc>
      </w:tr>
      <w:tr>
        <w:trPr>
          <w:trHeight w:val="400"/>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signing and returning a new proxy card with a later date, to be received no later than June 18,</w:t>
            </w:r>
          </w:p>
        </w:tc>
      </w:tr>
      <w:tr>
        <w:trPr>
          <w:trHeight w:val="195"/>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280" w:type="dxa"/>
            <w:vAlign w:val="bottom"/>
            <w:shd w:val="clear" w:color="auto" w:fill="E8F0F8"/>
          </w:tcPr>
          <w:p>
            <w:pPr>
              <w:ind w:left="320"/>
              <w:spacing w:after="0"/>
              <w:rPr>
                <w:sz w:val="20"/>
                <w:szCs w:val="20"/>
                <w:color w:val="auto"/>
              </w:rPr>
            </w:pPr>
            <w:r>
              <w:rPr>
                <w:rFonts w:ascii="Arial" w:cs="Arial" w:eastAsia="Arial" w:hAnsi="Arial"/>
                <w:sz w:val="16"/>
                <w:szCs w:val="16"/>
                <w:color w:val="auto"/>
              </w:rPr>
              <w:t>2019;</w:t>
            </w:r>
          </w:p>
        </w:tc>
      </w:tr>
      <w:tr>
        <w:trPr>
          <w:trHeight w:val="386"/>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submitting a later-dated vote by telephone or via the Internet — only your latest telephone or</w:t>
            </w:r>
          </w:p>
        </w:tc>
      </w:tr>
      <w:tr>
        <w:trPr>
          <w:trHeight w:val="195"/>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280" w:type="dxa"/>
            <w:vAlign w:val="bottom"/>
            <w:shd w:val="clear" w:color="auto" w:fill="E8F0F8"/>
          </w:tcPr>
          <w:p>
            <w:pPr>
              <w:ind w:left="320"/>
              <w:spacing w:after="0"/>
              <w:rPr>
                <w:sz w:val="20"/>
                <w:szCs w:val="20"/>
                <w:color w:val="auto"/>
              </w:rPr>
            </w:pPr>
            <w:r>
              <w:rPr>
                <w:rFonts w:ascii="Arial" w:cs="Arial" w:eastAsia="Arial" w:hAnsi="Arial"/>
                <w:sz w:val="16"/>
                <w:szCs w:val="16"/>
                <w:color w:val="auto"/>
              </w:rPr>
              <w:t>Internet proxy received by 11:59 p.m. Eastern Time on June 18, 2019, will be counted;</w:t>
            </w:r>
          </w:p>
        </w:tc>
      </w:tr>
      <w:tr>
        <w:trPr>
          <w:trHeight w:val="386"/>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attending the Annual Meeting in person and voting in person or participating in the Annual</w:t>
            </w:r>
          </w:p>
        </w:tc>
      </w:tr>
      <w:tr>
        <w:trPr>
          <w:trHeight w:val="195"/>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280" w:type="dxa"/>
            <w:vAlign w:val="bottom"/>
            <w:shd w:val="clear" w:color="auto" w:fill="E8F0F8"/>
          </w:tcPr>
          <w:p>
            <w:pPr>
              <w:ind w:left="320"/>
              <w:spacing w:after="0"/>
              <w:rPr>
                <w:sz w:val="20"/>
                <w:szCs w:val="20"/>
                <w:color w:val="auto"/>
              </w:rPr>
            </w:pPr>
            <w:r>
              <w:rPr>
                <w:rFonts w:ascii="Arial" w:cs="Arial" w:eastAsia="Arial" w:hAnsi="Arial"/>
                <w:sz w:val="16"/>
                <w:szCs w:val="16"/>
                <w:color w:val="auto"/>
              </w:rPr>
              <w:t>Meeting virtually via the Internet and voting again; or</w:t>
            </w:r>
          </w:p>
        </w:tc>
      </w:tr>
      <w:tr>
        <w:trPr>
          <w:trHeight w:val="400"/>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delivering a written revocation to our Secretary at Biogen Inc., 225 Binney Street, Cambridge,</w:t>
            </w:r>
          </w:p>
        </w:tc>
      </w:tr>
      <w:tr>
        <w:trPr>
          <w:trHeight w:val="195"/>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280" w:type="dxa"/>
            <w:vAlign w:val="bottom"/>
            <w:shd w:val="clear" w:color="auto" w:fill="E8F0F8"/>
          </w:tcPr>
          <w:p>
            <w:pPr>
              <w:ind w:left="320"/>
              <w:spacing w:after="0"/>
              <w:rPr>
                <w:sz w:val="20"/>
                <w:szCs w:val="20"/>
                <w:color w:val="auto"/>
              </w:rPr>
            </w:pPr>
            <w:r>
              <w:rPr>
                <w:rFonts w:ascii="Arial" w:cs="Arial" w:eastAsia="Arial" w:hAnsi="Arial"/>
                <w:sz w:val="16"/>
                <w:szCs w:val="16"/>
                <w:color w:val="auto"/>
              </w:rPr>
              <w:t>Massachusetts 02142, to be received no later than June 18, 2019.</w:t>
            </w:r>
          </w:p>
        </w:tc>
      </w:tr>
      <w:tr>
        <w:trPr>
          <w:trHeight w:val="311"/>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color w:val="auto"/>
              </w:rPr>
              <w:t>Only your latest vote, in whatever form, will be counted.</w:t>
            </w:r>
          </w:p>
        </w:tc>
      </w:tr>
      <w:tr>
        <w:trPr>
          <w:trHeight w:val="386"/>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b w:val="1"/>
                <w:bCs w:val="1"/>
                <w:color w:val="1A6DBB"/>
              </w:rPr>
              <w:t xml:space="preserve">Beneficial Owners. </w:t>
            </w:r>
            <w:r>
              <w:rPr>
                <w:rFonts w:ascii="Arial" w:cs="Arial" w:eastAsia="Arial" w:hAnsi="Arial"/>
                <w:sz w:val="16"/>
                <w:szCs w:val="16"/>
                <w:color w:val="000000"/>
              </w:rPr>
              <w:t>If you are a beneficial owner of your shares, you must contact the bank, broker</w:t>
            </w:r>
          </w:p>
        </w:tc>
      </w:tr>
      <w:tr>
        <w:trPr>
          <w:trHeight w:val="189"/>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color w:val="auto"/>
              </w:rPr>
              <w:t>or other nominee holding your shares and follow their instructions for revoking or changing your</w:t>
            </w:r>
          </w:p>
        </w:tc>
      </w:tr>
      <w:tr>
        <w:trPr>
          <w:trHeight w:val="195"/>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color w:val="auto"/>
              </w:rPr>
              <w:t>vote.</w:t>
            </w:r>
          </w:p>
        </w:tc>
      </w:tr>
      <w:tr>
        <w:trPr>
          <w:trHeight w:val="128"/>
        </w:trPr>
        <w:tc>
          <w:tcPr>
            <w:tcW w:w="20" w:type="dxa"/>
            <w:vAlign w:val="bottom"/>
          </w:tcPr>
          <w:p>
            <w:pPr>
              <w:spacing w:after="0"/>
              <w:rPr>
                <w:sz w:val="11"/>
                <w:szCs w:val="11"/>
                <w:color w:val="auto"/>
              </w:rPr>
            </w:pPr>
          </w:p>
        </w:tc>
        <w:tc>
          <w:tcPr>
            <w:tcW w:w="3740" w:type="dxa"/>
            <w:vAlign w:val="bottom"/>
            <w:tcBorders>
              <w:bottom w:val="single" w:sz="8" w:color="1A6DBB"/>
            </w:tcBorders>
          </w:tcPr>
          <w:p>
            <w:pPr>
              <w:spacing w:after="0"/>
              <w:rPr>
                <w:sz w:val="11"/>
                <w:szCs w:val="11"/>
                <w:color w:val="auto"/>
              </w:rPr>
            </w:pPr>
          </w:p>
        </w:tc>
        <w:tc>
          <w:tcPr>
            <w:tcW w:w="7280" w:type="dxa"/>
            <w:vAlign w:val="bottom"/>
            <w:tcBorders>
              <w:bottom w:val="single" w:sz="8" w:color="1A6DBB"/>
            </w:tcBorders>
            <w:shd w:val="clear" w:color="auto" w:fill="E8F0F8"/>
          </w:tcPr>
          <w:p>
            <w:pPr>
              <w:spacing w:after="0"/>
              <w:rPr>
                <w:sz w:val="11"/>
                <w:szCs w:val="11"/>
                <w:color w:val="auto"/>
              </w:rPr>
            </w:pPr>
          </w:p>
        </w:tc>
      </w:tr>
      <w:tr>
        <w:trPr>
          <w:trHeight w:val="232"/>
        </w:trPr>
        <w:tc>
          <w:tcPr>
            <w:tcW w:w="3760" w:type="dxa"/>
            <w:vAlign w:val="bottom"/>
            <w:gridSpan w:val="2"/>
          </w:tcPr>
          <w:p>
            <w:pPr>
              <w:spacing w:after="0"/>
              <w:rPr>
                <w:sz w:val="20"/>
                <w:szCs w:val="20"/>
                <w:color w:val="auto"/>
              </w:rPr>
            </w:pPr>
            <w:r>
              <w:rPr>
                <w:rFonts w:ascii="Arial" w:cs="Arial" w:eastAsia="Arial" w:hAnsi="Arial"/>
                <w:sz w:val="16"/>
                <w:szCs w:val="16"/>
                <w:b w:val="1"/>
                <w:bCs w:val="1"/>
                <w:i w:val="1"/>
                <w:iCs w:val="1"/>
                <w:color w:val="1A6DBB"/>
              </w:rPr>
              <w:t>Will my shares be counted if I do</w:t>
            </w: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b w:val="1"/>
                <w:bCs w:val="1"/>
                <w:color w:val="1A6DBB"/>
              </w:rPr>
              <w:t xml:space="preserve">Stockholders of Record. </w:t>
            </w:r>
            <w:r>
              <w:rPr>
                <w:rFonts w:ascii="Arial" w:cs="Arial" w:eastAsia="Arial" w:hAnsi="Arial"/>
                <w:sz w:val="16"/>
                <w:szCs w:val="16"/>
                <w:color w:val="000000"/>
              </w:rPr>
              <w:t>If you are the stockholder of record and you do not vote before the</w:t>
            </w:r>
          </w:p>
        </w:tc>
      </w:tr>
      <w:tr>
        <w:trPr>
          <w:trHeight w:val="209"/>
        </w:trPr>
        <w:tc>
          <w:tcPr>
            <w:tcW w:w="3760" w:type="dxa"/>
            <w:vAlign w:val="bottom"/>
            <w:gridSpan w:val="2"/>
          </w:tcPr>
          <w:p>
            <w:pPr>
              <w:spacing w:after="0"/>
              <w:rPr>
                <w:sz w:val="20"/>
                <w:szCs w:val="20"/>
                <w:color w:val="auto"/>
              </w:rPr>
            </w:pPr>
            <w:r>
              <w:rPr>
                <w:rFonts w:ascii="Arial" w:cs="Arial" w:eastAsia="Arial" w:hAnsi="Arial"/>
                <w:sz w:val="16"/>
                <w:szCs w:val="16"/>
                <w:b w:val="1"/>
                <w:bCs w:val="1"/>
                <w:i w:val="1"/>
                <w:iCs w:val="1"/>
                <w:color w:val="1A6DBB"/>
              </w:rPr>
              <w:t>not vote?</w:t>
            </w: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color w:val="auto"/>
              </w:rPr>
              <w:t>Annual Meeting by proxy card, telephone or via the Internet, or during the Annual Meeting either in</w:t>
            </w:r>
          </w:p>
        </w:tc>
      </w:tr>
      <w:tr>
        <w:trPr>
          <w:trHeight w:val="195"/>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color w:val="auto"/>
              </w:rPr>
              <w:t>person or virtually via the Internet, your shares will not be voted at the Annual Meeting.</w:t>
            </w:r>
          </w:p>
        </w:tc>
      </w:tr>
      <w:tr>
        <w:trPr>
          <w:trHeight w:val="305"/>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b w:val="1"/>
                <w:bCs w:val="1"/>
                <w:color w:val="1A6DBB"/>
              </w:rPr>
              <w:t xml:space="preserve">Beneficial Owners. </w:t>
            </w:r>
            <w:r>
              <w:rPr>
                <w:rFonts w:ascii="Arial" w:cs="Arial" w:eastAsia="Arial" w:hAnsi="Arial"/>
                <w:sz w:val="16"/>
                <w:szCs w:val="16"/>
                <w:color w:val="000000"/>
              </w:rPr>
              <w:t>If you are the beneficial owner of shares, your bank, broker or other nominee,</w:t>
            </w:r>
          </w:p>
        </w:tc>
      </w:tr>
      <w:tr>
        <w:trPr>
          <w:trHeight w:val="189"/>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color w:val="auto"/>
              </w:rPr>
              <w:t>as the record holder of the shares, is required to vote those shares in accordance with your</w:t>
            </w:r>
          </w:p>
        </w:tc>
      </w:tr>
      <w:tr>
        <w:trPr>
          <w:trHeight w:val="189"/>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color w:val="auto"/>
              </w:rPr>
              <w:t>instructions. If no voting instructions are provided, these record holders can vote your shares only</w:t>
            </w:r>
          </w:p>
        </w:tc>
      </w:tr>
      <w:tr>
        <w:trPr>
          <w:trHeight w:val="189"/>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color w:val="auto"/>
              </w:rPr>
              <w:t>on discretionary, or routine, matters and not on non-discretionary, or non-routine, matters.</w:t>
            </w:r>
          </w:p>
        </w:tc>
      </w:tr>
      <w:tr>
        <w:trPr>
          <w:trHeight w:val="189"/>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color w:val="auto"/>
              </w:rPr>
              <w:t>Uninstructed shares whose votes cannot be counted on non-routine matters result in what are</w:t>
            </w:r>
          </w:p>
        </w:tc>
      </w:tr>
      <w:tr>
        <w:trPr>
          <w:trHeight w:val="195"/>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color w:val="auto"/>
              </w:rPr>
              <w:t>commonly referred to as “broker non-votes.”</w:t>
            </w:r>
          </w:p>
        </w:tc>
      </w:tr>
      <w:tr>
        <w:trPr>
          <w:trHeight w:val="305"/>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color w:val="auto"/>
              </w:rPr>
              <w:t>The proposal to ratify the selection of our independent registered public accounting firm is a routine</w:t>
            </w:r>
          </w:p>
        </w:tc>
      </w:tr>
      <w:tr>
        <w:trPr>
          <w:trHeight w:val="189"/>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color w:val="auto"/>
              </w:rPr>
              <w:t>matter and the other proposals are non-routine matters. If you do not give your broker voting</w:t>
            </w:r>
          </w:p>
        </w:tc>
      </w:tr>
      <w:tr>
        <w:trPr>
          <w:trHeight w:val="189"/>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color w:val="auto"/>
              </w:rPr>
              <w:t>instructions, your broker (1) will be entitled to vote your shares on the proposal to ratify the selection</w:t>
            </w:r>
          </w:p>
        </w:tc>
      </w:tr>
      <w:tr>
        <w:trPr>
          <w:trHeight w:val="189"/>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color w:val="auto"/>
              </w:rPr>
              <w:t>of our independent registered public accounting firm and (2) will not be entitled to vote your shares</w:t>
            </w:r>
          </w:p>
        </w:tc>
      </w:tr>
      <w:tr>
        <w:trPr>
          <w:trHeight w:val="189"/>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color w:val="auto"/>
              </w:rPr>
              <w:t>on the other proposals. We urge you to provide instructions to your bank, broker or other nominee</w:t>
            </w:r>
          </w:p>
        </w:tc>
      </w:tr>
      <w:tr>
        <w:trPr>
          <w:trHeight w:val="195"/>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color w:val="auto"/>
              </w:rPr>
              <w:t>so that your votes may be counted on all of these important matters.</w:t>
            </w:r>
          </w:p>
        </w:tc>
      </w:tr>
      <w:tr>
        <w:trPr>
          <w:trHeight w:val="305"/>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color w:val="auto"/>
              </w:rPr>
              <w:t>You should vote your shares by telephone or by Internet according to the instructions provided by</w:t>
            </w:r>
          </w:p>
        </w:tc>
      </w:tr>
      <w:tr>
        <w:trPr>
          <w:trHeight w:val="189"/>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color w:val="auto"/>
              </w:rPr>
              <w:t>your bank, broker or other nominee or by signing, dating and returning a printed voting instruction</w:t>
            </w:r>
          </w:p>
        </w:tc>
      </w:tr>
      <w:tr>
        <w:trPr>
          <w:trHeight w:val="195"/>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color w:val="auto"/>
              </w:rPr>
              <w:t>form to your bank, broker or other nominee to ensure that your shares are voted on your behalf.</w:t>
            </w:r>
          </w:p>
        </w:tc>
      </w:tr>
      <w:tr>
        <w:trPr>
          <w:trHeight w:val="128"/>
        </w:trPr>
        <w:tc>
          <w:tcPr>
            <w:tcW w:w="20" w:type="dxa"/>
            <w:vAlign w:val="bottom"/>
          </w:tcPr>
          <w:p>
            <w:pPr>
              <w:spacing w:after="0"/>
              <w:rPr>
                <w:sz w:val="11"/>
                <w:szCs w:val="11"/>
                <w:color w:val="auto"/>
              </w:rPr>
            </w:pPr>
          </w:p>
        </w:tc>
        <w:tc>
          <w:tcPr>
            <w:tcW w:w="3740" w:type="dxa"/>
            <w:vAlign w:val="bottom"/>
            <w:tcBorders>
              <w:bottom w:val="single" w:sz="8" w:color="1A6DBB"/>
            </w:tcBorders>
          </w:tcPr>
          <w:p>
            <w:pPr>
              <w:spacing w:after="0"/>
              <w:rPr>
                <w:sz w:val="11"/>
                <w:szCs w:val="11"/>
                <w:color w:val="auto"/>
              </w:rPr>
            </w:pPr>
          </w:p>
        </w:tc>
        <w:tc>
          <w:tcPr>
            <w:tcW w:w="7280" w:type="dxa"/>
            <w:vAlign w:val="bottom"/>
            <w:tcBorders>
              <w:bottom w:val="single" w:sz="8" w:color="1A6DBB"/>
            </w:tcBorders>
            <w:shd w:val="clear" w:color="auto" w:fill="E8F0F8"/>
          </w:tcPr>
          <w:p>
            <w:pPr>
              <w:spacing w:after="0"/>
              <w:rPr>
                <w:sz w:val="11"/>
                <w:szCs w:val="11"/>
                <w:color w:val="auto"/>
              </w:rPr>
            </w:pPr>
          </w:p>
        </w:tc>
      </w:tr>
      <w:tr>
        <w:trPr>
          <w:trHeight w:val="232"/>
        </w:trPr>
        <w:tc>
          <w:tcPr>
            <w:tcW w:w="3760" w:type="dxa"/>
            <w:vAlign w:val="bottom"/>
            <w:gridSpan w:val="2"/>
          </w:tcPr>
          <w:p>
            <w:pPr>
              <w:spacing w:after="0"/>
              <w:rPr>
                <w:sz w:val="20"/>
                <w:szCs w:val="20"/>
                <w:color w:val="auto"/>
              </w:rPr>
            </w:pPr>
            <w:r>
              <w:rPr>
                <w:rFonts w:ascii="Arial" w:cs="Arial" w:eastAsia="Arial" w:hAnsi="Arial"/>
                <w:sz w:val="16"/>
                <w:szCs w:val="16"/>
                <w:b w:val="1"/>
                <w:bCs w:val="1"/>
                <w:i w:val="1"/>
                <w:iCs w:val="1"/>
                <w:color w:val="1A6DBB"/>
              </w:rPr>
              <w:t>How many shares must be present to hold the</w:t>
            </w: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color w:val="auto"/>
              </w:rPr>
              <w:t>A majority of our issued and outstanding shares of common stock as of the Record Date must be</w:t>
            </w:r>
          </w:p>
        </w:tc>
      </w:tr>
      <w:tr>
        <w:trPr>
          <w:trHeight w:val="209"/>
        </w:trPr>
        <w:tc>
          <w:tcPr>
            <w:tcW w:w="3760" w:type="dxa"/>
            <w:vAlign w:val="bottom"/>
            <w:gridSpan w:val="2"/>
          </w:tcPr>
          <w:p>
            <w:pPr>
              <w:spacing w:after="0"/>
              <w:rPr>
                <w:sz w:val="20"/>
                <w:szCs w:val="20"/>
                <w:color w:val="auto"/>
              </w:rPr>
            </w:pPr>
            <w:r>
              <w:rPr>
                <w:rFonts w:ascii="Arial" w:cs="Arial" w:eastAsia="Arial" w:hAnsi="Arial"/>
                <w:sz w:val="16"/>
                <w:szCs w:val="16"/>
                <w:b w:val="1"/>
                <w:bCs w:val="1"/>
                <w:i w:val="1"/>
                <w:iCs w:val="1"/>
                <w:color w:val="1A6DBB"/>
              </w:rPr>
              <w:t>Annual Meeting?</w:t>
            </w: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color w:val="auto"/>
              </w:rPr>
              <w:t>present at the Annual Meeting to hold the Annual Meeting and conduct business. This is called a</w:t>
            </w:r>
          </w:p>
        </w:tc>
      </w:tr>
      <w:tr>
        <w:trPr>
          <w:trHeight w:val="189"/>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color w:val="auto"/>
              </w:rPr>
              <w:t>quorum. Shares voted in the manner described above (under the heading “How do I vote and what</w:t>
            </w:r>
          </w:p>
        </w:tc>
      </w:tr>
      <w:tr>
        <w:trPr>
          <w:trHeight w:val="189"/>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color w:val="auto"/>
              </w:rPr>
              <w:t>are the voting deadlines?”) will be counted as present at the Annual Meeting. Shares that are</w:t>
            </w:r>
          </w:p>
        </w:tc>
      </w:tr>
      <w:tr>
        <w:trPr>
          <w:trHeight w:val="189"/>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color w:val="auto"/>
              </w:rPr>
              <w:t>present and entitled to vote on one or more of the matters to be voted upon are counted as present</w:t>
            </w:r>
          </w:p>
        </w:tc>
      </w:tr>
      <w:tr>
        <w:trPr>
          <w:trHeight w:val="189"/>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color w:val="auto"/>
              </w:rPr>
              <w:t>for establishing a quorum. If a quorum is not present, we expect that the Annual Meeting will be</w:t>
            </w:r>
          </w:p>
        </w:tc>
      </w:tr>
      <w:tr>
        <w:trPr>
          <w:trHeight w:val="195"/>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280" w:type="dxa"/>
            <w:vAlign w:val="bottom"/>
            <w:shd w:val="clear" w:color="auto" w:fill="E8F0F8"/>
          </w:tcPr>
          <w:p>
            <w:pPr>
              <w:ind w:left="120"/>
              <w:spacing w:after="0"/>
              <w:rPr>
                <w:sz w:val="20"/>
                <w:szCs w:val="20"/>
                <w:color w:val="auto"/>
              </w:rPr>
            </w:pPr>
            <w:r>
              <w:rPr>
                <w:rFonts w:ascii="Arial" w:cs="Arial" w:eastAsia="Arial" w:hAnsi="Arial"/>
                <w:sz w:val="16"/>
                <w:szCs w:val="16"/>
                <w:color w:val="auto"/>
              </w:rPr>
              <w:t>adjourned until we obtain a quorum.</w:t>
            </w:r>
          </w:p>
        </w:tc>
      </w:tr>
      <w:tr>
        <w:trPr>
          <w:trHeight w:val="128"/>
        </w:trPr>
        <w:tc>
          <w:tcPr>
            <w:tcW w:w="20" w:type="dxa"/>
            <w:vAlign w:val="bottom"/>
          </w:tcPr>
          <w:p>
            <w:pPr>
              <w:spacing w:after="0"/>
              <w:rPr>
                <w:sz w:val="11"/>
                <w:szCs w:val="11"/>
                <w:color w:val="auto"/>
              </w:rPr>
            </w:pPr>
          </w:p>
        </w:tc>
        <w:tc>
          <w:tcPr>
            <w:tcW w:w="3740" w:type="dxa"/>
            <w:vAlign w:val="bottom"/>
            <w:tcBorders>
              <w:bottom w:val="single" w:sz="8" w:color="1A6DBB"/>
            </w:tcBorders>
          </w:tcPr>
          <w:p>
            <w:pPr>
              <w:spacing w:after="0"/>
              <w:rPr>
                <w:sz w:val="11"/>
                <w:szCs w:val="11"/>
                <w:color w:val="auto"/>
              </w:rPr>
            </w:pPr>
          </w:p>
        </w:tc>
        <w:tc>
          <w:tcPr>
            <w:tcW w:w="7280" w:type="dxa"/>
            <w:vAlign w:val="bottom"/>
            <w:tcBorders>
              <w:bottom w:val="single" w:sz="8" w:color="1A6DBB"/>
            </w:tcBorders>
            <w:shd w:val="clear" w:color="auto" w:fill="E8F0F8"/>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-5650865</wp:posOffset>
            </wp:positionV>
            <wp:extent cx="454533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545330" cy="8890"/>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-5281930</wp:posOffset>
            </wp:positionV>
            <wp:extent cx="454533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545330" cy="8890"/>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-4912995</wp:posOffset>
            </wp:positionV>
            <wp:extent cx="454533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545330" cy="8890"/>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-4535805</wp:posOffset>
            </wp:positionV>
            <wp:extent cx="454533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545330" cy="8890"/>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-3970020</wp:posOffset>
            </wp:positionV>
            <wp:extent cx="454533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545330"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85725</wp:posOffset>
            </wp:positionV>
            <wp:extent cx="660400" cy="1543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60400" cy="154305"/>
                    </a:xfrm>
                    <a:prstGeom prst="rect">
                      <a:avLst/>
                    </a:prstGeom>
                    <a:noFill/>
                  </pic:spPr>
                </pic:pic>
              </a:graphicData>
            </a:graphic>
          </wp:anchor>
        </w:drawing>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2"/>
          <w:szCs w:val="12"/>
          <w:color w:val="1A6DBB"/>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7019925</wp:posOffset>
            </wp:positionH>
            <wp:positionV relativeFrom="paragraph">
              <wp:posOffset>-71120</wp:posOffset>
            </wp:positionV>
            <wp:extent cx="102870" cy="946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14"/>
        </w:numPr>
        <w:rPr>
          <w:rFonts w:ascii="Arial" w:cs="Arial" w:eastAsia="Arial" w:hAnsi="Arial"/>
          <w:sz w:val="90"/>
          <w:szCs w:val="90"/>
          <w:color w:val="1A6DBB"/>
        </w:rPr>
      </w:pPr>
      <w:r>
        <w:rPr>
          <w:rFonts w:ascii="Arial" w:cs="Arial" w:eastAsia="Arial" w:hAnsi="Arial"/>
          <w:sz w:val="41"/>
          <w:szCs w:val="41"/>
          <w:color w:val="1A6DBB"/>
        </w:rPr>
        <w:t xml:space="preserve">General Information About the Meeting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520" w:type="dxa"/>
            <w:vAlign w:val="bottom"/>
            <w:shd w:val="clear" w:color="auto" w:fill="1A6DBB"/>
          </w:tcPr>
          <w:p>
            <w:pPr>
              <w:spacing w:after="0" w:line="20" w:lineRule="exact"/>
              <w:rPr>
                <w:sz w:val="1"/>
                <w:szCs w:val="1"/>
                <w:color w:val="auto"/>
              </w:rPr>
            </w:pPr>
          </w:p>
        </w:tc>
        <w:tc>
          <w:tcPr>
            <w:tcW w:w="7500" w:type="dxa"/>
            <w:vAlign w:val="bottom"/>
            <w:shd w:val="clear" w:color="auto" w:fill="1A6DBB"/>
          </w:tcPr>
          <w:p>
            <w:pPr>
              <w:spacing w:after="0" w:line="20" w:lineRule="exact"/>
              <w:rPr>
                <w:sz w:val="1"/>
                <w:szCs w:val="1"/>
                <w:color w:val="auto"/>
              </w:rPr>
            </w:pPr>
          </w:p>
        </w:tc>
      </w:tr>
      <w:tr>
        <w:trPr>
          <w:trHeight w:val="205"/>
        </w:trPr>
        <w:tc>
          <w:tcPr>
            <w:tcW w:w="3540" w:type="dxa"/>
            <w:vAlign w:val="bottom"/>
            <w:gridSpan w:val="2"/>
          </w:tcPr>
          <w:p>
            <w:pPr>
              <w:spacing w:after="0"/>
              <w:rPr>
                <w:sz w:val="20"/>
                <w:szCs w:val="20"/>
                <w:color w:val="auto"/>
              </w:rPr>
            </w:pPr>
            <w:r>
              <w:rPr>
                <w:rFonts w:ascii="Arial" w:cs="Arial" w:eastAsia="Arial" w:hAnsi="Arial"/>
                <w:sz w:val="16"/>
                <w:szCs w:val="16"/>
                <w:b w:val="1"/>
                <w:bCs w:val="1"/>
                <w:i w:val="1"/>
                <w:iCs w:val="1"/>
                <w:color w:val="1A6DBB"/>
              </w:rPr>
              <w:t>What vote is required to approve each</w:t>
            </w:r>
          </w:p>
        </w:tc>
        <w:tc>
          <w:tcPr>
            <w:tcW w:w="7500" w:type="dxa"/>
            <w:vAlign w:val="bottom"/>
            <w:shd w:val="clear" w:color="auto" w:fill="E8F0F8"/>
          </w:tcPr>
          <w:p>
            <w:pPr>
              <w:ind w:left="34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b w:val="1"/>
                <w:bCs w:val="1"/>
                <w:i w:val="1"/>
                <w:iCs w:val="1"/>
                <w:color w:val="000000"/>
              </w:rPr>
              <w:t>Proposal 1: Election of Directors:</w:t>
            </w:r>
            <w:r>
              <w:rPr>
                <w:rFonts w:ascii="Arial" w:cs="Arial" w:eastAsia="Arial" w:hAnsi="Arial"/>
                <w:sz w:val="16"/>
                <w:szCs w:val="16"/>
                <w:color w:val="1A6DBB"/>
              </w:rPr>
              <w:t xml:space="preserve"> </w:t>
            </w:r>
            <w:r>
              <w:rPr>
                <w:rFonts w:ascii="Arial" w:cs="Arial" w:eastAsia="Arial" w:hAnsi="Arial"/>
                <w:sz w:val="16"/>
                <w:szCs w:val="16"/>
                <w:color w:val="000000"/>
              </w:rPr>
              <w:t>Directors are elected by a majority vote of the votes cast in</w:t>
            </w:r>
          </w:p>
        </w:tc>
      </w:tr>
      <w:tr>
        <w:trPr>
          <w:trHeight w:val="209"/>
        </w:trPr>
        <w:tc>
          <w:tcPr>
            <w:tcW w:w="3540" w:type="dxa"/>
            <w:vAlign w:val="bottom"/>
            <w:gridSpan w:val="2"/>
          </w:tcPr>
          <w:p>
            <w:pPr>
              <w:spacing w:after="0"/>
              <w:rPr>
                <w:sz w:val="20"/>
                <w:szCs w:val="20"/>
                <w:color w:val="auto"/>
              </w:rPr>
            </w:pPr>
            <w:r>
              <w:rPr>
                <w:rFonts w:ascii="Arial" w:cs="Arial" w:eastAsia="Arial" w:hAnsi="Arial"/>
                <w:sz w:val="16"/>
                <w:szCs w:val="16"/>
                <w:b w:val="1"/>
                <w:bCs w:val="1"/>
                <w:i w:val="1"/>
                <w:iCs w:val="1"/>
                <w:color w:val="1A6DBB"/>
              </w:rPr>
              <w:t>proposal and how are votes counted?</w:t>
            </w:r>
          </w:p>
        </w:tc>
        <w:tc>
          <w:tcPr>
            <w:tcW w:w="7500" w:type="dxa"/>
            <w:vAlign w:val="bottom"/>
            <w:shd w:val="clear" w:color="auto" w:fill="E8F0F8"/>
          </w:tcPr>
          <w:p>
            <w:pPr>
              <w:ind w:left="540"/>
              <w:spacing w:after="0"/>
              <w:rPr>
                <w:sz w:val="20"/>
                <w:szCs w:val="20"/>
                <w:color w:val="auto"/>
              </w:rPr>
            </w:pPr>
            <w:r>
              <w:rPr>
                <w:rFonts w:ascii="Arial" w:cs="Arial" w:eastAsia="Arial" w:hAnsi="Arial"/>
                <w:sz w:val="16"/>
                <w:szCs w:val="16"/>
                <w:color w:val="auto"/>
              </w:rPr>
              <w:t>uncontested elections — that is, a director will be elected if more votes are cast for that director’s</w:t>
            </w:r>
          </w:p>
        </w:tc>
      </w:tr>
      <w:tr>
        <w:trPr>
          <w:trHeight w:val="189"/>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7500" w:type="dxa"/>
            <w:vAlign w:val="bottom"/>
            <w:shd w:val="clear" w:color="auto" w:fill="E8F0F8"/>
          </w:tcPr>
          <w:p>
            <w:pPr>
              <w:ind w:left="540"/>
              <w:spacing w:after="0"/>
              <w:rPr>
                <w:sz w:val="20"/>
                <w:szCs w:val="20"/>
                <w:color w:val="auto"/>
              </w:rPr>
            </w:pPr>
            <w:r>
              <w:rPr>
                <w:rFonts w:ascii="Arial" w:cs="Arial" w:eastAsia="Arial" w:hAnsi="Arial"/>
                <w:sz w:val="16"/>
                <w:szCs w:val="16"/>
                <w:color w:val="auto"/>
              </w:rPr>
              <w:t>election than against that director — and by a plurality of votes cast in contested elections —</w:t>
            </w:r>
          </w:p>
        </w:tc>
      </w:tr>
      <w:tr>
        <w:trPr>
          <w:trHeight w:val="189"/>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7500" w:type="dxa"/>
            <w:vAlign w:val="bottom"/>
            <w:shd w:val="clear" w:color="auto" w:fill="E8F0F8"/>
          </w:tcPr>
          <w:p>
            <w:pPr>
              <w:ind w:left="540"/>
              <w:spacing w:after="0"/>
              <w:rPr>
                <w:sz w:val="20"/>
                <w:szCs w:val="20"/>
                <w:color w:val="auto"/>
              </w:rPr>
            </w:pPr>
            <w:r>
              <w:rPr>
                <w:rFonts w:ascii="Arial" w:cs="Arial" w:eastAsia="Arial" w:hAnsi="Arial"/>
                <w:sz w:val="16"/>
                <w:szCs w:val="16"/>
                <w:color w:val="auto"/>
              </w:rPr>
              <w:t>that is, the directors receiving the highest number of “For” votes will be elected. Abstentions and</w:t>
            </w:r>
          </w:p>
        </w:tc>
      </w:tr>
      <w:tr>
        <w:trPr>
          <w:trHeight w:val="189"/>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7500" w:type="dxa"/>
            <w:vAlign w:val="bottom"/>
            <w:shd w:val="clear" w:color="auto" w:fill="E8F0F8"/>
          </w:tcPr>
          <w:p>
            <w:pPr>
              <w:ind w:left="540"/>
              <w:spacing w:after="0"/>
              <w:rPr>
                <w:sz w:val="20"/>
                <w:szCs w:val="20"/>
                <w:color w:val="auto"/>
              </w:rPr>
            </w:pPr>
            <w:r>
              <w:rPr>
                <w:rFonts w:ascii="Arial" w:cs="Arial" w:eastAsia="Arial" w:hAnsi="Arial"/>
                <w:sz w:val="16"/>
                <w:szCs w:val="16"/>
                <w:color w:val="auto"/>
              </w:rPr>
              <w:t>broker non-votes, if any, are not counted for purposes of electing directors and will have no effect</w:t>
            </w:r>
          </w:p>
        </w:tc>
      </w:tr>
      <w:tr>
        <w:trPr>
          <w:trHeight w:val="195"/>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7500" w:type="dxa"/>
            <w:vAlign w:val="bottom"/>
            <w:shd w:val="clear" w:color="auto" w:fill="E8F0F8"/>
          </w:tcPr>
          <w:p>
            <w:pPr>
              <w:ind w:left="540"/>
              <w:spacing w:after="0"/>
              <w:rPr>
                <w:sz w:val="20"/>
                <w:szCs w:val="20"/>
                <w:color w:val="auto"/>
              </w:rPr>
            </w:pPr>
            <w:r>
              <w:rPr>
                <w:rFonts w:ascii="Arial" w:cs="Arial" w:eastAsia="Arial" w:hAnsi="Arial"/>
                <w:sz w:val="16"/>
                <w:szCs w:val="16"/>
                <w:color w:val="auto"/>
              </w:rPr>
              <w:t>on the results of this vote.</w:t>
            </w:r>
          </w:p>
        </w:tc>
      </w:tr>
      <w:tr>
        <w:trPr>
          <w:trHeight w:val="501"/>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500" w:type="dxa"/>
            <w:vAlign w:val="bottom"/>
            <w:shd w:val="clear" w:color="auto" w:fill="E8F0F8"/>
          </w:tcPr>
          <w:p>
            <w:pPr>
              <w:ind w:left="34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b w:val="1"/>
                <w:bCs w:val="1"/>
                <w:i w:val="1"/>
                <w:iCs w:val="1"/>
                <w:color w:val="000000"/>
              </w:rPr>
              <w:t>Proposal 2: Ratification of the Selection of our Independent Registered Public Accounting</w:t>
            </w:r>
          </w:p>
        </w:tc>
      </w:tr>
      <w:tr>
        <w:trPr>
          <w:trHeight w:val="209"/>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7500" w:type="dxa"/>
            <w:vAlign w:val="bottom"/>
            <w:shd w:val="clear" w:color="auto" w:fill="E8F0F8"/>
          </w:tcPr>
          <w:p>
            <w:pPr>
              <w:ind w:left="540"/>
              <w:spacing w:after="0"/>
              <w:rPr>
                <w:sz w:val="20"/>
                <w:szCs w:val="20"/>
                <w:color w:val="auto"/>
              </w:rPr>
            </w:pPr>
            <w:r>
              <w:rPr>
                <w:rFonts w:ascii="Arial" w:cs="Arial" w:eastAsia="Arial" w:hAnsi="Arial"/>
                <w:sz w:val="16"/>
                <w:szCs w:val="16"/>
                <w:b w:val="1"/>
                <w:bCs w:val="1"/>
                <w:i w:val="1"/>
                <w:iCs w:val="1"/>
                <w:color w:val="auto"/>
              </w:rPr>
              <w:t xml:space="preserve">Firm: </w:t>
            </w:r>
            <w:r>
              <w:rPr>
                <w:rFonts w:ascii="Arial" w:cs="Arial" w:eastAsia="Arial" w:hAnsi="Arial"/>
                <w:sz w:val="16"/>
                <w:szCs w:val="16"/>
                <w:color w:val="auto"/>
              </w:rPr>
              <w:t>The affirmative vote of a majority of shares present in person or represented by proxy and</w:t>
            </w:r>
          </w:p>
        </w:tc>
      </w:tr>
      <w:tr>
        <w:trPr>
          <w:trHeight w:val="189"/>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7500" w:type="dxa"/>
            <w:vAlign w:val="bottom"/>
            <w:shd w:val="clear" w:color="auto" w:fill="E8F0F8"/>
          </w:tcPr>
          <w:p>
            <w:pPr>
              <w:ind w:left="540"/>
              <w:spacing w:after="0"/>
              <w:rPr>
                <w:sz w:val="20"/>
                <w:szCs w:val="20"/>
                <w:color w:val="auto"/>
              </w:rPr>
            </w:pPr>
            <w:r>
              <w:rPr>
                <w:rFonts w:ascii="Arial" w:cs="Arial" w:eastAsia="Arial" w:hAnsi="Arial"/>
                <w:sz w:val="16"/>
                <w:szCs w:val="16"/>
                <w:color w:val="auto"/>
              </w:rPr>
              <w:t>having voting power at the Annual Meeting is required to ratify the selection of PwC as our</w:t>
            </w:r>
          </w:p>
        </w:tc>
      </w:tr>
      <w:tr>
        <w:trPr>
          <w:trHeight w:val="189"/>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7500" w:type="dxa"/>
            <w:vAlign w:val="bottom"/>
            <w:shd w:val="clear" w:color="auto" w:fill="E8F0F8"/>
          </w:tcPr>
          <w:p>
            <w:pPr>
              <w:ind w:left="540"/>
              <w:spacing w:after="0"/>
              <w:rPr>
                <w:sz w:val="20"/>
                <w:szCs w:val="20"/>
                <w:color w:val="auto"/>
              </w:rPr>
            </w:pPr>
            <w:r>
              <w:rPr>
                <w:rFonts w:ascii="Arial" w:cs="Arial" w:eastAsia="Arial" w:hAnsi="Arial"/>
                <w:sz w:val="16"/>
                <w:szCs w:val="16"/>
                <w:color w:val="auto"/>
              </w:rPr>
              <w:t>independent registered public accounting firm for the fiscal year ending December 31, 2019.</w:t>
            </w:r>
          </w:p>
        </w:tc>
      </w:tr>
      <w:tr>
        <w:trPr>
          <w:trHeight w:val="189"/>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7500" w:type="dxa"/>
            <w:vAlign w:val="bottom"/>
            <w:shd w:val="clear" w:color="auto" w:fill="E8F0F8"/>
          </w:tcPr>
          <w:p>
            <w:pPr>
              <w:ind w:left="540"/>
              <w:spacing w:after="0"/>
              <w:rPr>
                <w:sz w:val="20"/>
                <w:szCs w:val="20"/>
                <w:color w:val="auto"/>
              </w:rPr>
            </w:pPr>
            <w:r>
              <w:rPr>
                <w:rFonts w:ascii="Arial" w:cs="Arial" w:eastAsia="Arial" w:hAnsi="Arial"/>
                <w:sz w:val="16"/>
                <w:szCs w:val="16"/>
                <w:color w:val="auto"/>
              </w:rPr>
              <w:t>Abstentions will have the effect of votes against this proposal. Brokers generally have</w:t>
            </w:r>
          </w:p>
        </w:tc>
      </w:tr>
      <w:tr>
        <w:trPr>
          <w:trHeight w:val="189"/>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7500" w:type="dxa"/>
            <w:vAlign w:val="bottom"/>
            <w:shd w:val="clear" w:color="auto" w:fill="E8F0F8"/>
          </w:tcPr>
          <w:p>
            <w:pPr>
              <w:ind w:left="540"/>
              <w:spacing w:after="0"/>
              <w:rPr>
                <w:sz w:val="20"/>
                <w:szCs w:val="20"/>
                <w:color w:val="auto"/>
              </w:rPr>
            </w:pPr>
            <w:r>
              <w:rPr>
                <w:rFonts w:ascii="Arial" w:cs="Arial" w:eastAsia="Arial" w:hAnsi="Arial"/>
                <w:sz w:val="16"/>
                <w:szCs w:val="16"/>
                <w:color w:val="auto"/>
              </w:rPr>
              <w:t>discretionary authority to vote on the ratification of the selection of our independent registered</w:t>
            </w:r>
          </w:p>
        </w:tc>
      </w:tr>
      <w:tr>
        <w:trPr>
          <w:trHeight w:val="195"/>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7500" w:type="dxa"/>
            <w:vAlign w:val="bottom"/>
            <w:shd w:val="clear" w:color="auto" w:fill="E8F0F8"/>
          </w:tcPr>
          <w:p>
            <w:pPr>
              <w:ind w:left="540"/>
              <w:spacing w:after="0"/>
              <w:rPr>
                <w:sz w:val="20"/>
                <w:szCs w:val="20"/>
                <w:color w:val="auto"/>
              </w:rPr>
            </w:pPr>
            <w:r>
              <w:rPr>
                <w:rFonts w:ascii="Arial" w:cs="Arial" w:eastAsia="Arial" w:hAnsi="Arial"/>
                <w:sz w:val="16"/>
                <w:szCs w:val="16"/>
                <w:color w:val="auto"/>
              </w:rPr>
              <w:t>public accounting firm, thus we do not expect any broker non-votes on this proposal.</w:t>
            </w:r>
          </w:p>
        </w:tc>
      </w:tr>
      <w:tr>
        <w:trPr>
          <w:trHeight w:val="508"/>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500" w:type="dxa"/>
            <w:vAlign w:val="bottom"/>
            <w:shd w:val="clear" w:color="auto" w:fill="E8F0F8"/>
          </w:tcPr>
          <w:p>
            <w:pPr>
              <w:ind w:left="34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b w:val="1"/>
                <w:bCs w:val="1"/>
                <w:i w:val="1"/>
                <w:iCs w:val="1"/>
                <w:color w:val="000000"/>
              </w:rPr>
              <w:t>Proposal 3: Advisory Vote on Executive Compensation:</w:t>
            </w:r>
            <w:r>
              <w:rPr>
                <w:rFonts w:ascii="Arial" w:cs="Arial" w:eastAsia="Arial" w:hAnsi="Arial"/>
                <w:sz w:val="16"/>
                <w:szCs w:val="16"/>
                <w:color w:val="1A6DBB"/>
              </w:rPr>
              <w:t xml:space="preserve"> </w:t>
            </w:r>
            <w:r>
              <w:rPr>
                <w:rFonts w:ascii="Arial" w:cs="Arial" w:eastAsia="Arial" w:hAnsi="Arial"/>
                <w:sz w:val="16"/>
                <w:szCs w:val="16"/>
                <w:color w:val="000000"/>
              </w:rPr>
              <w:t>Because this proposal asks for a</w:t>
            </w:r>
          </w:p>
        </w:tc>
      </w:tr>
      <w:tr>
        <w:trPr>
          <w:trHeight w:val="189"/>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7500" w:type="dxa"/>
            <w:vAlign w:val="bottom"/>
            <w:shd w:val="clear" w:color="auto" w:fill="E8F0F8"/>
          </w:tcPr>
          <w:p>
            <w:pPr>
              <w:ind w:left="540"/>
              <w:spacing w:after="0"/>
              <w:rPr>
                <w:sz w:val="20"/>
                <w:szCs w:val="20"/>
                <w:color w:val="auto"/>
              </w:rPr>
            </w:pPr>
            <w:r>
              <w:rPr>
                <w:rFonts w:ascii="Arial" w:cs="Arial" w:eastAsia="Arial" w:hAnsi="Arial"/>
                <w:sz w:val="16"/>
                <w:szCs w:val="16"/>
                <w:color w:val="auto"/>
              </w:rPr>
              <w:t>non-binding, advisory vote, there is no “required vote” that would constitute approval. We value</w:t>
            </w:r>
          </w:p>
        </w:tc>
      </w:tr>
      <w:tr>
        <w:trPr>
          <w:trHeight w:val="189"/>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7500" w:type="dxa"/>
            <w:vAlign w:val="bottom"/>
            <w:shd w:val="clear" w:color="auto" w:fill="E8F0F8"/>
          </w:tcPr>
          <w:p>
            <w:pPr>
              <w:ind w:left="540"/>
              <w:spacing w:after="0"/>
              <w:rPr>
                <w:sz w:val="20"/>
                <w:szCs w:val="20"/>
                <w:color w:val="auto"/>
              </w:rPr>
            </w:pPr>
            <w:r>
              <w:rPr>
                <w:rFonts w:ascii="Arial" w:cs="Arial" w:eastAsia="Arial" w:hAnsi="Arial"/>
                <w:sz w:val="16"/>
                <w:szCs w:val="16"/>
                <w:color w:val="auto"/>
              </w:rPr>
              <w:t>the opinions expressed by our stockholders in this advisory vote, and the Compensation and</w:t>
            </w:r>
          </w:p>
        </w:tc>
      </w:tr>
      <w:tr>
        <w:trPr>
          <w:trHeight w:val="189"/>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7500" w:type="dxa"/>
            <w:vAlign w:val="bottom"/>
            <w:shd w:val="clear" w:color="auto" w:fill="E8F0F8"/>
          </w:tcPr>
          <w:p>
            <w:pPr>
              <w:ind w:left="540"/>
              <w:spacing w:after="0"/>
              <w:rPr>
                <w:sz w:val="20"/>
                <w:szCs w:val="20"/>
                <w:color w:val="auto"/>
              </w:rPr>
            </w:pPr>
            <w:r>
              <w:rPr>
                <w:rFonts w:ascii="Arial" w:cs="Arial" w:eastAsia="Arial" w:hAnsi="Arial"/>
                <w:sz w:val="16"/>
                <w:szCs w:val="16"/>
                <w:color w:val="auto"/>
              </w:rPr>
              <w:t>Management Development Committee of our Board of Directors (sometimes referred to in this</w:t>
            </w:r>
          </w:p>
        </w:tc>
      </w:tr>
      <w:tr>
        <w:trPr>
          <w:trHeight w:val="189"/>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7500" w:type="dxa"/>
            <w:vAlign w:val="bottom"/>
            <w:shd w:val="clear" w:color="auto" w:fill="E8F0F8"/>
          </w:tcPr>
          <w:p>
            <w:pPr>
              <w:ind w:left="540"/>
              <w:spacing w:after="0"/>
              <w:rPr>
                <w:sz w:val="20"/>
                <w:szCs w:val="20"/>
                <w:color w:val="auto"/>
              </w:rPr>
            </w:pPr>
            <w:r>
              <w:rPr>
                <w:rFonts w:ascii="Arial" w:cs="Arial" w:eastAsia="Arial" w:hAnsi="Arial"/>
                <w:sz w:val="16"/>
                <w:szCs w:val="16"/>
                <w:color w:val="auto"/>
              </w:rPr>
              <w:t>Proxy Statement as our “C&amp;MD Committee”), which is responsible for overseeing and</w:t>
            </w:r>
          </w:p>
        </w:tc>
      </w:tr>
      <w:tr>
        <w:trPr>
          <w:trHeight w:val="189"/>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7500" w:type="dxa"/>
            <w:vAlign w:val="bottom"/>
            <w:shd w:val="clear" w:color="auto" w:fill="E8F0F8"/>
          </w:tcPr>
          <w:p>
            <w:pPr>
              <w:ind w:left="540"/>
              <w:spacing w:after="0"/>
              <w:rPr>
                <w:sz w:val="20"/>
                <w:szCs w:val="20"/>
                <w:color w:val="auto"/>
              </w:rPr>
            </w:pPr>
            <w:r>
              <w:rPr>
                <w:rFonts w:ascii="Arial" w:cs="Arial" w:eastAsia="Arial" w:hAnsi="Arial"/>
                <w:sz w:val="16"/>
                <w:szCs w:val="16"/>
                <w:color w:val="auto"/>
              </w:rPr>
              <w:t>administering our executive compensation programs, will consider the outcome of this vote when</w:t>
            </w:r>
          </w:p>
        </w:tc>
      </w:tr>
      <w:tr>
        <w:trPr>
          <w:trHeight w:val="189"/>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7500" w:type="dxa"/>
            <w:vAlign w:val="bottom"/>
            <w:shd w:val="clear" w:color="auto" w:fill="E8F0F8"/>
          </w:tcPr>
          <w:p>
            <w:pPr>
              <w:ind w:left="540"/>
              <w:spacing w:after="0"/>
              <w:rPr>
                <w:sz w:val="20"/>
                <w:szCs w:val="20"/>
                <w:color w:val="auto"/>
              </w:rPr>
            </w:pPr>
            <w:r>
              <w:rPr>
                <w:rFonts w:ascii="Arial" w:cs="Arial" w:eastAsia="Arial" w:hAnsi="Arial"/>
                <w:sz w:val="16"/>
                <w:szCs w:val="16"/>
                <w:color w:val="auto"/>
              </w:rPr>
              <w:t>designing our compensation programs and making future compensation decisions for our named</w:t>
            </w:r>
          </w:p>
        </w:tc>
      </w:tr>
      <w:tr>
        <w:trPr>
          <w:trHeight w:val="189"/>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7500" w:type="dxa"/>
            <w:vAlign w:val="bottom"/>
            <w:shd w:val="clear" w:color="auto" w:fill="E8F0F8"/>
          </w:tcPr>
          <w:p>
            <w:pPr>
              <w:ind w:left="540"/>
              <w:spacing w:after="0"/>
              <w:rPr>
                <w:sz w:val="20"/>
                <w:szCs w:val="20"/>
                <w:color w:val="auto"/>
              </w:rPr>
            </w:pPr>
            <w:r>
              <w:rPr>
                <w:rFonts w:ascii="Arial" w:cs="Arial" w:eastAsia="Arial" w:hAnsi="Arial"/>
                <w:sz w:val="16"/>
                <w:szCs w:val="16"/>
                <w:color w:val="auto"/>
              </w:rPr>
              <w:t>executive officers. Abstentions and broker non-votes, if any, will not have any effect on the</w:t>
            </w:r>
          </w:p>
        </w:tc>
      </w:tr>
      <w:tr>
        <w:trPr>
          <w:trHeight w:val="195"/>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7500" w:type="dxa"/>
            <w:vAlign w:val="bottom"/>
            <w:shd w:val="clear" w:color="auto" w:fill="E8F0F8"/>
          </w:tcPr>
          <w:p>
            <w:pPr>
              <w:ind w:left="540"/>
              <w:spacing w:after="0"/>
              <w:rPr>
                <w:sz w:val="20"/>
                <w:szCs w:val="20"/>
                <w:color w:val="auto"/>
              </w:rPr>
            </w:pPr>
            <w:r>
              <w:rPr>
                <w:rFonts w:ascii="Arial" w:cs="Arial" w:eastAsia="Arial" w:hAnsi="Arial"/>
                <w:sz w:val="16"/>
                <w:szCs w:val="16"/>
                <w:color w:val="auto"/>
              </w:rPr>
              <w:t>results of those deliberations.</w:t>
            </w:r>
          </w:p>
        </w:tc>
      </w:tr>
      <w:tr>
        <w:trPr>
          <w:trHeight w:val="249"/>
        </w:trPr>
        <w:tc>
          <w:tcPr>
            <w:tcW w:w="20" w:type="dxa"/>
            <w:vAlign w:val="bottom"/>
          </w:tcPr>
          <w:p>
            <w:pPr>
              <w:spacing w:after="0"/>
              <w:rPr>
                <w:sz w:val="21"/>
                <w:szCs w:val="21"/>
                <w:color w:val="auto"/>
              </w:rPr>
            </w:pPr>
          </w:p>
        </w:tc>
        <w:tc>
          <w:tcPr>
            <w:tcW w:w="3520" w:type="dxa"/>
            <w:vAlign w:val="bottom"/>
            <w:tcBorders>
              <w:bottom w:val="single" w:sz="8" w:color="1A6DBB"/>
            </w:tcBorders>
          </w:tcPr>
          <w:p>
            <w:pPr>
              <w:spacing w:after="0"/>
              <w:rPr>
                <w:sz w:val="21"/>
                <w:szCs w:val="21"/>
                <w:color w:val="auto"/>
              </w:rPr>
            </w:pPr>
          </w:p>
        </w:tc>
        <w:tc>
          <w:tcPr>
            <w:tcW w:w="7500" w:type="dxa"/>
            <w:vAlign w:val="bottom"/>
            <w:tcBorders>
              <w:bottom w:val="single" w:sz="8" w:color="1A6DBB"/>
            </w:tcBorders>
            <w:shd w:val="clear" w:color="auto" w:fill="E8F0F8"/>
          </w:tcPr>
          <w:p>
            <w:pPr>
              <w:spacing w:after="0"/>
              <w:rPr>
                <w:sz w:val="21"/>
                <w:szCs w:val="21"/>
                <w:color w:val="auto"/>
              </w:rPr>
            </w:pPr>
          </w:p>
        </w:tc>
      </w:tr>
      <w:tr>
        <w:trPr>
          <w:trHeight w:val="232"/>
        </w:trPr>
        <w:tc>
          <w:tcPr>
            <w:tcW w:w="3540" w:type="dxa"/>
            <w:vAlign w:val="bottom"/>
            <w:gridSpan w:val="2"/>
          </w:tcPr>
          <w:p>
            <w:pPr>
              <w:spacing w:after="0"/>
              <w:rPr>
                <w:sz w:val="20"/>
                <w:szCs w:val="20"/>
                <w:color w:val="auto"/>
              </w:rPr>
            </w:pPr>
            <w:r>
              <w:rPr>
                <w:rFonts w:ascii="Arial" w:cs="Arial" w:eastAsia="Arial" w:hAnsi="Arial"/>
                <w:sz w:val="16"/>
                <w:szCs w:val="16"/>
                <w:b w:val="1"/>
                <w:bCs w:val="1"/>
                <w:i w:val="1"/>
                <w:iCs w:val="1"/>
                <w:color w:val="1A6DBB"/>
              </w:rPr>
              <w:t>Are there other matters to be voted on at the</w:t>
            </w:r>
          </w:p>
        </w:tc>
        <w:tc>
          <w:tcPr>
            <w:tcW w:w="7500" w:type="dxa"/>
            <w:vAlign w:val="bottom"/>
            <w:shd w:val="clear" w:color="auto" w:fill="E8F0F8"/>
          </w:tcPr>
          <w:p>
            <w:pPr>
              <w:ind w:left="340"/>
              <w:spacing w:after="0"/>
              <w:rPr>
                <w:sz w:val="20"/>
                <w:szCs w:val="20"/>
                <w:color w:val="auto"/>
              </w:rPr>
            </w:pPr>
            <w:r>
              <w:rPr>
                <w:rFonts w:ascii="Arial" w:cs="Arial" w:eastAsia="Arial" w:hAnsi="Arial"/>
                <w:sz w:val="16"/>
                <w:szCs w:val="16"/>
                <w:color w:val="auto"/>
              </w:rPr>
              <w:t>We do not know of any other matters that may come before the Annual Meeting. If any other</w:t>
            </w:r>
          </w:p>
        </w:tc>
      </w:tr>
      <w:tr>
        <w:trPr>
          <w:trHeight w:val="209"/>
        </w:trPr>
        <w:tc>
          <w:tcPr>
            <w:tcW w:w="3540" w:type="dxa"/>
            <w:vAlign w:val="bottom"/>
            <w:gridSpan w:val="2"/>
          </w:tcPr>
          <w:p>
            <w:pPr>
              <w:spacing w:after="0"/>
              <w:rPr>
                <w:sz w:val="20"/>
                <w:szCs w:val="20"/>
                <w:color w:val="auto"/>
              </w:rPr>
            </w:pPr>
            <w:r>
              <w:rPr>
                <w:rFonts w:ascii="Arial" w:cs="Arial" w:eastAsia="Arial" w:hAnsi="Arial"/>
                <w:sz w:val="16"/>
                <w:szCs w:val="16"/>
                <w:b w:val="1"/>
                <w:bCs w:val="1"/>
                <w:i w:val="1"/>
                <w:iCs w:val="1"/>
                <w:color w:val="1A6DBB"/>
              </w:rPr>
              <w:t>Annual Meeting?</w:t>
            </w:r>
          </w:p>
        </w:tc>
        <w:tc>
          <w:tcPr>
            <w:tcW w:w="7500" w:type="dxa"/>
            <w:vAlign w:val="bottom"/>
            <w:shd w:val="clear" w:color="auto" w:fill="E8F0F8"/>
          </w:tcPr>
          <w:p>
            <w:pPr>
              <w:ind w:left="340"/>
              <w:spacing w:after="0"/>
              <w:rPr>
                <w:sz w:val="20"/>
                <w:szCs w:val="20"/>
                <w:color w:val="auto"/>
              </w:rPr>
            </w:pPr>
            <w:r>
              <w:rPr>
                <w:rFonts w:ascii="Arial" w:cs="Arial" w:eastAsia="Arial" w:hAnsi="Arial"/>
                <w:sz w:val="16"/>
                <w:szCs w:val="16"/>
                <w:color w:val="auto"/>
              </w:rPr>
              <w:t>matters are properly presented at the Annual Meeting, your proxy authorizes the individuals named</w:t>
            </w:r>
          </w:p>
        </w:tc>
      </w:tr>
      <w:tr>
        <w:trPr>
          <w:trHeight w:val="195"/>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7500" w:type="dxa"/>
            <w:vAlign w:val="bottom"/>
            <w:shd w:val="clear" w:color="auto" w:fill="E8F0F8"/>
          </w:tcPr>
          <w:p>
            <w:pPr>
              <w:ind w:left="340"/>
              <w:spacing w:after="0"/>
              <w:rPr>
                <w:sz w:val="20"/>
                <w:szCs w:val="20"/>
                <w:color w:val="auto"/>
              </w:rPr>
            </w:pPr>
            <w:r>
              <w:rPr>
                <w:rFonts w:ascii="Arial" w:cs="Arial" w:eastAsia="Arial" w:hAnsi="Arial"/>
                <w:sz w:val="16"/>
                <w:szCs w:val="16"/>
                <w:color w:val="auto"/>
              </w:rPr>
              <w:t>as proxies to vote, or otherwise act, in accordance with their best judgment.</w:t>
            </w:r>
          </w:p>
        </w:tc>
      </w:tr>
      <w:tr>
        <w:trPr>
          <w:trHeight w:val="87"/>
        </w:trPr>
        <w:tc>
          <w:tcPr>
            <w:tcW w:w="20" w:type="dxa"/>
            <w:vAlign w:val="bottom"/>
          </w:tcPr>
          <w:p>
            <w:pPr>
              <w:spacing w:after="0"/>
              <w:rPr>
                <w:sz w:val="7"/>
                <w:szCs w:val="7"/>
                <w:color w:val="auto"/>
              </w:rPr>
            </w:pPr>
          </w:p>
        </w:tc>
        <w:tc>
          <w:tcPr>
            <w:tcW w:w="3520" w:type="dxa"/>
            <w:vAlign w:val="bottom"/>
            <w:tcBorders>
              <w:bottom w:val="single" w:sz="8" w:color="1A6DBB"/>
            </w:tcBorders>
          </w:tcPr>
          <w:p>
            <w:pPr>
              <w:spacing w:after="0"/>
              <w:rPr>
                <w:sz w:val="7"/>
                <w:szCs w:val="7"/>
                <w:color w:val="auto"/>
              </w:rPr>
            </w:pPr>
          </w:p>
        </w:tc>
        <w:tc>
          <w:tcPr>
            <w:tcW w:w="7500" w:type="dxa"/>
            <w:vAlign w:val="bottom"/>
            <w:tcBorders>
              <w:bottom w:val="single" w:sz="8" w:color="1A6DBB"/>
            </w:tcBorders>
            <w:shd w:val="clear" w:color="auto" w:fill="E8F0F8"/>
          </w:tcPr>
          <w:p>
            <w:pPr>
              <w:spacing w:after="0"/>
              <w:rPr>
                <w:sz w:val="7"/>
                <w:szCs w:val="7"/>
                <w:color w:val="auto"/>
              </w:rPr>
            </w:pPr>
          </w:p>
        </w:tc>
      </w:tr>
      <w:tr>
        <w:trPr>
          <w:trHeight w:val="232"/>
        </w:trPr>
        <w:tc>
          <w:tcPr>
            <w:tcW w:w="3540" w:type="dxa"/>
            <w:vAlign w:val="bottom"/>
            <w:gridSpan w:val="2"/>
          </w:tcPr>
          <w:p>
            <w:pPr>
              <w:spacing w:after="0"/>
              <w:rPr>
                <w:sz w:val="20"/>
                <w:szCs w:val="20"/>
                <w:color w:val="auto"/>
              </w:rPr>
            </w:pPr>
            <w:r>
              <w:rPr>
                <w:rFonts w:ascii="Arial" w:cs="Arial" w:eastAsia="Arial" w:hAnsi="Arial"/>
                <w:sz w:val="16"/>
                <w:szCs w:val="16"/>
                <w:b w:val="1"/>
                <w:bCs w:val="1"/>
                <w:i w:val="1"/>
                <w:iCs w:val="1"/>
                <w:color w:val="1A6DBB"/>
              </w:rPr>
              <w:t>Why did I receive a one-page notice in the</w:t>
            </w:r>
          </w:p>
        </w:tc>
        <w:tc>
          <w:tcPr>
            <w:tcW w:w="7500" w:type="dxa"/>
            <w:vAlign w:val="bottom"/>
            <w:shd w:val="clear" w:color="auto" w:fill="E8F0F8"/>
          </w:tcPr>
          <w:p>
            <w:pPr>
              <w:ind w:left="340"/>
              <w:spacing w:after="0"/>
              <w:rPr>
                <w:sz w:val="20"/>
                <w:szCs w:val="20"/>
                <w:color w:val="auto"/>
              </w:rPr>
            </w:pPr>
            <w:r>
              <w:rPr>
                <w:rFonts w:ascii="Arial" w:cs="Arial" w:eastAsia="Arial" w:hAnsi="Arial"/>
                <w:sz w:val="16"/>
                <w:szCs w:val="16"/>
                <w:color w:val="auto"/>
              </w:rPr>
              <w:t>We have elected to provide access to our proxy materials on the Internet, consistent with the rules</w:t>
            </w:r>
          </w:p>
        </w:tc>
      </w:tr>
      <w:tr>
        <w:trPr>
          <w:trHeight w:val="189"/>
        </w:trPr>
        <w:tc>
          <w:tcPr>
            <w:tcW w:w="3540" w:type="dxa"/>
            <w:vAlign w:val="bottom"/>
            <w:gridSpan w:val="2"/>
          </w:tcPr>
          <w:p>
            <w:pPr>
              <w:spacing w:after="0"/>
              <w:rPr>
                <w:sz w:val="20"/>
                <w:szCs w:val="20"/>
                <w:color w:val="auto"/>
              </w:rPr>
            </w:pPr>
            <w:r>
              <w:rPr>
                <w:rFonts w:ascii="Arial" w:cs="Arial" w:eastAsia="Arial" w:hAnsi="Arial"/>
                <w:sz w:val="16"/>
                <w:szCs w:val="16"/>
                <w:b w:val="1"/>
                <w:bCs w:val="1"/>
                <w:i w:val="1"/>
                <w:iCs w:val="1"/>
                <w:color w:val="1A6DBB"/>
              </w:rPr>
              <w:t>mail regarding the Internet availability of</w:t>
            </w:r>
          </w:p>
        </w:tc>
        <w:tc>
          <w:tcPr>
            <w:tcW w:w="7500" w:type="dxa"/>
            <w:vAlign w:val="bottom"/>
            <w:shd w:val="clear" w:color="auto" w:fill="E8F0F8"/>
          </w:tcPr>
          <w:p>
            <w:pPr>
              <w:ind w:left="340"/>
              <w:spacing w:after="0"/>
              <w:rPr>
                <w:sz w:val="20"/>
                <w:szCs w:val="20"/>
                <w:color w:val="auto"/>
              </w:rPr>
            </w:pPr>
            <w:r>
              <w:rPr>
                <w:rFonts w:ascii="Arial" w:cs="Arial" w:eastAsia="Arial" w:hAnsi="Arial"/>
                <w:sz w:val="16"/>
                <w:szCs w:val="16"/>
                <w:color w:val="auto"/>
              </w:rPr>
              <w:t>of the SEC. Accordingly, in most instances we are mailing a Notice of Internet Availability of Proxy</w:t>
            </w:r>
          </w:p>
        </w:tc>
      </w:tr>
      <w:tr>
        <w:trPr>
          <w:trHeight w:val="189"/>
        </w:trPr>
        <w:tc>
          <w:tcPr>
            <w:tcW w:w="3540" w:type="dxa"/>
            <w:vAlign w:val="bottom"/>
            <w:gridSpan w:val="2"/>
          </w:tcPr>
          <w:p>
            <w:pPr>
              <w:spacing w:after="0"/>
              <w:rPr>
                <w:sz w:val="20"/>
                <w:szCs w:val="20"/>
                <w:color w:val="auto"/>
              </w:rPr>
            </w:pPr>
            <w:r>
              <w:rPr>
                <w:rFonts w:ascii="Arial" w:cs="Arial" w:eastAsia="Arial" w:hAnsi="Arial"/>
                <w:sz w:val="16"/>
                <w:szCs w:val="16"/>
                <w:b w:val="1"/>
                <w:bCs w:val="1"/>
                <w:i w:val="1"/>
                <w:iCs w:val="1"/>
                <w:color w:val="1A6DBB"/>
              </w:rPr>
              <w:t>proxy materials instead of a full set of proxy</w:t>
            </w:r>
          </w:p>
        </w:tc>
        <w:tc>
          <w:tcPr>
            <w:tcW w:w="7500" w:type="dxa"/>
            <w:vAlign w:val="bottom"/>
            <w:shd w:val="clear" w:color="auto" w:fill="E8F0F8"/>
          </w:tcPr>
          <w:p>
            <w:pPr>
              <w:ind w:left="340"/>
              <w:spacing w:after="0"/>
              <w:rPr>
                <w:sz w:val="20"/>
                <w:szCs w:val="20"/>
                <w:color w:val="auto"/>
              </w:rPr>
            </w:pPr>
            <w:r>
              <w:rPr>
                <w:rFonts w:ascii="Arial" w:cs="Arial" w:eastAsia="Arial" w:hAnsi="Arial"/>
                <w:sz w:val="16"/>
                <w:szCs w:val="16"/>
                <w:color w:val="auto"/>
              </w:rPr>
              <w:t>Materials to our stockholders. You can access our proxy materials on the website referred to in the</w:t>
            </w:r>
          </w:p>
        </w:tc>
      </w:tr>
      <w:tr>
        <w:trPr>
          <w:trHeight w:val="209"/>
        </w:trPr>
        <w:tc>
          <w:tcPr>
            <w:tcW w:w="3540" w:type="dxa"/>
            <w:vAlign w:val="bottom"/>
            <w:gridSpan w:val="2"/>
          </w:tcPr>
          <w:p>
            <w:pPr>
              <w:spacing w:after="0"/>
              <w:rPr>
                <w:sz w:val="20"/>
                <w:szCs w:val="20"/>
                <w:color w:val="auto"/>
              </w:rPr>
            </w:pPr>
            <w:r>
              <w:rPr>
                <w:rFonts w:ascii="Arial" w:cs="Arial" w:eastAsia="Arial" w:hAnsi="Arial"/>
                <w:sz w:val="16"/>
                <w:szCs w:val="16"/>
                <w:b w:val="1"/>
                <w:bCs w:val="1"/>
                <w:i w:val="1"/>
                <w:iCs w:val="1"/>
                <w:color w:val="1A6DBB"/>
              </w:rPr>
              <w:t>materials?</w:t>
            </w:r>
          </w:p>
        </w:tc>
        <w:tc>
          <w:tcPr>
            <w:tcW w:w="7500" w:type="dxa"/>
            <w:vAlign w:val="bottom"/>
            <w:shd w:val="clear" w:color="auto" w:fill="E8F0F8"/>
          </w:tcPr>
          <w:p>
            <w:pPr>
              <w:ind w:left="340"/>
              <w:spacing w:after="0"/>
              <w:rPr>
                <w:sz w:val="20"/>
                <w:szCs w:val="20"/>
                <w:color w:val="auto"/>
              </w:rPr>
            </w:pPr>
            <w:r>
              <w:rPr>
                <w:rFonts w:ascii="Arial" w:cs="Arial" w:eastAsia="Arial" w:hAnsi="Arial"/>
                <w:sz w:val="16"/>
                <w:szCs w:val="16"/>
                <w:color w:val="auto"/>
              </w:rPr>
              <w:t>Notice of Internet Availability of Proxy Materials or you may request printed versions of our proxy</w:t>
            </w:r>
          </w:p>
        </w:tc>
      </w:tr>
      <w:tr>
        <w:trPr>
          <w:trHeight w:val="189"/>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7500" w:type="dxa"/>
            <w:vAlign w:val="bottom"/>
            <w:shd w:val="clear" w:color="auto" w:fill="E8F0F8"/>
          </w:tcPr>
          <w:p>
            <w:pPr>
              <w:ind w:left="340"/>
              <w:spacing w:after="0"/>
              <w:rPr>
                <w:sz w:val="20"/>
                <w:szCs w:val="20"/>
                <w:color w:val="auto"/>
              </w:rPr>
            </w:pPr>
            <w:r>
              <w:rPr>
                <w:rFonts w:ascii="Arial" w:cs="Arial" w:eastAsia="Arial" w:hAnsi="Arial"/>
                <w:sz w:val="16"/>
                <w:szCs w:val="16"/>
                <w:color w:val="auto"/>
              </w:rPr>
              <w:t>materials for the Annual Meeting. In addition, you may request to receive proxy materials in printed</w:t>
            </w:r>
          </w:p>
        </w:tc>
      </w:tr>
      <w:tr>
        <w:trPr>
          <w:trHeight w:val="195"/>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7500" w:type="dxa"/>
            <w:vAlign w:val="bottom"/>
            <w:shd w:val="clear" w:color="auto" w:fill="E8F0F8"/>
          </w:tcPr>
          <w:p>
            <w:pPr>
              <w:ind w:left="340"/>
              <w:spacing w:after="0"/>
              <w:rPr>
                <w:sz w:val="20"/>
                <w:szCs w:val="20"/>
                <w:color w:val="auto"/>
              </w:rPr>
            </w:pPr>
            <w:r>
              <w:rPr>
                <w:rFonts w:ascii="Arial" w:cs="Arial" w:eastAsia="Arial" w:hAnsi="Arial"/>
                <w:sz w:val="16"/>
                <w:szCs w:val="16"/>
                <w:color w:val="auto"/>
              </w:rPr>
              <w:t>form by mail or electronically by email on an ongoing basis.</w:t>
            </w:r>
          </w:p>
        </w:tc>
      </w:tr>
      <w:tr>
        <w:trPr>
          <w:trHeight w:val="74"/>
        </w:trPr>
        <w:tc>
          <w:tcPr>
            <w:tcW w:w="20" w:type="dxa"/>
            <w:vAlign w:val="bottom"/>
          </w:tcPr>
          <w:p>
            <w:pPr>
              <w:spacing w:after="0"/>
              <w:rPr>
                <w:sz w:val="6"/>
                <w:szCs w:val="6"/>
                <w:color w:val="auto"/>
              </w:rPr>
            </w:pPr>
          </w:p>
        </w:tc>
        <w:tc>
          <w:tcPr>
            <w:tcW w:w="3520" w:type="dxa"/>
            <w:vAlign w:val="bottom"/>
            <w:tcBorders>
              <w:bottom w:val="single" w:sz="8" w:color="1A6DBB"/>
            </w:tcBorders>
          </w:tcPr>
          <w:p>
            <w:pPr>
              <w:spacing w:after="0"/>
              <w:rPr>
                <w:sz w:val="6"/>
                <w:szCs w:val="6"/>
                <w:color w:val="auto"/>
              </w:rPr>
            </w:pPr>
          </w:p>
        </w:tc>
        <w:tc>
          <w:tcPr>
            <w:tcW w:w="7500" w:type="dxa"/>
            <w:vAlign w:val="bottom"/>
            <w:tcBorders>
              <w:bottom w:val="single" w:sz="8" w:color="1A6DBB"/>
            </w:tcBorders>
            <w:shd w:val="clear" w:color="auto" w:fill="E8F0F8"/>
          </w:tcPr>
          <w:p>
            <w:pPr>
              <w:spacing w:after="0"/>
              <w:rPr>
                <w:sz w:val="6"/>
                <w:szCs w:val="6"/>
                <w:color w:val="auto"/>
              </w:rPr>
            </w:pPr>
          </w:p>
        </w:tc>
      </w:tr>
      <w:tr>
        <w:trPr>
          <w:trHeight w:val="325"/>
        </w:trPr>
        <w:tc>
          <w:tcPr>
            <w:tcW w:w="3540" w:type="dxa"/>
            <w:vAlign w:val="bottom"/>
            <w:gridSpan w:val="2"/>
          </w:tcPr>
          <w:p>
            <w:pPr>
              <w:ind w:left="180"/>
              <w:spacing w:after="0"/>
              <w:rPr>
                <w:sz w:val="20"/>
                <w:szCs w:val="20"/>
                <w:color w:val="auto"/>
              </w:rPr>
            </w:pPr>
            <w:r>
              <w:rPr>
                <w:rFonts w:ascii="Arial" w:cs="Arial" w:eastAsia="Arial" w:hAnsi="Arial"/>
                <w:sz w:val="12"/>
                <w:szCs w:val="12"/>
                <w:color w:val="1A6DBB"/>
              </w:rPr>
              <w:t>5</w:t>
            </w:r>
          </w:p>
        </w:tc>
        <w:tc>
          <w:tcPr>
            <w:tcW w:w="7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-3888740</wp:posOffset>
            </wp:positionV>
            <wp:extent cx="454533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545330" cy="8890"/>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-2842260</wp:posOffset>
            </wp:positionV>
            <wp:extent cx="454533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545330"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-123825</wp:posOffset>
            </wp:positionV>
            <wp:extent cx="660400"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60400" cy="154305"/>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-72390</wp:posOffset>
            </wp:positionV>
            <wp:extent cx="102870" cy="946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15"/>
        </w:numPr>
        <w:rPr>
          <w:rFonts w:ascii="Arial" w:cs="Arial" w:eastAsia="Arial" w:hAnsi="Arial"/>
          <w:sz w:val="90"/>
          <w:szCs w:val="90"/>
          <w:color w:val="1A6DBB"/>
        </w:rPr>
      </w:pPr>
      <w:r>
        <w:rPr>
          <w:rFonts w:ascii="Arial" w:cs="Arial" w:eastAsia="Arial" w:hAnsi="Arial"/>
          <w:sz w:val="41"/>
          <w:szCs w:val="41"/>
          <w:color w:val="1A6DBB"/>
        </w:rPr>
        <w:t xml:space="preserve">General Information About the Meeting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21183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7700" cy="211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520" w:type="dxa"/>
            <w:vAlign w:val="bottom"/>
            <w:shd w:val="clear" w:color="auto" w:fill="1A6DBB"/>
          </w:tcPr>
          <w:p>
            <w:pPr>
              <w:spacing w:after="0" w:line="20" w:lineRule="exact"/>
              <w:rPr>
                <w:sz w:val="1"/>
                <w:szCs w:val="1"/>
                <w:color w:val="auto"/>
              </w:rPr>
            </w:pPr>
          </w:p>
        </w:tc>
        <w:tc>
          <w:tcPr>
            <w:tcW w:w="7500" w:type="dxa"/>
            <w:vAlign w:val="bottom"/>
            <w:shd w:val="clear" w:color="auto" w:fill="1A6DBB"/>
          </w:tcPr>
          <w:p>
            <w:pPr>
              <w:spacing w:after="0" w:line="20" w:lineRule="exact"/>
              <w:rPr>
                <w:sz w:val="1"/>
                <w:szCs w:val="1"/>
                <w:color w:val="auto"/>
              </w:rPr>
            </w:pPr>
          </w:p>
        </w:tc>
      </w:tr>
      <w:tr>
        <w:trPr>
          <w:trHeight w:val="232"/>
        </w:trPr>
        <w:tc>
          <w:tcPr>
            <w:tcW w:w="3540" w:type="dxa"/>
            <w:vAlign w:val="bottom"/>
            <w:gridSpan w:val="2"/>
          </w:tcPr>
          <w:p>
            <w:pPr>
              <w:spacing w:after="0"/>
              <w:rPr>
                <w:sz w:val="20"/>
                <w:szCs w:val="20"/>
                <w:color w:val="auto"/>
              </w:rPr>
            </w:pPr>
            <w:r>
              <w:rPr>
                <w:rFonts w:ascii="Arial" w:cs="Arial" w:eastAsia="Arial" w:hAnsi="Arial"/>
                <w:sz w:val="16"/>
                <w:szCs w:val="16"/>
                <w:b w:val="1"/>
                <w:bCs w:val="1"/>
                <w:i w:val="1"/>
                <w:iCs w:val="1"/>
                <w:color w:val="1A6DBB"/>
              </w:rPr>
              <w:t>What does it mean if I receive more than one</w:t>
            </w:r>
          </w:p>
        </w:tc>
        <w:tc>
          <w:tcPr>
            <w:tcW w:w="7500" w:type="dxa"/>
            <w:vAlign w:val="bottom"/>
            <w:shd w:val="clear" w:color="auto" w:fill="E8F0F8"/>
          </w:tcPr>
          <w:p>
            <w:pPr>
              <w:ind w:left="320"/>
              <w:spacing w:after="0"/>
              <w:rPr>
                <w:sz w:val="20"/>
                <w:szCs w:val="20"/>
                <w:color w:val="auto"/>
              </w:rPr>
            </w:pPr>
            <w:r>
              <w:rPr>
                <w:rFonts w:ascii="Arial" w:cs="Arial" w:eastAsia="Arial" w:hAnsi="Arial"/>
                <w:sz w:val="16"/>
                <w:szCs w:val="16"/>
                <w:color w:val="auto"/>
              </w:rPr>
              <w:t>If you hold your shares in more than one account, you may receive a separate Notice of Internet</w:t>
            </w:r>
          </w:p>
        </w:tc>
      </w:tr>
      <w:tr>
        <w:trPr>
          <w:trHeight w:val="189"/>
        </w:trPr>
        <w:tc>
          <w:tcPr>
            <w:tcW w:w="3540" w:type="dxa"/>
            <w:vAlign w:val="bottom"/>
            <w:gridSpan w:val="2"/>
          </w:tcPr>
          <w:p>
            <w:pPr>
              <w:spacing w:after="0"/>
              <w:rPr>
                <w:sz w:val="20"/>
                <w:szCs w:val="20"/>
                <w:color w:val="auto"/>
              </w:rPr>
            </w:pPr>
            <w:r>
              <w:rPr>
                <w:rFonts w:ascii="Arial" w:cs="Arial" w:eastAsia="Arial" w:hAnsi="Arial"/>
                <w:sz w:val="16"/>
                <w:szCs w:val="16"/>
                <w:b w:val="1"/>
                <w:bCs w:val="1"/>
                <w:i w:val="1"/>
                <w:iCs w:val="1"/>
                <w:color w:val="1A6DBB"/>
              </w:rPr>
              <w:t>notice regarding the Internet availability of</w:t>
            </w:r>
          </w:p>
        </w:tc>
        <w:tc>
          <w:tcPr>
            <w:tcW w:w="7500" w:type="dxa"/>
            <w:vAlign w:val="bottom"/>
            <w:shd w:val="clear" w:color="auto" w:fill="E8F0F8"/>
          </w:tcPr>
          <w:p>
            <w:pPr>
              <w:ind w:left="320"/>
              <w:spacing w:after="0"/>
              <w:rPr>
                <w:sz w:val="20"/>
                <w:szCs w:val="20"/>
                <w:color w:val="auto"/>
              </w:rPr>
            </w:pPr>
            <w:r>
              <w:rPr>
                <w:rFonts w:ascii="Arial" w:cs="Arial" w:eastAsia="Arial" w:hAnsi="Arial"/>
                <w:sz w:val="16"/>
                <w:szCs w:val="16"/>
                <w:color w:val="auto"/>
              </w:rPr>
              <w:t>Availability of Proxy Materials or a separate set of printed proxy materials, including a separate</w:t>
            </w:r>
          </w:p>
        </w:tc>
      </w:tr>
      <w:tr>
        <w:trPr>
          <w:trHeight w:val="189"/>
        </w:trPr>
        <w:tc>
          <w:tcPr>
            <w:tcW w:w="3540" w:type="dxa"/>
            <w:vAlign w:val="bottom"/>
            <w:gridSpan w:val="2"/>
          </w:tcPr>
          <w:p>
            <w:pPr>
              <w:spacing w:after="0"/>
              <w:rPr>
                <w:sz w:val="20"/>
                <w:szCs w:val="20"/>
                <w:color w:val="auto"/>
              </w:rPr>
            </w:pPr>
            <w:r>
              <w:rPr>
                <w:rFonts w:ascii="Arial" w:cs="Arial" w:eastAsia="Arial" w:hAnsi="Arial"/>
                <w:sz w:val="16"/>
                <w:szCs w:val="16"/>
                <w:b w:val="1"/>
                <w:bCs w:val="1"/>
                <w:i w:val="1"/>
                <w:iCs w:val="1"/>
                <w:color w:val="1A6DBB"/>
              </w:rPr>
              <w:t>proxy materials or more than one set of</w:t>
            </w:r>
          </w:p>
        </w:tc>
        <w:tc>
          <w:tcPr>
            <w:tcW w:w="7500" w:type="dxa"/>
            <w:vAlign w:val="bottom"/>
            <w:shd w:val="clear" w:color="auto" w:fill="E8F0F8"/>
          </w:tcPr>
          <w:p>
            <w:pPr>
              <w:ind w:left="320"/>
              <w:spacing w:after="0"/>
              <w:rPr>
                <w:sz w:val="20"/>
                <w:szCs w:val="20"/>
                <w:color w:val="auto"/>
              </w:rPr>
            </w:pPr>
            <w:r>
              <w:rPr>
                <w:rFonts w:ascii="Arial" w:cs="Arial" w:eastAsia="Arial" w:hAnsi="Arial"/>
                <w:sz w:val="16"/>
                <w:szCs w:val="16"/>
                <w:color w:val="auto"/>
              </w:rPr>
              <w:t>proxy card or voting instruction form, for each account. To ensure that all of your shares are voted,</w:t>
            </w:r>
          </w:p>
        </w:tc>
      </w:tr>
      <w:tr>
        <w:trPr>
          <w:trHeight w:val="209"/>
        </w:trPr>
        <w:tc>
          <w:tcPr>
            <w:tcW w:w="3540" w:type="dxa"/>
            <w:vAlign w:val="bottom"/>
            <w:gridSpan w:val="2"/>
          </w:tcPr>
          <w:p>
            <w:pPr>
              <w:spacing w:after="0"/>
              <w:rPr>
                <w:sz w:val="20"/>
                <w:szCs w:val="20"/>
                <w:color w:val="auto"/>
              </w:rPr>
            </w:pPr>
            <w:r>
              <w:rPr>
                <w:rFonts w:ascii="Arial" w:cs="Arial" w:eastAsia="Arial" w:hAnsi="Arial"/>
                <w:sz w:val="16"/>
                <w:szCs w:val="16"/>
                <w:b w:val="1"/>
                <w:bCs w:val="1"/>
                <w:i w:val="1"/>
                <w:iCs w:val="1"/>
                <w:color w:val="1A6DBB"/>
              </w:rPr>
              <w:t>printed proxy materials?</w:t>
            </w:r>
          </w:p>
        </w:tc>
        <w:tc>
          <w:tcPr>
            <w:tcW w:w="7500" w:type="dxa"/>
            <w:vAlign w:val="bottom"/>
            <w:shd w:val="clear" w:color="auto" w:fill="E8F0F8"/>
          </w:tcPr>
          <w:p>
            <w:pPr>
              <w:ind w:left="320"/>
              <w:spacing w:after="0"/>
              <w:rPr>
                <w:sz w:val="20"/>
                <w:szCs w:val="20"/>
                <w:color w:val="auto"/>
              </w:rPr>
            </w:pPr>
            <w:r>
              <w:rPr>
                <w:rFonts w:ascii="Arial" w:cs="Arial" w:eastAsia="Arial" w:hAnsi="Arial"/>
                <w:sz w:val="16"/>
                <w:szCs w:val="16"/>
                <w:color w:val="auto"/>
              </w:rPr>
              <w:t>please vote by telephone or by Internet or sign, date and return a proxy card or voting instruction</w:t>
            </w:r>
          </w:p>
        </w:tc>
      </w:tr>
      <w:tr>
        <w:trPr>
          <w:trHeight w:val="195"/>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7500" w:type="dxa"/>
            <w:vAlign w:val="bottom"/>
            <w:shd w:val="clear" w:color="auto" w:fill="E8F0F8"/>
          </w:tcPr>
          <w:p>
            <w:pPr>
              <w:ind w:left="320"/>
              <w:spacing w:after="0"/>
              <w:rPr>
                <w:sz w:val="20"/>
                <w:szCs w:val="20"/>
                <w:color w:val="auto"/>
              </w:rPr>
            </w:pPr>
            <w:r>
              <w:rPr>
                <w:rFonts w:ascii="Arial" w:cs="Arial" w:eastAsia="Arial" w:hAnsi="Arial"/>
                <w:sz w:val="16"/>
                <w:szCs w:val="16"/>
                <w:color w:val="auto"/>
              </w:rPr>
              <w:t>form for each account.</w:t>
            </w:r>
          </w:p>
        </w:tc>
      </w:tr>
      <w:tr>
        <w:trPr>
          <w:trHeight w:val="74"/>
        </w:trPr>
        <w:tc>
          <w:tcPr>
            <w:tcW w:w="20" w:type="dxa"/>
            <w:vAlign w:val="bottom"/>
          </w:tcPr>
          <w:p>
            <w:pPr>
              <w:spacing w:after="0"/>
              <w:rPr>
                <w:sz w:val="6"/>
                <w:szCs w:val="6"/>
                <w:color w:val="auto"/>
              </w:rPr>
            </w:pPr>
          </w:p>
        </w:tc>
        <w:tc>
          <w:tcPr>
            <w:tcW w:w="3520" w:type="dxa"/>
            <w:vAlign w:val="bottom"/>
            <w:tcBorders>
              <w:bottom w:val="single" w:sz="8" w:color="1A6DBB"/>
            </w:tcBorders>
          </w:tcPr>
          <w:p>
            <w:pPr>
              <w:spacing w:after="0"/>
              <w:rPr>
                <w:sz w:val="6"/>
                <w:szCs w:val="6"/>
                <w:color w:val="auto"/>
              </w:rPr>
            </w:pPr>
          </w:p>
        </w:tc>
        <w:tc>
          <w:tcPr>
            <w:tcW w:w="7500" w:type="dxa"/>
            <w:vAlign w:val="bottom"/>
            <w:tcBorders>
              <w:bottom w:val="single" w:sz="8" w:color="1A6DBB"/>
            </w:tcBorders>
            <w:shd w:val="clear" w:color="auto" w:fill="E8F0F8"/>
          </w:tcPr>
          <w:p>
            <w:pPr>
              <w:spacing w:after="0"/>
              <w:rPr>
                <w:sz w:val="6"/>
                <w:szCs w:val="6"/>
                <w:color w:val="auto"/>
              </w:rPr>
            </w:pPr>
          </w:p>
        </w:tc>
      </w:tr>
      <w:tr>
        <w:trPr>
          <w:trHeight w:val="232"/>
        </w:trPr>
        <w:tc>
          <w:tcPr>
            <w:tcW w:w="3540" w:type="dxa"/>
            <w:vAlign w:val="bottom"/>
            <w:gridSpan w:val="2"/>
          </w:tcPr>
          <w:p>
            <w:pPr>
              <w:spacing w:after="0"/>
              <w:rPr>
                <w:sz w:val="20"/>
                <w:szCs w:val="20"/>
                <w:color w:val="auto"/>
              </w:rPr>
            </w:pPr>
            <w:r>
              <w:rPr>
                <w:rFonts w:ascii="Arial" w:cs="Arial" w:eastAsia="Arial" w:hAnsi="Arial"/>
                <w:sz w:val="16"/>
                <w:szCs w:val="16"/>
                <w:b w:val="1"/>
                <w:bCs w:val="1"/>
                <w:i w:val="1"/>
                <w:iCs w:val="1"/>
                <w:color w:val="1A6DBB"/>
              </w:rPr>
              <w:t>Where do I find the voting results of the</w:t>
            </w:r>
          </w:p>
        </w:tc>
        <w:tc>
          <w:tcPr>
            <w:tcW w:w="7500" w:type="dxa"/>
            <w:vAlign w:val="bottom"/>
          </w:tcPr>
          <w:p>
            <w:pPr>
              <w:ind w:left="320"/>
              <w:spacing w:after="0"/>
              <w:rPr>
                <w:sz w:val="20"/>
                <w:szCs w:val="20"/>
                <w:color w:val="auto"/>
              </w:rPr>
            </w:pPr>
            <w:r>
              <w:rPr>
                <w:rFonts w:ascii="Arial" w:cs="Arial" w:eastAsia="Arial" w:hAnsi="Arial"/>
                <w:sz w:val="16"/>
                <w:szCs w:val="16"/>
                <w:color w:val="auto"/>
              </w:rPr>
              <w:t>We will publish the voting results of the Annual Meeting in a Current Report on Form 8-K filed with</w:t>
            </w:r>
          </w:p>
        </w:tc>
      </w:tr>
      <w:tr>
        <w:trPr>
          <w:trHeight w:val="209"/>
        </w:trPr>
        <w:tc>
          <w:tcPr>
            <w:tcW w:w="3540" w:type="dxa"/>
            <w:vAlign w:val="bottom"/>
            <w:gridSpan w:val="2"/>
          </w:tcPr>
          <w:p>
            <w:pPr>
              <w:spacing w:after="0"/>
              <w:rPr>
                <w:sz w:val="20"/>
                <w:szCs w:val="20"/>
                <w:color w:val="auto"/>
              </w:rPr>
            </w:pPr>
            <w:r>
              <w:rPr>
                <w:rFonts w:ascii="Arial" w:cs="Arial" w:eastAsia="Arial" w:hAnsi="Arial"/>
                <w:sz w:val="16"/>
                <w:szCs w:val="16"/>
                <w:b w:val="1"/>
                <w:bCs w:val="1"/>
                <w:i w:val="1"/>
                <w:iCs w:val="1"/>
                <w:color w:val="1A6DBB"/>
              </w:rPr>
              <w:t>Annual Meeting?</w:t>
            </w:r>
          </w:p>
        </w:tc>
        <w:tc>
          <w:tcPr>
            <w:tcW w:w="7500" w:type="dxa"/>
            <w:vAlign w:val="bottom"/>
          </w:tcPr>
          <w:p>
            <w:pPr>
              <w:ind w:left="320"/>
              <w:spacing w:after="0"/>
              <w:rPr>
                <w:sz w:val="20"/>
                <w:szCs w:val="20"/>
                <w:color w:val="auto"/>
              </w:rPr>
            </w:pPr>
            <w:r>
              <w:rPr>
                <w:rFonts w:ascii="Arial" w:cs="Arial" w:eastAsia="Arial" w:hAnsi="Arial"/>
                <w:sz w:val="16"/>
                <w:szCs w:val="16"/>
                <w:color w:val="auto"/>
              </w:rPr>
              <w:t>the SEC within four business days after the end of the Annual Meeting. You may request a copy of</w:t>
            </w:r>
          </w:p>
        </w:tc>
      </w:tr>
      <w:tr>
        <w:trPr>
          <w:trHeight w:val="189"/>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7500" w:type="dxa"/>
            <w:vAlign w:val="bottom"/>
          </w:tcPr>
          <w:p>
            <w:pPr>
              <w:ind w:left="320"/>
              <w:spacing w:after="0"/>
              <w:rPr>
                <w:sz w:val="20"/>
                <w:szCs w:val="20"/>
                <w:color w:val="auto"/>
              </w:rPr>
            </w:pPr>
            <w:r>
              <w:rPr>
                <w:rFonts w:ascii="Arial" w:cs="Arial" w:eastAsia="Arial" w:hAnsi="Arial"/>
                <w:sz w:val="16"/>
                <w:szCs w:val="16"/>
                <w:color w:val="auto"/>
              </w:rPr>
              <w:t>this Form 8-K by contacting Investor Relations, Biogen Inc., 225 Binney Street, Cambridge,</w:t>
            </w:r>
          </w:p>
        </w:tc>
      </w:tr>
      <w:tr>
        <w:trPr>
          <w:trHeight w:val="173"/>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7500" w:type="dxa"/>
            <w:vAlign w:val="bottom"/>
          </w:tcPr>
          <w:p>
            <w:pPr>
              <w:ind w:left="320"/>
              <w:spacing w:after="0" w:line="173" w:lineRule="exact"/>
              <w:rPr>
                <w:sz w:val="20"/>
                <w:szCs w:val="20"/>
                <w:color w:val="auto"/>
              </w:rPr>
            </w:pPr>
            <w:r>
              <w:rPr>
                <w:rFonts w:ascii="Arial" w:cs="Arial" w:eastAsia="Arial" w:hAnsi="Arial"/>
                <w:sz w:val="16"/>
                <w:szCs w:val="16"/>
                <w:color w:val="auto"/>
              </w:rPr>
              <w:t>Massachusetts 02142, (781) 464-2442. You will also be able to find a copy of this Form 8-K on the</w:t>
            </w:r>
          </w:p>
        </w:tc>
      </w:tr>
      <w:tr>
        <w:trPr>
          <w:trHeight w:val="189"/>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7500" w:type="dxa"/>
            <w:vAlign w:val="bottom"/>
          </w:tcPr>
          <w:p>
            <w:pPr>
              <w:ind w:left="320"/>
              <w:spacing w:after="0"/>
              <w:rPr>
                <w:sz w:val="20"/>
                <w:szCs w:val="20"/>
                <w:color w:val="auto"/>
              </w:rPr>
            </w:pPr>
            <w:r>
              <w:rPr>
                <w:rFonts w:ascii="Arial" w:cs="Arial" w:eastAsia="Arial" w:hAnsi="Arial"/>
                <w:sz w:val="16"/>
                <w:szCs w:val="16"/>
                <w:color w:val="auto"/>
              </w:rPr>
              <w:t xml:space="preserve">Internet through the SEC’s electronic data system, called EDGAR,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or under the</w:t>
            </w:r>
          </w:p>
        </w:tc>
      </w:tr>
      <w:tr>
        <w:trPr>
          <w:trHeight w:val="211"/>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7500" w:type="dxa"/>
            <w:vAlign w:val="bottom"/>
          </w:tcPr>
          <w:p>
            <w:pPr>
              <w:ind w:left="320"/>
              <w:spacing w:after="0"/>
              <w:rPr>
                <w:sz w:val="20"/>
                <w:szCs w:val="20"/>
                <w:color w:val="auto"/>
              </w:rPr>
            </w:pPr>
            <w:r>
              <w:rPr>
                <w:rFonts w:ascii="Arial" w:cs="Arial" w:eastAsia="Arial" w:hAnsi="Arial"/>
                <w:sz w:val="16"/>
                <w:szCs w:val="16"/>
                <w:color w:val="auto"/>
              </w:rPr>
              <w:t xml:space="preserve">“Financials” subsection of the “Investors” section of our website, </w:t>
            </w:r>
            <w:r>
              <w:rPr>
                <w:rFonts w:ascii="Arial" w:cs="Arial" w:eastAsia="Arial" w:hAnsi="Arial"/>
                <w:sz w:val="16"/>
                <w:szCs w:val="16"/>
                <w:i w:val="1"/>
                <w:iCs w:val="1"/>
                <w:color w:val="auto"/>
              </w:rPr>
              <w:t>www.biogen.com.</w:t>
            </w:r>
          </w:p>
        </w:tc>
      </w:tr>
    </w:tbl>
    <w:p>
      <w:pPr>
        <w:spacing w:after="0" w:line="136" w:lineRule="exact"/>
        <w:rPr>
          <w:sz w:val="20"/>
          <w:szCs w:val="20"/>
          <w:color w:val="auto"/>
        </w:rPr>
      </w:pPr>
    </w:p>
    <w:p>
      <w:pPr>
        <w:sectPr>
          <w:pgSz w:w="11900" w:h="16838" w:orient="portrait"/>
          <w:cols w:equalWidth="0" w:num="1">
            <w:col w:w="11240"/>
          </w:cols>
          <w:pgMar w:left="240" w:top="459" w:right="419" w:bottom="1440" w:gutter="0" w:footer="0" w:header="0"/>
        </w:sectPr>
      </w:pPr>
    </w:p>
    <w:p>
      <w:pPr>
        <w:ind w:left="200"/>
        <w:spacing w:after="0"/>
        <w:rPr>
          <w:sz w:val="20"/>
          <w:szCs w:val="20"/>
          <w:color w:val="auto"/>
        </w:rPr>
      </w:pPr>
      <w:r>
        <w:rPr>
          <w:rFonts w:ascii="Arial" w:cs="Arial" w:eastAsia="Arial" w:hAnsi="Arial"/>
          <w:sz w:val="16"/>
          <w:szCs w:val="16"/>
          <w:b w:val="1"/>
          <w:bCs w:val="1"/>
          <w:i w:val="1"/>
          <w:iCs w:val="1"/>
          <w:color w:val="1A6DBB"/>
        </w:rPr>
        <w:t>Who should I call if I have any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409575</wp:posOffset>
            </wp:positionV>
            <wp:extent cx="660400"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6040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20"/>
        <w:spacing w:after="0" w:line="253" w:lineRule="auto"/>
        <w:rPr>
          <w:sz w:val="20"/>
          <w:szCs w:val="20"/>
          <w:color w:val="auto"/>
        </w:rPr>
      </w:pPr>
      <w:r>
        <w:rPr>
          <w:rFonts w:ascii="Arial" w:cs="Arial" w:eastAsia="Arial" w:hAnsi="Arial"/>
          <w:sz w:val="16"/>
          <w:szCs w:val="16"/>
          <w:color w:val="auto"/>
        </w:rPr>
        <w:t>If you have any questions or require any assistance with voting your shares, please contact the bank, broker or other nominee holding your shares, or our Investor Relations department at (781) 464-2442.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-2443480</wp:posOffset>
            </wp:positionH>
            <wp:positionV relativeFrom="paragraph">
              <wp:posOffset>49530</wp:posOffset>
            </wp:positionV>
            <wp:extent cx="6997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20" w:space="640"/>
            <w:col w:w="7180"/>
          </w:cols>
          <w:pgMar w:left="240" w:top="459" w:right="419" w:bottom="1440" w:gutter="0" w:footer="0" w:header="0"/>
          <w:type w:val="continuous"/>
        </w:sectPr>
      </w:pPr>
    </w:p>
    <w:p>
      <w:pPr>
        <w:spacing w:after="0" w:line="83" w:lineRule="exact"/>
        <w:rPr>
          <w:sz w:val="20"/>
          <w:szCs w:val="20"/>
          <w:color w:val="auto"/>
        </w:rPr>
      </w:pPr>
    </w:p>
    <w:p>
      <w:pPr>
        <w:ind w:left="380"/>
        <w:spacing w:after="0"/>
        <w:rPr>
          <w:sz w:val="20"/>
          <w:szCs w:val="20"/>
          <w:color w:val="auto"/>
        </w:rPr>
      </w:pPr>
      <w:r>
        <w:rPr>
          <w:rFonts w:ascii="Arial" w:cs="Arial" w:eastAsia="Arial" w:hAnsi="Arial"/>
          <w:sz w:val="9"/>
          <w:szCs w:val="9"/>
          <w:color w:val="1A6DBB"/>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7019925</wp:posOffset>
            </wp:positionH>
            <wp:positionV relativeFrom="paragraph">
              <wp:posOffset>-49530</wp:posOffset>
            </wp:positionV>
            <wp:extent cx="102870" cy="946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16"/>
        </w:numPr>
        <w:rPr>
          <w:rFonts w:ascii="Arial" w:cs="Arial" w:eastAsia="Arial" w:hAnsi="Arial"/>
          <w:sz w:val="90"/>
          <w:szCs w:val="90"/>
          <w:color w:val="1A6DBB"/>
        </w:rPr>
      </w:pPr>
      <w:r>
        <w:rPr>
          <w:rFonts w:ascii="Arial" w:cs="Arial" w:eastAsia="Arial" w:hAnsi="Arial"/>
          <w:sz w:val="41"/>
          <w:szCs w:val="41"/>
          <w:color w:val="1A6DBB"/>
        </w:rPr>
        <w:t>Corporate Governance at Biogen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1A6DBB"/>
        </w:rPr>
        <w:t>Corporate Governance Practices</w:t>
      </w:r>
    </w:p>
    <w:p>
      <w:pPr>
        <w:spacing w:after="0" w:line="128"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auto"/>
        </w:rPr>
        <w:t>We are committed to the highest standards of ethics, business integrity and corporate governance, which we believe will ensure that our company is managed for the long-term benefit of our stockholders. Our governance practices are designed to establish and preserve accountability of our Board of Directors and management, provide a structure that allows our Board to set objectives and monitor performance, ensure the efficient use and accountability of resources and enhance stockholder value. A description of our corporate governance highlights is set forth in the “Proxy Statement Summary” above.</w:t>
      </w:r>
    </w:p>
    <w:p>
      <w:pPr>
        <w:spacing w:after="0" w:line="99" w:lineRule="exact"/>
        <w:rPr>
          <w:sz w:val="20"/>
          <w:szCs w:val="20"/>
          <w:color w:val="auto"/>
        </w:rPr>
      </w:pPr>
    </w:p>
    <w:p>
      <w:pPr>
        <w:ind w:left="200" w:right="140"/>
        <w:spacing w:after="0" w:line="251" w:lineRule="auto"/>
        <w:rPr>
          <w:sz w:val="20"/>
          <w:szCs w:val="20"/>
          <w:color w:val="auto"/>
        </w:rPr>
      </w:pPr>
      <w:r>
        <w:rPr>
          <w:rFonts w:ascii="Arial" w:cs="Arial" w:eastAsia="Arial" w:hAnsi="Arial"/>
          <w:sz w:val="16"/>
          <w:szCs w:val="16"/>
          <w:color w:val="auto"/>
        </w:rPr>
        <w:t>We believe that our Board of Directors’ primary functions are to appoint, evaluate and hold accountable management, oversee key strategic, operational and compliance risks and ensure optimal capital allocation such that long-term stockholder value is maximized.</w:t>
      </w:r>
    </w:p>
    <w:p>
      <w:pPr>
        <w:spacing w:after="0" w:line="95" w:lineRule="exact"/>
        <w:rPr>
          <w:sz w:val="20"/>
          <w:szCs w:val="20"/>
          <w:color w:val="auto"/>
        </w:rPr>
      </w:pPr>
    </w:p>
    <w:p>
      <w:pPr>
        <w:ind w:left="200"/>
        <w:spacing w:after="0" w:line="249" w:lineRule="auto"/>
        <w:rPr>
          <w:sz w:val="20"/>
          <w:szCs w:val="20"/>
          <w:color w:val="auto"/>
        </w:rPr>
      </w:pPr>
      <w:r>
        <w:rPr>
          <w:rFonts w:ascii="Arial" w:cs="Arial" w:eastAsia="Arial" w:hAnsi="Arial"/>
          <w:sz w:val="16"/>
          <w:szCs w:val="16"/>
          <w:color w:val="auto"/>
        </w:rPr>
        <w:t>We believe part of effective corporate governance includes active engagement with our stockholders. We value the views of our stockholders and other stakeholders, and we communicate with them regularly and solicit input on a number of topics such as business strategy, capital allocation, corporate governance, executive compensation, sustainability and corporate social responsibility initiatives.</w:t>
      </w:r>
    </w:p>
    <w:p>
      <w:pPr>
        <w:spacing w:after="0" w:line="95" w:lineRule="exact"/>
        <w:rPr>
          <w:sz w:val="20"/>
          <w:szCs w:val="20"/>
          <w:color w:val="auto"/>
        </w:rPr>
      </w:pPr>
    </w:p>
    <w:p>
      <w:pPr>
        <w:ind w:left="460" w:right="20" w:hanging="256"/>
        <w:spacing w:after="0" w:line="250" w:lineRule="auto"/>
        <w:tabs>
          <w:tab w:leader="none" w:pos="460" w:val="left"/>
        </w:tabs>
        <w:numPr>
          <w:ilvl w:val="0"/>
          <w:numId w:val="17"/>
        </w:numPr>
        <w:rPr>
          <w:rFonts w:ascii="Arial" w:cs="Arial" w:eastAsia="Arial" w:hAnsi="Arial"/>
          <w:sz w:val="16"/>
          <w:szCs w:val="16"/>
          <w:color w:val="1A6DBB"/>
        </w:rPr>
      </w:pPr>
      <w:r>
        <w:rPr>
          <w:rFonts w:ascii="Arial" w:cs="Arial" w:eastAsia="Arial" w:hAnsi="Arial"/>
          <w:sz w:val="16"/>
          <w:szCs w:val="16"/>
          <w:i w:val="1"/>
          <w:iCs w:val="1"/>
          <w:color w:val="427F3D"/>
        </w:rPr>
        <w:t xml:space="preserve">Director Stockholder Engagement Initiative. </w:t>
      </w:r>
      <w:r>
        <w:rPr>
          <w:rFonts w:ascii="Arial" w:cs="Arial" w:eastAsia="Arial" w:hAnsi="Arial"/>
          <w:sz w:val="16"/>
          <w:szCs w:val="16"/>
          <w:color w:val="000000"/>
        </w:rPr>
        <w:t>Our Corporate</w:t>
      </w:r>
      <w:r>
        <w:rPr>
          <w:rFonts w:ascii="Arial" w:cs="Arial" w:eastAsia="Arial" w:hAnsi="Arial"/>
          <w:sz w:val="16"/>
          <w:szCs w:val="16"/>
          <w:i w:val="1"/>
          <w:iCs w:val="1"/>
          <w:color w:val="427F3D"/>
        </w:rPr>
        <w:t xml:space="preserve"> </w:t>
      </w:r>
      <w:r>
        <w:rPr>
          <w:rFonts w:ascii="Arial" w:cs="Arial" w:eastAsia="Arial" w:hAnsi="Arial"/>
          <w:sz w:val="16"/>
          <w:szCs w:val="16"/>
          <w:color w:val="000000"/>
        </w:rPr>
        <w:t>Governance Committee leads our Board of Directors’ efforts on director stockholder engagement and directs discussions with stockholders to the appropriate Board and committee members. During 2018 independent members of our Board of Directors met with several stockholders to discuss a variety of issues, including business strategy, capital allocation, corporate governance, executive compensation, sustainability and corporate social responsibility initiatives. We remain committed to investing time with our stockholders to increase transparency and better understand our stockholder base and their perspectives.</w:t>
      </w:r>
    </w:p>
    <w:p>
      <w:pPr>
        <w:spacing w:after="0" w:line="93" w:lineRule="exact"/>
        <w:rPr>
          <w:rFonts w:ascii="Arial" w:cs="Arial" w:eastAsia="Arial" w:hAnsi="Arial"/>
          <w:sz w:val="16"/>
          <w:szCs w:val="16"/>
          <w:color w:val="1A6DBB"/>
        </w:rPr>
      </w:pPr>
    </w:p>
    <w:p>
      <w:pPr>
        <w:ind w:left="460" w:right="100" w:hanging="256"/>
        <w:spacing w:after="0" w:line="250" w:lineRule="auto"/>
        <w:tabs>
          <w:tab w:leader="none" w:pos="460" w:val="left"/>
        </w:tabs>
        <w:numPr>
          <w:ilvl w:val="0"/>
          <w:numId w:val="17"/>
        </w:numPr>
        <w:rPr>
          <w:rFonts w:ascii="Arial" w:cs="Arial" w:eastAsia="Arial" w:hAnsi="Arial"/>
          <w:sz w:val="16"/>
          <w:szCs w:val="16"/>
          <w:color w:val="1A6DBB"/>
        </w:rPr>
      </w:pPr>
      <w:r>
        <w:rPr>
          <w:rFonts w:ascii="Arial" w:cs="Arial" w:eastAsia="Arial" w:hAnsi="Arial"/>
          <w:sz w:val="16"/>
          <w:szCs w:val="16"/>
          <w:i w:val="1"/>
          <w:iCs w:val="1"/>
          <w:color w:val="427F3D"/>
        </w:rPr>
        <w:t xml:space="preserve">Corporate Responsibility. </w:t>
      </w:r>
      <w:r>
        <w:rPr>
          <w:rFonts w:ascii="Arial" w:cs="Arial" w:eastAsia="Arial" w:hAnsi="Arial"/>
          <w:sz w:val="16"/>
          <w:szCs w:val="16"/>
          <w:color w:val="000000"/>
        </w:rPr>
        <w:t>Our passion for developing medicines that</w:t>
      </w:r>
      <w:r>
        <w:rPr>
          <w:rFonts w:ascii="Arial" w:cs="Arial" w:eastAsia="Arial" w:hAnsi="Arial"/>
          <w:sz w:val="16"/>
          <w:szCs w:val="16"/>
          <w:i w:val="1"/>
          <w:iCs w:val="1"/>
          <w:color w:val="427F3D"/>
        </w:rPr>
        <w:t xml:space="preserve"> </w:t>
      </w:r>
      <w:r>
        <w:rPr>
          <w:rFonts w:ascii="Arial" w:cs="Arial" w:eastAsia="Arial" w:hAnsi="Arial"/>
          <w:sz w:val="16"/>
          <w:szCs w:val="16"/>
          <w:color w:val="000000"/>
        </w:rPr>
        <w:t xml:space="preserve">make a meaningful difference in patients’ lives is reflected in our commitment to our global impact: citizenship, environmental sustainability, diversity and inclusion and other key initiatives. Our Corporate Citizenship Report is posted on our website, </w:t>
      </w:r>
      <w:r>
        <w:rPr>
          <w:rFonts w:ascii="Arial" w:cs="Arial" w:eastAsia="Arial" w:hAnsi="Arial"/>
          <w:sz w:val="16"/>
          <w:szCs w:val="16"/>
          <w:i w:val="1"/>
          <w:iCs w:val="1"/>
          <w:color w:val="000000"/>
        </w:rPr>
        <w:t>www.biogen.com</w:t>
      </w:r>
      <w:r>
        <w:rPr>
          <w:rFonts w:ascii="Arial" w:cs="Arial" w:eastAsia="Arial" w:hAnsi="Arial"/>
          <w:sz w:val="16"/>
          <w:szCs w:val="16"/>
          <w:color w:val="000000"/>
        </w:rPr>
        <w:t>, under the “Corporate Responsibility” subsection of</w:t>
      </w:r>
      <w:r>
        <w:rPr>
          <w:rFonts w:ascii="Arial" w:cs="Arial" w:eastAsia="Arial" w:hAnsi="Arial"/>
          <w:sz w:val="16"/>
          <w:szCs w:val="16"/>
          <w:i w:val="1"/>
          <w:iCs w:val="1"/>
          <w:color w:val="000000"/>
        </w:rPr>
        <w:t xml:space="preserve"> </w:t>
      </w:r>
      <w:r>
        <w:rPr>
          <w:rFonts w:ascii="Arial" w:cs="Arial" w:eastAsia="Arial" w:hAnsi="Arial"/>
          <w:sz w:val="16"/>
          <w:szCs w:val="16"/>
          <w:color w:val="000000"/>
        </w:rPr>
        <w:t>the “Corporate Social Responsibility” section of the website. We believe these efforts reflect the best interests of our patients, stakeholders and the communities in which we operate and serve. Our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172720</wp:posOffset>
            </wp:positionV>
            <wp:extent cx="66040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6040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60" w:right="360"/>
        <w:spacing w:after="0" w:line="251" w:lineRule="auto"/>
        <w:rPr>
          <w:sz w:val="20"/>
          <w:szCs w:val="20"/>
          <w:color w:val="auto"/>
        </w:rPr>
      </w:pPr>
      <w:r>
        <w:rPr>
          <w:rFonts w:ascii="Arial" w:cs="Arial" w:eastAsia="Arial" w:hAnsi="Arial"/>
          <w:sz w:val="16"/>
          <w:szCs w:val="16"/>
          <w:color w:val="auto"/>
        </w:rPr>
        <w:t>ship and sustainability commitments and performance have been recognized over the years, including the most recent acknowledgements noted in the executive summary section under “Compensation Discussion and Analysis” below.</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1A6DBB"/>
        </w:rPr>
        <w:t>Director Independence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A6DBB"/>
        </w:rPr>
        <w:t>Board of Directors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All of our directors and nominees for director, other than Michel Vounatsos, our Chief Executive Officer, satisfy the independence requirements of The Nasdaq Stock Market (Nasdaq).</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A6DBB"/>
        </w:rPr>
        <w:t>Committees</w:t>
      </w:r>
    </w:p>
    <w:p>
      <w:pPr>
        <w:spacing w:after="0" w:line="147" w:lineRule="exact"/>
        <w:rPr>
          <w:sz w:val="20"/>
          <w:szCs w:val="20"/>
          <w:color w:val="auto"/>
        </w:rPr>
      </w:pPr>
    </w:p>
    <w:p>
      <w:pPr>
        <w:ind w:left="260" w:right="780" w:hanging="256"/>
        <w:spacing w:after="0" w:line="260" w:lineRule="auto"/>
        <w:tabs>
          <w:tab w:leader="none" w:pos="260" w:val="left"/>
        </w:tabs>
        <w:numPr>
          <w:ilvl w:val="0"/>
          <w:numId w:val="18"/>
        </w:numPr>
        <w:rPr>
          <w:rFonts w:ascii="Arial" w:cs="Arial" w:eastAsia="Arial" w:hAnsi="Arial"/>
          <w:sz w:val="16"/>
          <w:szCs w:val="16"/>
          <w:color w:val="1A6DBB"/>
        </w:rPr>
      </w:pPr>
      <w:r>
        <w:rPr>
          <w:rFonts w:ascii="Arial" w:cs="Arial" w:eastAsia="Arial" w:hAnsi="Arial"/>
          <w:sz w:val="16"/>
          <w:szCs w:val="16"/>
          <w:color w:val="auto"/>
        </w:rPr>
        <w:t>All members of the committees of our Board of Directors are independent directors, as defined by Nasdaq rules.</w:t>
      </w:r>
    </w:p>
    <w:p>
      <w:pPr>
        <w:spacing w:after="0" w:line="101" w:lineRule="exact"/>
        <w:rPr>
          <w:rFonts w:ascii="Arial" w:cs="Arial" w:eastAsia="Arial" w:hAnsi="Arial"/>
          <w:sz w:val="16"/>
          <w:szCs w:val="16"/>
          <w:color w:val="1A6DBB"/>
        </w:rPr>
      </w:pPr>
    </w:p>
    <w:p>
      <w:pPr>
        <w:ind w:left="260" w:right="380" w:hanging="256"/>
        <w:spacing w:after="0" w:line="253" w:lineRule="auto"/>
        <w:tabs>
          <w:tab w:leader="none" w:pos="260" w:val="left"/>
        </w:tabs>
        <w:numPr>
          <w:ilvl w:val="0"/>
          <w:numId w:val="18"/>
        </w:numPr>
        <w:rPr>
          <w:rFonts w:ascii="Arial" w:cs="Arial" w:eastAsia="Arial" w:hAnsi="Arial"/>
          <w:sz w:val="16"/>
          <w:szCs w:val="16"/>
          <w:color w:val="1A6DBB"/>
        </w:rPr>
      </w:pPr>
      <w:r>
        <w:rPr>
          <w:rFonts w:ascii="Arial" w:cs="Arial" w:eastAsia="Arial" w:hAnsi="Arial"/>
          <w:sz w:val="16"/>
          <w:szCs w:val="16"/>
          <w:color w:val="auto"/>
        </w:rPr>
        <w:t>All members of our Audit Committee meet the additional SEC and Nasdaq independence and experience requirements applicable specifically to audit committee members.</w:t>
      </w:r>
    </w:p>
    <w:p>
      <w:pPr>
        <w:spacing w:after="0" w:line="106" w:lineRule="exact"/>
        <w:rPr>
          <w:rFonts w:ascii="Arial" w:cs="Arial" w:eastAsia="Arial" w:hAnsi="Arial"/>
          <w:sz w:val="16"/>
          <w:szCs w:val="16"/>
          <w:color w:val="1A6DBB"/>
        </w:rPr>
      </w:pPr>
    </w:p>
    <w:p>
      <w:pPr>
        <w:ind w:left="260" w:right="100" w:hanging="256"/>
        <w:spacing w:after="0" w:line="249" w:lineRule="auto"/>
        <w:tabs>
          <w:tab w:leader="none" w:pos="260" w:val="left"/>
        </w:tabs>
        <w:numPr>
          <w:ilvl w:val="0"/>
          <w:numId w:val="18"/>
        </w:numPr>
        <w:rPr>
          <w:rFonts w:ascii="Arial" w:cs="Arial" w:eastAsia="Arial" w:hAnsi="Arial"/>
          <w:sz w:val="16"/>
          <w:szCs w:val="16"/>
          <w:color w:val="1A6DBB"/>
        </w:rPr>
      </w:pPr>
      <w:r>
        <w:rPr>
          <w:rFonts w:ascii="Arial" w:cs="Arial" w:eastAsia="Arial" w:hAnsi="Arial"/>
          <w:sz w:val="16"/>
          <w:szCs w:val="16"/>
          <w:color w:val="auto"/>
        </w:rPr>
        <w:t>All members of our C&amp;MD Committee are non-employee directors within the meaning of the rules under Section 16 of the Securities Exchange Act of 1934, as amended (Exchange Act), and our Board of Directors has affirmatively determined that the members of our C&amp;MD Committee satisfy the additional Nasdaq independence requirements specifically applicable to compensation committee members.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A6DBB"/>
        </w:rPr>
        <w:t>Leadership Structure</w:t>
      </w:r>
    </w:p>
    <w:p>
      <w:pPr>
        <w:spacing w:after="0" w:line="133" w:lineRule="exact"/>
        <w:rPr>
          <w:sz w:val="20"/>
          <w:szCs w:val="20"/>
          <w:color w:val="auto"/>
        </w:rPr>
      </w:pPr>
    </w:p>
    <w:p>
      <w:pPr>
        <w:jc w:val="both"/>
        <w:ind w:right="220"/>
        <w:spacing w:after="0" w:line="253" w:lineRule="auto"/>
        <w:rPr>
          <w:sz w:val="20"/>
          <w:szCs w:val="20"/>
          <w:color w:val="auto"/>
        </w:rPr>
      </w:pPr>
      <w:r>
        <w:rPr>
          <w:rFonts w:ascii="Arial" w:cs="Arial" w:eastAsia="Arial" w:hAnsi="Arial"/>
          <w:sz w:val="16"/>
          <w:szCs w:val="16"/>
          <w:color w:val="auto"/>
        </w:rPr>
        <w:t>We separate the roles of Chairman of the Board of Directors and Chief Executive Officer. Stelios Papadopoulos, an independent director, is the Chairman of our Board. Among other responsibilities, our Chairman:</w:t>
      </w:r>
    </w:p>
    <w:p>
      <w:pPr>
        <w:spacing w:after="0" w:line="107" w:lineRule="exact"/>
        <w:rPr>
          <w:sz w:val="20"/>
          <w:szCs w:val="20"/>
          <w:color w:val="auto"/>
        </w:rPr>
      </w:pPr>
    </w:p>
    <w:p>
      <w:pPr>
        <w:ind w:left="260" w:right="160" w:hanging="256"/>
        <w:spacing w:after="0" w:line="260" w:lineRule="auto"/>
        <w:tabs>
          <w:tab w:leader="none" w:pos="260" w:val="left"/>
        </w:tabs>
        <w:numPr>
          <w:ilvl w:val="0"/>
          <w:numId w:val="19"/>
        </w:numPr>
        <w:rPr>
          <w:rFonts w:ascii="Arial" w:cs="Arial" w:eastAsia="Arial" w:hAnsi="Arial"/>
          <w:sz w:val="16"/>
          <w:szCs w:val="16"/>
          <w:color w:val="1A6DBB"/>
        </w:rPr>
      </w:pPr>
      <w:r>
        <w:rPr>
          <w:rFonts w:ascii="Arial" w:cs="Arial" w:eastAsia="Arial" w:hAnsi="Arial"/>
          <w:sz w:val="16"/>
          <w:szCs w:val="16"/>
          <w:color w:val="auto"/>
        </w:rPr>
        <w:t>presides at meetings of our Board of Directors, executive sessions of our independent directors and our annual meetings of stockholders;</w:t>
      </w:r>
    </w:p>
    <w:p>
      <w:pPr>
        <w:spacing w:after="0" w:line="101" w:lineRule="exact"/>
        <w:rPr>
          <w:rFonts w:ascii="Arial" w:cs="Arial" w:eastAsia="Arial" w:hAnsi="Arial"/>
          <w:sz w:val="16"/>
          <w:szCs w:val="16"/>
          <w:color w:val="1A6DBB"/>
        </w:rPr>
      </w:pPr>
    </w:p>
    <w:p>
      <w:pPr>
        <w:ind w:left="260" w:right="80" w:hanging="256"/>
        <w:spacing w:after="0" w:line="260" w:lineRule="auto"/>
        <w:tabs>
          <w:tab w:leader="none" w:pos="260" w:val="left"/>
        </w:tabs>
        <w:numPr>
          <w:ilvl w:val="0"/>
          <w:numId w:val="19"/>
        </w:numPr>
        <w:rPr>
          <w:rFonts w:ascii="Arial" w:cs="Arial" w:eastAsia="Arial" w:hAnsi="Arial"/>
          <w:sz w:val="16"/>
          <w:szCs w:val="16"/>
          <w:color w:val="1A6DBB"/>
        </w:rPr>
      </w:pPr>
      <w:r>
        <w:rPr>
          <w:rFonts w:ascii="Arial" w:cs="Arial" w:eastAsia="Arial" w:hAnsi="Arial"/>
          <w:sz w:val="16"/>
          <w:szCs w:val="16"/>
          <w:color w:val="auto"/>
        </w:rPr>
        <w:t>reviews and assists in setting the agenda and schedule for our Board of Directors meetings in collaboration with our Chief Executive Officer;</w:t>
      </w:r>
    </w:p>
    <w:p>
      <w:pPr>
        <w:spacing w:after="0" w:line="101" w:lineRule="exact"/>
        <w:rPr>
          <w:rFonts w:ascii="Arial" w:cs="Arial" w:eastAsia="Arial" w:hAnsi="Arial"/>
          <w:sz w:val="16"/>
          <w:szCs w:val="16"/>
          <w:color w:val="1A6DBB"/>
        </w:rPr>
      </w:pPr>
    </w:p>
    <w:p>
      <w:pPr>
        <w:ind w:left="260" w:right="320" w:hanging="256"/>
        <w:spacing w:after="0" w:line="260" w:lineRule="auto"/>
        <w:tabs>
          <w:tab w:leader="none" w:pos="260" w:val="left"/>
        </w:tabs>
        <w:numPr>
          <w:ilvl w:val="0"/>
          <w:numId w:val="19"/>
        </w:numPr>
        <w:rPr>
          <w:rFonts w:ascii="Arial" w:cs="Arial" w:eastAsia="Arial" w:hAnsi="Arial"/>
          <w:sz w:val="16"/>
          <w:szCs w:val="16"/>
          <w:color w:val="1A6DBB"/>
        </w:rPr>
      </w:pPr>
      <w:r>
        <w:rPr>
          <w:rFonts w:ascii="Arial" w:cs="Arial" w:eastAsia="Arial" w:hAnsi="Arial"/>
          <w:sz w:val="16"/>
          <w:szCs w:val="16"/>
          <w:color w:val="auto"/>
        </w:rPr>
        <w:t>advises the committee chairs in fulfilling their responsibilities to our Board of Directors;</w:t>
      </w:r>
    </w:p>
    <w:p>
      <w:pPr>
        <w:spacing w:after="0" w:line="101" w:lineRule="exact"/>
        <w:rPr>
          <w:rFonts w:ascii="Arial" w:cs="Arial" w:eastAsia="Arial" w:hAnsi="Arial"/>
          <w:sz w:val="16"/>
          <w:szCs w:val="16"/>
          <w:color w:val="1A6DBB"/>
        </w:rPr>
      </w:pPr>
    </w:p>
    <w:p>
      <w:pPr>
        <w:ind w:left="260" w:right="280" w:hanging="256"/>
        <w:spacing w:after="0" w:line="260" w:lineRule="auto"/>
        <w:tabs>
          <w:tab w:leader="none" w:pos="260" w:val="left"/>
        </w:tabs>
        <w:numPr>
          <w:ilvl w:val="0"/>
          <w:numId w:val="19"/>
        </w:numPr>
        <w:rPr>
          <w:rFonts w:ascii="Arial" w:cs="Arial" w:eastAsia="Arial" w:hAnsi="Arial"/>
          <w:sz w:val="16"/>
          <w:szCs w:val="16"/>
          <w:color w:val="1A6DBB"/>
        </w:rPr>
      </w:pPr>
      <w:r>
        <w:rPr>
          <w:rFonts w:ascii="Arial" w:cs="Arial" w:eastAsia="Arial" w:hAnsi="Arial"/>
          <w:sz w:val="16"/>
          <w:szCs w:val="16"/>
          <w:color w:val="auto"/>
        </w:rPr>
        <w:t>recommends to our Board of Directors the retention of any advisors who report directly to our Board of Directors;</w:t>
      </w:r>
    </w:p>
    <w:p>
      <w:pPr>
        <w:spacing w:after="0" w:line="553" w:lineRule="exact"/>
        <w:rPr>
          <w:sz w:val="20"/>
          <w:szCs w:val="20"/>
          <w:color w:val="auto"/>
        </w:rPr>
      </w:pPr>
    </w:p>
    <w:p>
      <w:pPr>
        <w:sectPr>
          <w:pgSz w:w="11900" w:h="16838" w:orient="portrait"/>
          <w:cols w:equalWidth="0" w:num="2">
            <w:col w:w="5480" w:space="340"/>
            <w:col w:w="5360"/>
          </w:cols>
          <w:pgMar w:left="240" w:top="459" w:right="479" w:bottom="1440" w:gutter="0" w:footer="0" w:header="0"/>
          <w:type w:val="continuous"/>
        </w:sectPr>
      </w:pPr>
    </w:p>
    <w:p>
      <w:pPr>
        <w:spacing w:after="0" w:line="115" w:lineRule="exact"/>
        <w:rPr>
          <w:sz w:val="20"/>
          <w:szCs w:val="20"/>
          <w:color w:val="auto"/>
        </w:rPr>
      </w:pPr>
    </w:p>
    <w:p>
      <w:pPr>
        <w:ind w:left="380"/>
        <w:spacing w:after="0"/>
        <w:rPr>
          <w:sz w:val="20"/>
          <w:szCs w:val="20"/>
          <w:color w:val="auto"/>
        </w:rPr>
      </w:pPr>
      <w:r>
        <w:rPr>
          <w:rFonts w:ascii="Arial" w:cs="Arial" w:eastAsia="Arial" w:hAnsi="Arial"/>
          <w:sz w:val="9"/>
          <w:szCs w:val="9"/>
          <w:color w:val="1A6DBB"/>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7019925</wp:posOffset>
            </wp:positionH>
            <wp:positionV relativeFrom="paragraph">
              <wp:posOffset>-40640</wp:posOffset>
            </wp:positionV>
            <wp:extent cx="102870" cy="946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20"/>
        </w:numPr>
        <w:rPr>
          <w:rFonts w:ascii="Arial" w:cs="Arial" w:eastAsia="Arial" w:hAnsi="Arial"/>
          <w:sz w:val="90"/>
          <w:szCs w:val="90"/>
          <w:color w:val="1A6DBB"/>
        </w:rPr>
      </w:pPr>
      <w:r>
        <w:rPr>
          <w:rFonts w:ascii="Arial" w:cs="Arial" w:eastAsia="Arial" w:hAnsi="Arial"/>
          <w:sz w:val="41"/>
          <w:szCs w:val="41"/>
          <w:color w:val="1A6DBB"/>
        </w:rPr>
        <w:t xml:space="preserve">Corporate Governance at Biogen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5460" w:type="dxa"/>
            <w:vAlign w:val="bottom"/>
          </w:tcPr>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serves as a liaison for stockholder communications with our Board of</w:t>
            </w:r>
          </w:p>
        </w:tc>
        <w:tc>
          <w:tcPr>
            <w:tcW w:w="5560" w:type="dxa"/>
            <w:vAlign w:val="bottom"/>
          </w:tcPr>
          <w:p>
            <w:pPr>
              <w:ind w:left="420"/>
              <w:spacing w:after="0"/>
              <w:rPr>
                <w:sz w:val="20"/>
                <w:szCs w:val="20"/>
                <w:color w:val="auto"/>
              </w:rPr>
            </w:pPr>
            <w:r>
              <w:rPr>
                <w:rFonts w:ascii="Arial" w:cs="Arial" w:eastAsia="Arial" w:hAnsi="Arial"/>
                <w:sz w:val="16"/>
                <w:szCs w:val="16"/>
                <w:color w:val="auto"/>
              </w:rPr>
              <w:t>ing. To nominate a director for consideration at an annual meeting, a</w:t>
            </w:r>
          </w:p>
        </w:tc>
        <w:tc>
          <w:tcPr>
            <w:tcW w:w="0" w:type="dxa"/>
            <w:vAlign w:val="bottom"/>
          </w:tcPr>
          <w:p>
            <w:pPr>
              <w:spacing w:after="0"/>
              <w:rPr>
                <w:sz w:val="1"/>
                <w:szCs w:val="1"/>
                <w:color w:val="auto"/>
              </w:rPr>
            </w:pPr>
          </w:p>
        </w:tc>
      </w:tr>
      <w:tr>
        <w:trPr>
          <w:trHeight w:val="189"/>
        </w:trPr>
        <w:tc>
          <w:tcPr>
            <w:tcW w:w="5460" w:type="dxa"/>
            <w:vAlign w:val="bottom"/>
          </w:tcPr>
          <w:p>
            <w:pPr>
              <w:ind w:left="260"/>
              <w:spacing w:after="0"/>
              <w:rPr>
                <w:sz w:val="20"/>
                <w:szCs w:val="20"/>
                <w:color w:val="auto"/>
              </w:rPr>
            </w:pPr>
            <w:r>
              <w:rPr>
                <w:rFonts w:ascii="Arial" w:cs="Arial" w:eastAsia="Arial" w:hAnsi="Arial"/>
                <w:sz w:val="16"/>
                <w:szCs w:val="16"/>
                <w:color w:val="auto"/>
              </w:rPr>
              <w:t>Directors;</w:t>
            </w:r>
          </w:p>
        </w:tc>
        <w:tc>
          <w:tcPr>
            <w:tcW w:w="5560" w:type="dxa"/>
            <w:vAlign w:val="bottom"/>
          </w:tcPr>
          <w:p>
            <w:pPr>
              <w:ind w:left="420"/>
              <w:spacing w:after="0"/>
              <w:rPr>
                <w:sz w:val="20"/>
                <w:szCs w:val="20"/>
                <w:color w:val="auto"/>
              </w:rPr>
            </w:pPr>
            <w:r>
              <w:rPr>
                <w:rFonts w:ascii="Arial" w:cs="Arial" w:eastAsia="Arial" w:hAnsi="Arial"/>
                <w:sz w:val="16"/>
                <w:szCs w:val="16"/>
                <w:color w:val="auto"/>
              </w:rPr>
              <w:t>nominating stockholder must provide the information required by our</w:t>
            </w:r>
          </w:p>
        </w:tc>
        <w:tc>
          <w:tcPr>
            <w:tcW w:w="0" w:type="dxa"/>
            <w:vAlign w:val="bottom"/>
          </w:tcPr>
          <w:p>
            <w:pPr>
              <w:spacing w:after="0"/>
              <w:rPr>
                <w:sz w:val="1"/>
                <w:szCs w:val="1"/>
                <w:color w:val="auto"/>
              </w:rPr>
            </w:pPr>
          </w:p>
        </w:tc>
      </w:tr>
      <w:tr>
        <w:trPr>
          <w:trHeight w:val="189"/>
        </w:trPr>
        <w:tc>
          <w:tcPr>
            <w:tcW w:w="5460" w:type="dxa"/>
            <w:vAlign w:val="bottom"/>
            <w:vMerge w:val="restart"/>
          </w:tcPr>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leads the process of evaluating our Chief Executive Officer; and</w:t>
            </w:r>
          </w:p>
        </w:tc>
        <w:tc>
          <w:tcPr>
            <w:tcW w:w="5560" w:type="dxa"/>
            <w:vAlign w:val="bottom"/>
          </w:tcPr>
          <w:p>
            <w:pPr>
              <w:ind w:left="420"/>
              <w:spacing w:after="0"/>
              <w:rPr>
                <w:sz w:val="20"/>
                <w:szCs w:val="20"/>
                <w:color w:val="auto"/>
              </w:rPr>
            </w:pPr>
            <w:r>
              <w:rPr>
                <w:rFonts w:ascii="Arial" w:cs="Arial" w:eastAsia="Arial" w:hAnsi="Arial"/>
                <w:sz w:val="16"/>
                <w:szCs w:val="16"/>
                <w:color w:val="auto"/>
              </w:rPr>
              <w:t>Bylaws and give timely notice of the nomination to our Secretary in</w:t>
            </w:r>
          </w:p>
        </w:tc>
        <w:tc>
          <w:tcPr>
            <w:tcW w:w="0" w:type="dxa"/>
            <w:vAlign w:val="bottom"/>
          </w:tcPr>
          <w:p>
            <w:pPr>
              <w:spacing w:after="0"/>
              <w:rPr>
                <w:sz w:val="1"/>
                <w:szCs w:val="1"/>
                <w:color w:val="auto"/>
              </w:rPr>
            </w:pPr>
          </w:p>
        </w:tc>
      </w:tr>
      <w:tr>
        <w:trPr>
          <w:trHeight w:val="127"/>
        </w:trPr>
        <w:tc>
          <w:tcPr>
            <w:tcW w:w="5460" w:type="dxa"/>
            <w:vAlign w:val="bottom"/>
            <w:vMerge w:val="continue"/>
          </w:tcPr>
          <w:p>
            <w:pPr>
              <w:spacing w:after="0"/>
              <w:rPr>
                <w:sz w:val="11"/>
                <w:szCs w:val="11"/>
                <w:color w:val="auto"/>
              </w:rPr>
            </w:pPr>
          </w:p>
        </w:tc>
        <w:tc>
          <w:tcPr>
            <w:tcW w:w="5560" w:type="dxa"/>
            <w:vAlign w:val="bottom"/>
            <w:vMerge w:val="restart"/>
          </w:tcPr>
          <w:p>
            <w:pPr>
              <w:ind w:left="420"/>
              <w:spacing w:after="0"/>
              <w:rPr>
                <w:sz w:val="20"/>
                <w:szCs w:val="20"/>
                <w:color w:val="auto"/>
              </w:rPr>
            </w:pPr>
            <w:r>
              <w:rPr>
                <w:rFonts w:ascii="Arial" w:cs="Arial" w:eastAsia="Arial" w:hAnsi="Arial"/>
                <w:sz w:val="16"/>
                <w:szCs w:val="16"/>
                <w:color w:val="auto"/>
              </w:rPr>
              <w:t>accordance with our Bylaws, and each nominee must meet the</w:t>
            </w:r>
          </w:p>
        </w:tc>
        <w:tc>
          <w:tcPr>
            <w:tcW w:w="0" w:type="dxa"/>
            <w:vAlign w:val="bottom"/>
          </w:tcPr>
          <w:p>
            <w:pPr>
              <w:spacing w:after="0"/>
              <w:rPr>
                <w:sz w:val="1"/>
                <w:szCs w:val="1"/>
                <w:color w:val="auto"/>
              </w:rPr>
            </w:pPr>
          </w:p>
        </w:tc>
      </w:tr>
      <w:tr>
        <w:trPr>
          <w:trHeight w:val="62"/>
        </w:trPr>
        <w:tc>
          <w:tcPr>
            <w:tcW w:w="5460" w:type="dxa"/>
            <w:vAlign w:val="bottom"/>
          </w:tcPr>
          <w:p>
            <w:pPr>
              <w:spacing w:after="0"/>
              <w:rPr>
                <w:sz w:val="5"/>
                <w:szCs w:val="5"/>
                <w:color w:val="auto"/>
              </w:rPr>
            </w:pPr>
          </w:p>
        </w:tc>
        <w:tc>
          <w:tcPr>
            <w:tcW w:w="5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460" w:type="dxa"/>
            <w:vAlign w:val="bottom"/>
            <w:vMerge w:val="restart"/>
          </w:tcPr>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discharges such other responsibilities as our Board of Directors may</w:t>
            </w:r>
          </w:p>
        </w:tc>
        <w:tc>
          <w:tcPr>
            <w:tcW w:w="5560" w:type="dxa"/>
            <w:vAlign w:val="bottom"/>
          </w:tcPr>
          <w:p>
            <w:pPr>
              <w:ind w:left="420"/>
              <w:spacing w:after="0"/>
              <w:rPr>
                <w:sz w:val="20"/>
                <w:szCs w:val="20"/>
                <w:color w:val="auto"/>
              </w:rPr>
            </w:pPr>
            <w:r>
              <w:rPr>
                <w:rFonts w:ascii="Arial" w:cs="Arial" w:eastAsia="Arial" w:hAnsi="Arial"/>
                <w:sz w:val="16"/>
                <w:szCs w:val="16"/>
                <w:color w:val="auto"/>
              </w:rPr>
              <w:t>qualifications required by our Bylaws. To nominate a director for</w:t>
            </w:r>
          </w:p>
        </w:tc>
        <w:tc>
          <w:tcPr>
            <w:tcW w:w="0" w:type="dxa"/>
            <w:vAlign w:val="bottom"/>
          </w:tcPr>
          <w:p>
            <w:pPr>
              <w:spacing w:after="0"/>
              <w:rPr>
                <w:sz w:val="1"/>
                <w:szCs w:val="1"/>
                <w:color w:val="auto"/>
              </w:rPr>
            </w:pPr>
          </w:p>
        </w:tc>
      </w:tr>
      <w:tr>
        <w:trPr>
          <w:trHeight w:val="54"/>
        </w:trPr>
        <w:tc>
          <w:tcPr>
            <w:tcW w:w="5460" w:type="dxa"/>
            <w:vAlign w:val="bottom"/>
            <w:vMerge w:val="continue"/>
          </w:tcPr>
          <w:p>
            <w:pPr>
              <w:spacing w:after="0"/>
              <w:rPr>
                <w:sz w:val="4"/>
                <w:szCs w:val="4"/>
                <w:color w:val="auto"/>
              </w:rPr>
            </w:pPr>
          </w:p>
        </w:tc>
        <w:tc>
          <w:tcPr>
            <w:tcW w:w="5560" w:type="dxa"/>
            <w:vAlign w:val="bottom"/>
            <w:vMerge w:val="restart"/>
          </w:tcPr>
          <w:p>
            <w:pPr>
              <w:ind w:left="420"/>
              <w:spacing w:after="0"/>
              <w:rPr>
                <w:sz w:val="20"/>
                <w:szCs w:val="20"/>
                <w:color w:val="auto"/>
              </w:rPr>
            </w:pPr>
            <w:r>
              <w:rPr>
                <w:rFonts w:ascii="Arial" w:cs="Arial" w:eastAsia="Arial" w:hAnsi="Arial"/>
                <w:sz w:val="16"/>
                <w:szCs w:val="16"/>
                <w:color w:val="auto"/>
              </w:rPr>
              <w:t>consideration at next year’s annual meeting, stockholders must provide</w:t>
            </w:r>
          </w:p>
        </w:tc>
        <w:tc>
          <w:tcPr>
            <w:tcW w:w="0" w:type="dxa"/>
            <w:vAlign w:val="bottom"/>
          </w:tcPr>
          <w:p>
            <w:pPr>
              <w:spacing w:after="0"/>
              <w:rPr>
                <w:sz w:val="1"/>
                <w:szCs w:val="1"/>
                <w:color w:val="auto"/>
              </w:rPr>
            </w:pPr>
          </w:p>
        </w:tc>
      </w:tr>
      <w:tr>
        <w:trPr>
          <w:trHeight w:val="135"/>
        </w:trPr>
        <w:tc>
          <w:tcPr>
            <w:tcW w:w="5460" w:type="dxa"/>
            <w:vAlign w:val="bottom"/>
            <w:vMerge w:val="restart"/>
          </w:tcPr>
          <w:p>
            <w:pPr>
              <w:ind w:left="260"/>
              <w:spacing w:after="0"/>
              <w:rPr>
                <w:sz w:val="20"/>
                <w:szCs w:val="20"/>
                <w:color w:val="auto"/>
              </w:rPr>
            </w:pPr>
            <w:r>
              <w:rPr>
                <w:rFonts w:ascii="Arial" w:cs="Arial" w:eastAsia="Arial" w:hAnsi="Arial"/>
                <w:sz w:val="16"/>
                <w:szCs w:val="16"/>
                <w:color w:val="auto"/>
              </w:rPr>
              <w:t>assign from time to time.</w:t>
            </w:r>
          </w:p>
        </w:tc>
        <w:tc>
          <w:tcPr>
            <w:tcW w:w="5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5460" w:type="dxa"/>
            <w:vAlign w:val="bottom"/>
            <w:vMerge w:val="continue"/>
          </w:tcPr>
          <w:p>
            <w:pPr>
              <w:spacing w:after="0"/>
              <w:rPr>
                <w:sz w:val="5"/>
                <w:szCs w:val="5"/>
                <w:color w:val="auto"/>
              </w:rPr>
            </w:pPr>
          </w:p>
        </w:tc>
        <w:tc>
          <w:tcPr>
            <w:tcW w:w="5560" w:type="dxa"/>
            <w:vAlign w:val="bottom"/>
            <w:vMerge w:val="restart"/>
          </w:tcPr>
          <w:p>
            <w:pPr>
              <w:ind w:left="420"/>
              <w:spacing w:after="0"/>
              <w:rPr>
                <w:sz w:val="20"/>
                <w:szCs w:val="20"/>
                <w:color w:val="auto"/>
              </w:rPr>
            </w:pPr>
            <w:r>
              <w:rPr>
                <w:rFonts w:ascii="Arial" w:cs="Arial" w:eastAsia="Arial" w:hAnsi="Arial"/>
                <w:sz w:val="16"/>
                <w:szCs w:val="16"/>
                <w:color w:val="auto"/>
              </w:rPr>
              <w:t>the notice required by our Bylaws no later than March 21, 2020, and no</w:t>
            </w:r>
          </w:p>
        </w:tc>
        <w:tc>
          <w:tcPr>
            <w:tcW w:w="0" w:type="dxa"/>
            <w:vAlign w:val="bottom"/>
          </w:tcPr>
          <w:p>
            <w:pPr>
              <w:spacing w:after="0"/>
              <w:rPr>
                <w:sz w:val="1"/>
                <w:szCs w:val="1"/>
                <w:color w:val="auto"/>
              </w:rPr>
            </w:pPr>
          </w:p>
        </w:tc>
      </w:tr>
      <w:tr>
        <w:trPr>
          <w:trHeight w:val="129"/>
        </w:trPr>
        <w:tc>
          <w:tcPr>
            <w:tcW w:w="5460" w:type="dxa"/>
            <w:vAlign w:val="bottom"/>
            <w:vMerge w:val="restart"/>
          </w:tcPr>
          <w:p>
            <w:pPr>
              <w:spacing w:after="0"/>
              <w:rPr>
                <w:sz w:val="20"/>
                <w:szCs w:val="20"/>
                <w:color w:val="auto"/>
              </w:rPr>
            </w:pPr>
            <w:r>
              <w:rPr>
                <w:rFonts w:ascii="Arial" w:cs="Arial" w:eastAsia="Arial" w:hAnsi="Arial"/>
                <w:sz w:val="16"/>
                <w:szCs w:val="16"/>
                <w:color w:val="auto"/>
              </w:rPr>
              <w:t>We believe that having an independent Chairman promotes a greater role</w:t>
            </w:r>
          </w:p>
        </w:tc>
        <w:tc>
          <w:tcPr>
            <w:tcW w:w="5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460" w:type="dxa"/>
            <w:vAlign w:val="bottom"/>
            <w:vMerge w:val="continue"/>
          </w:tcPr>
          <w:p>
            <w:pPr>
              <w:spacing w:after="0"/>
              <w:rPr>
                <w:sz w:val="14"/>
                <w:szCs w:val="14"/>
                <w:color w:val="auto"/>
              </w:rPr>
            </w:pPr>
          </w:p>
        </w:tc>
        <w:tc>
          <w:tcPr>
            <w:tcW w:w="5560" w:type="dxa"/>
            <w:vAlign w:val="bottom"/>
          </w:tcPr>
          <w:p>
            <w:pPr>
              <w:ind w:left="420"/>
              <w:spacing w:after="0" w:line="162" w:lineRule="exact"/>
              <w:rPr>
                <w:sz w:val="20"/>
                <w:szCs w:val="20"/>
                <w:color w:val="auto"/>
              </w:rPr>
            </w:pPr>
            <w:r>
              <w:rPr>
                <w:rFonts w:ascii="Arial" w:cs="Arial" w:eastAsia="Arial" w:hAnsi="Arial"/>
                <w:sz w:val="16"/>
                <w:szCs w:val="16"/>
                <w:color w:val="auto"/>
              </w:rPr>
              <w:t>earlier than February 20, 2020. However, if the date of the 2020 annual</w:t>
            </w:r>
          </w:p>
        </w:tc>
        <w:tc>
          <w:tcPr>
            <w:tcW w:w="0" w:type="dxa"/>
            <w:vAlign w:val="bottom"/>
          </w:tcPr>
          <w:p>
            <w:pPr>
              <w:spacing w:after="0"/>
              <w:rPr>
                <w:sz w:val="1"/>
                <w:szCs w:val="1"/>
                <w:color w:val="auto"/>
              </w:rPr>
            </w:pPr>
          </w:p>
        </w:tc>
      </w:tr>
      <w:tr>
        <w:trPr>
          <w:trHeight w:val="189"/>
        </w:trPr>
        <w:tc>
          <w:tcPr>
            <w:tcW w:w="5460" w:type="dxa"/>
            <w:vAlign w:val="bottom"/>
          </w:tcPr>
          <w:p>
            <w:pPr>
              <w:spacing w:after="0"/>
              <w:rPr>
                <w:sz w:val="20"/>
                <w:szCs w:val="20"/>
                <w:color w:val="auto"/>
              </w:rPr>
            </w:pPr>
            <w:r>
              <w:rPr>
                <w:rFonts w:ascii="Arial" w:cs="Arial" w:eastAsia="Arial" w:hAnsi="Arial"/>
                <w:sz w:val="16"/>
                <w:szCs w:val="16"/>
                <w:color w:val="auto"/>
              </w:rPr>
              <w:t>for the independent directors in the oversight of the Company, including</w:t>
            </w:r>
          </w:p>
        </w:tc>
        <w:tc>
          <w:tcPr>
            <w:tcW w:w="5560" w:type="dxa"/>
            <w:vAlign w:val="bottom"/>
          </w:tcPr>
          <w:p>
            <w:pPr>
              <w:ind w:left="420"/>
              <w:spacing w:after="0"/>
              <w:rPr>
                <w:sz w:val="20"/>
                <w:szCs w:val="20"/>
                <w:color w:val="auto"/>
              </w:rPr>
            </w:pPr>
            <w:r>
              <w:rPr>
                <w:rFonts w:ascii="Arial" w:cs="Arial" w:eastAsia="Arial" w:hAnsi="Arial"/>
                <w:sz w:val="16"/>
                <w:szCs w:val="16"/>
                <w:color w:val="auto"/>
              </w:rPr>
              <w:t>meeting of stockholders is more than 30 days before or more than 60</w:t>
            </w:r>
          </w:p>
        </w:tc>
        <w:tc>
          <w:tcPr>
            <w:tcW w:w="0" w:type="dxa"/>
            <w:vAlign w:val="bottom"/>
          </w:tcPr>
          <w:p>
            <w:pPr>
              <w:spacing w:after="0"/>
              <w:rPr>
                <w:sz w:val="1"/>
                <w:szCs w:val="1"/>
                <w:color w:val="auto"/>
              </w:rPr>
            </w:pPr>
          </w:p>
        </w:tc>
      </w:tr>
      <w:tr>
        <w:trPr>
          <w:trHeight w:val="189"/>
        </w:trPr>
        <w:tc>
          <w:tcPr>
            <w:tcW w:w="5460" w:type="dxa"/>
            <w:vAlign w:val="bottom"/>
          </w:tcPr>
          <w:p>
            <w:pPr>
              <w:spacing w:after="0"/>
              <w:rPr>
                <w:sz w:val="20"/>
                <w:szCs w:val="20"/>
                <w:color w:val="auto"/>
              </w:rPr>
            </w:pPr>
            <w:r>
              <w:rPr>
                <w:rFonts w:ascii="Arial" w:cs="Arial" w:eastAsia="Arial" w:hAnsi="Arial"/>
                <w:sz w:val="16"/>
                <w:szCs w:val="16"/>
                <w:color w:val="auto"/>
              </w:rPr>
              <w:t>oversight of material risks facing the Company, encourages active</w:t>
            </w:r>
          </w:p>
        </w:tc>
        <w:tc>
          <w:tcPr>
            <w:tcW w:w="5560" w:type="dxa"/>
            <w:vAlign w:val="bottom"/>
          </w:tcPr>
          <w:p>
            <w:pPr>
              <w:ind w:left="420"/>
              <w:spacing w:after="0"/>
              <w:rPr>
                <w:sz w:val="20"/>
                <w:szCs w:val="20"/>
                <w:color w:val="auto"/>
              </w:rPr>
            </w:pPr>
            <w:r>
              <w:rPr>
                <w:rFonts w:ascii="Arial" w:cs="Arial" w:eastAsia="Arial" w:hAnsi="Arial"/>
                <w:sz w:val="16"/>
                <w:szCs w:val="16"/>
                <w:color w:val="auto"/>
              </w:rPr>
              <w:t>days after the anniversary of the Annual Meeting, stockholders must</w:t>
            </w:r>
          </w:p>
        </w:tc>
        <w:tc>
          <w:tcPr>
            <w:tcW w:w="0" w:type="dxa"/>
            <w:vAlign w:val="bottom"/>
          </w:tcPr>
          <w:p>
            <w:pPr>
              <w:spacing w:after="0"/>
              <w:rPr>
                <w:sz w:val="1"/>
                <w:szCs w:val="1"/>
                <w:color w:val="auto"/>
              </w:rPr>
            </w:pPr>
          </w:p>
        </w:tc>
      </w:tr>
      <w:tr>
        <w:trPr>
          <w:trHeight w:val="189"/>
        </w:trPr>
        <w:tc>
          <w:tcPr>
            <w:tcW w:w="5460" w:type="dxa"/>
            <w:vAlign w:val="bottom"/>
          </w:tcPr>
          <w:p>
            <w:pPr>
              <w:spacing w:after="0"/>
              <w:rPr>
                <w:sz w:val="20"/>
                <w:szCs w:val="20"/>
                <w:color w:val="auto"/>
              </w:rPr>
            </w:pPr>
            <w:r>
              <w:rPr>
                <w:rFonts w:ascii="Arial" w:cs="Arial" w:eastAsia="Arial" w:hAnsi="Arial"/>
                <w:sz w:val="16"/>
                <w:szCs w:val="16"/>
                <w:color w:val="auto"/>
              </w:rPr>
              <w:t>participation by the independent directors in the work of our Board of</w:t>
            </w:r>
          </w:p>
        </w:tc>
        <w:tc>
          <w:tcPr>
            <w:tcW w:w="5560" w:type="dxa"/>
            <w:vAlign w:val="bottom"/>
          </w:tcPr>
          <w:p>
            <w:pPr>
              <w:ind w:left="420"/>
              <w:spacing w:after="0"/>
              <w:rPr>
                <w:sz w:val="20"/>
                <w:szCs w:val="20"/>
                <w:color w:val="auto"/>
              </w:rPr>
            </w:pPr>
            <w:r>
              <w:rPr>
                <w:rFonts w:ascii="Arial" w:cs="Arial" w:eastAsia="Arial" w:hAnsi="Arial"/>
                <w:sz w:val="16"/>
                <w:szCs w:val="16"/>
                <w:color w:val="auto"/>
              </w:rPr>
              <w:t>provide the notice required by our Bylaws not earlier than the close of</w:t>
            </w:r>
          </w:p>
        </w:tc>
        <w:tc>
          <w:tcPr>
            <w:tcW w:w="0" w:type="dxa"/>
            <w:vAlign w:val="bottom"/>
          </w:tcPr>
          <w:p>
            <w:pPr>
              <w:spacing w:after="0"/>
              <w:rPr>
                <w:sz w:val="1"/>
                <w:szCs w:val="1"/>
                <w:color w:val="auto"/>
              </w:rPr>
            </w:pPr>
          </w:p>
        </w:tc>
      </w:tr>
      <w:tr>
        <w:trPr>
          <w:trHeight w:val="189"/>
        </w:trPr>
        <w:tc>
          <w:tcPr>
            <w:tcW w:w="5460" w:type="dxa"/>
            <w:vAlign w:val="bottom"/>
          </w:tcPr>
          <w:p>
            <w:pPr>
              <w:spacing w:after="0"/>
              <w:rPr>
                <w:sz w:val="20"/>
                <w:szCs w:val="20"/>
                <w:color w:val="auto"/>
              </w:rPr>
            </w:pPr>
            <w:r>
              <w:rPr>
                <w:rFonts w:ascii="Arial" w:cs="Arial" w:eastAsia="Arial" w:hAnsi="Arial"/>
                <w:sz w:val="16"/>
                <w:szCs w:val="16"/>
                <w:color w:val="auto"/>
              </w:rPr>
              <w:t>Directors, enhances our Board of Directors’ role of representing</w:t>
            </w:r>
          </w:p>
        </w:tc>
        <w:tc>
          <w:tcPr>
            <w:tcW w:w="5560" w:type="dxa"/>
            <w:vAlign w:val="bottom"/>
          </w:tcPr>
          <w:p>
            <w:pPr>
              <w:ind w:left="420"/>
              <w:spacing w:after="0" w:line="189" w:lineRule="exact"/>
              <w:rPr>
                <w:sz w:val="20"/>
                <w:szCs w:val="20"/>
                <w:color w:val="auto"/>
              </w:rPr>
            </w:pPr>
            <w:r>
              <w:rPr>
                <w:rFonts w:ascii="Arial" w:cs="Arial" w:eastAsia="Arial" w:hAnsi="Arial"/>
                <w:sz w:val="13"/>
                <w:szCs w:val="13"/>
                <w:color w:val="auto"/>
              </w:rPr>
              <w:t>business on the 120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day before the 2020 annual meeting of</w:t>
            </w:r>
          </w:p>
        </w:tc>
        <w:tc>
          <w:tcPr>
            <w:tcW w:w="0" w:type="dxa"/>
            <w:vAlign w:val="bottom"/>
          </w:tcPr>
          <w:p>
            <w:pPr>
              <w:spacing w:after="0"/>
              <w:rPr>
                <w:sz w:val="1"/>
                <w:szCs w:val="1"/>
                <w:color w:val="auto"/>
              </w:rPr>
            </w:pPr>
          </w:p>
        </w:tc>
      </w:tr>
      <w:tr>
        <w:trPr>
          <w:trHeight w:val="189"/>
        </w:trPr>
        <w:tc>
          <w:tcPr>
            <w:tcW w:w="5460" w:type="dxa"/>
            <w:vAlign w:val="bottom"/>
          </w:tcPr>
          <w:p>
            <w:pPr>
              <w:spacing w:after="0"/>
              <w:rPr>
                <w:sz w:val="20"/>
                <w:szCs w:val="20"/>
                <w:color w:val="auto"/>
              </w:rPr>
            </w:pPr>
            <w:r>
              <w:rPr>
                <w:rFonts w:ascii="Arial" w:cs="Arial" w:eastAsia="Arial" w:hAnsi="Arial"/>
                <w:sz w:val="16"/>
                <w:szCs w:val="16"/>
                <w:color w:val="auto"/>
              </w:rPr>
              <w:t>stockholders’ interests and improves our Board of Directors’ ability to</w:t>
            </w:r>
          </w:p>
        </w:tc>
        <w:tc>
          <w:tcPr>
            <w:tcW w:w="5560" w:type="dxa"/>
            <w:vAlign w:val="bottom"/>
          </w:tcPr>
          <w:p>
            <w:pPr>
              <w:ind w:left="420"/>
              <w:spacing w:after="0"/>
              <w:rPr>
                <w:sz w:val="20"/>
                <w:szCs w:val="20"/>
                <w:color w:val="auto"/>
              </w:rPr>
            </w:pPr>
            <w:r>
              <w:rPr>
                <w:rFonts w:ascii="Arial" w:cs="Arial" w:eastAsia="Arial" w:hAnsi="Arial"/>
                <w:sz w:val="16"/>
                <w:szCs w:val="16"/>
                <w:color w:val="auto"/>
              </w:rPr>
              <w:t>stockholders and not later than the close of business on the later of</w:t>
            </w:r>
          </w:p>
        </w:tc>
        <w:tc>
          <w:tcPr>
            <w:tcW w:w="0" w:type="dxa"/>
            <w:vAlign w:val="bottom"/>
          </w:tcPr>
          <w:p>
            <w:pPr>
              <w:spacing w:after="0"/>
              <w:rPr>
                <w:sz w:val="1"/>
                <w:szCs w:val="1"/>
                <w:color w:val="auto"/>
              </w:rPr>
            </w:pPr>
          </w:p>
        </w:tc>
      </w:tr>
      <w:tr>
        <w:trPr>
          <w:trHeight w:val="189"/>
        </w:trPr>
        <w:tc>
          <w:tcPr>
            <w:tcW w:w="5460" w:type="dxa"/>
            <w:vAlign w:val="bottom"/>
          </w:tcPr>
          <w:p>
            <w:pPr>
              <w:spacing w:after="0"/>
              <w:rPr>
                <w:sz w:val="20"/>
                <w:szCs w:val="20"/>
                <w:color w:val="auto"/>
              </w:rPr>
            </w:pPr>
            <w:r>
              <w:rPr>
                <w:rFonts w:ascii="Arial" w:cs="Arial" w:eastAsia="Arial" w:hAnsi="Arial"/>
                <w:sz w:val="16"/>
                <w:szCs w:val="16"/>
                <w:color w:val="auto"/>
              </w:rPr>
              <w:t>supervise and evaluate our Chief Executive Officer and other executive</w:t>
            </w:r>
          </w:p>
        </w:tc>
        <w:tc>
          <w:tcPr>
            <w:tcW w:w="5560" w:type="dxa"/>
            <w:vAlign w:val="bottom"/>
          </w:tcPr>
          <w:p>
            <w:pPr>
              <w:ind w:left="420"/>
              <w:spacing w:after="0" w:line="189" w:lineRule="exact"/>
              <w:rPr>
                <w:sz w:val="20"/>
                <w:szCs w:val="20"/>
                <w:color w:val="auto"/>
              </w:rPr>
            </w:pPr>
            <w:r>
              <w:rPr>
                <w:rFonts w:ascii="Arial" w:cs="Arial" w:eastAsia="Arial" w:hAnsi="Arial"/>
                <w:sz w:val="13"/>
                <w:szCs w:val="13"/>
                <w:color w:val="auto"/>
              </w:rPr>
              <w:t>(1) the 90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day prior to the 2020 annual meeting of stockholders and</w:t>
            </w:r>
          </w:p>
        </w:tc>
        <w:tc>
          <w:tcPr>
            <w:tcW w:w="0" w:type="dxa"/>
            <w:vAlign w:val="bottom"/>
          </w:tcPr>
          <w:p>
            <w:pPr>
              <w:spacing w:after="0"/>
              <w:rPr>
                <w:sz w:val="1"/>
                <w:szCs w:val="1"/>
                <w:color w:val="auto"/>
              </w:rPr>
            </w:pPr>
          </w:p>
        </w:tc>
      </w:tr>
      <w:tr>
        <w:trPr>
          <w:trHeight w:val="189"/>
        </w:trPr>
        <w:tc>
          <w:tcPr>
            <w:tcW w:w="5460" w:type="dxa"/>
            <w:vAlign w:val="bottom"/>
          </w:tcPr>
          <w:p>
            <w:pPr>
              <w:spacing w:after="0"/>
              <w:rPr>
                <w:sz w:val="20"/>
                <w:szCs w:val="20"/>
                <w:color w:val="auto"/>
              </w:rPr>
            </w:pPr>
            <w:r>
              <w:rPr>
                <w:rFonts w:ascii="Arial" w:cs="Arial" w:eastAsia="Arial" w:hAnsi="Arial"/>
                <w:sz w:val="16"/>
                <w:szCs w:val="16"/>
                <w:color w:val="auto"/>
              </w:rPr>
              <w:t>officers. Further, separation of the Chairman and CEO roles allows our</w:t>
            </w:r>
          </w:p>
        </w:tc>
        <w:tc>
          <w:tcPr>
            <w:tcW w:w="5560" w:type="dxa"/>
            <w:vAlign w:val="bottom"/>
          </w:tcPr>
          <w:p>
            <w:pPr>
              <w:ind w:left="420"/>
              <w:spacing w:after="0" w:line="189" w:lineRule="exact"/>
              <w:rPr>
                <w:sz w:val="20"/>
                <w:szCs w:val="20"/>
                <w:color w:val="auto"/>
              </w:rPr>
            </w:pPr>
            <w:r>
              <w:rPr>
                <w:rFonts w:ascii="Arial" w:cs="Arial" w:eastAsia="Arial" w:hAnsi="Arial"/>
                <w:sz w:val="13"/>
                <w:szCs w:val="13"/>
                <w:color w:val="auto"/>
              </w:rPr>
              <w:t>(2) the 10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day following the day on which public announcement of the</w:t>
            </w:r>
          </w:p>
        </w:tc>
        <w:tc>
          <w:tcPr>
            <w:tcW w:w="0" w:type="dxa"/>
            <w:vAlign w:val="bottom"/>
          </w:tcPr>
          <w:p>
            <w:pPr>
              <w:spacing w:after="0"/>
              <w:rPr>
                <w:sz w:val="1"/>
                <w:szCs w:val="1"/>
                <w:color w:val="auto"/>
              </w:rPr>
            </w:pPr>
          </w:p>
        </w:tc>
      </w:tr>
      <w:tr>
        <w:trPr>
          <w:trHeight w:val="189"/>
        </w:trPr>
        <w:tc>
          <w:tcPr>
            <w:tcW w:w="5460" w:type="dxa"/>
            <w:vAlign w:val="bottom"/>
          </w:tcPr>
          <w:p>
            <w:pPr>
              <w:spacing w:after="0"/>
              <w:rPr>
                <w:sz w:val="20"/>
                <w:szCs w:val="20"/>
                <w:color w:val="auto"/>
              </w:rPr>
            </w:pPr>
            <w:r>
              <w:rPr>
                <w:rFonts w:ascii="Arial" w:cs="Arial" w:eastAsia="Arial" w:hAnsi="Arial"/>
                <w:sz w:val="16"/>
                <w:szCs w:val="16"/>
                <w:color w:val="auto"/>
              </w:rPr>
              <w:t>CEO to focus on operating and managing Biogen while leveraging our</w:t>
            </w:r>
          </w:p>
        </w:tc>
        <w:tc>
          <w:tcPr>
            <w:tcW w:w="5560" w:type="dxa"/>
            <w:vAlign w:val="bottom"/>
          </w:tcPr>
          <w:p>
            <w:pPr>
              <w:ind w:left="420"/>
              <w:spacing w:after="0"/>
              <w:rPr>
                <w:sz w:val="20"/>
                <w:szCs w:val="20"/>
                <w:color w:val="auto"/>
              </w:rPr>
            </w:pPr>
            <w:r>
              <w:rPr>
                <w:rFonts w:ascii="Arial" w:cs="Arial" w:eastAsia="Arial" w:hAnsi="Arial"/>
                <w:sz w:val="16"/>
                <w:szCs w:val="16"/>
                <w:color w:val="auto"/>
              </w:rPr>
              <w:t>date of the 2020 annual meeting of stockholders is first made.</w:t>
            </w:r>
          </w:p>
        </w:tc>
        <w:tc>
          <w:tcPr>
            <w:tcW w:w="0" w:type="dxa"/>
            <w:vAlign w:val="bottom"/>
          </w:tcPr>
          <w:p>
            <w:pPr>
              <w:spacing w:after="0"/>
              <w:rPr>
                <w:sz w:val="1"/>
                <w:szCs w:val="1"/>
                <w:color w:val="auto"/>
              </w:rPr>
            </w:pPr>
          </w:p>
        </w:tc>
      </w:tr>
      <w:tr>
        <w:trPr>
          <w:trHeight w:val="195"/>
        </w:trPr>
        <w:tc>
          <w:tcPr>
            <w:tcW w:w="5460" w:type="dxa"/>
            <w:vAlign w:val="bottom"/>
          </w:tcPr>
          <w:p>
            <w:pPr>
              <w:spacing w:after="0"/>
              <w:rPr>
                <w:sz w:val="20"/>
                <w:szCs w:val="20"/>
                <w:color w:val="auto"/>
              </w:rPr>
            </w:pPr>
            <w:r>
              <w:rPr>
                <w:rFonts w:ascii="Arial" w:cs="Arial" w:eastAsia="Arial" w:hAnsi="Arial"/>
                <w:sz w:val="16"/>
                <w:szCs w:val="16"/>
                <w:color w:val="auto"/>
              </w:rPr>
              <w:t>independent Chairman’s experience and perspectives.</w:t>
            </w:r>
          </w:p>
        </w:tc>
        <w:tc>
          <w:tcPr>
            <w:tcW w:w="5560" w:type="dxa"/>
            <w:vAlign w:val="bottom"/>
            <w:vMerge w:val="restart"/>
          </w:tcPr>
          <w:p>
            <w:pPr>
              <w:ind w:left="16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i w:val="1"/>
                <w:iCs w:val="1"/>
                <w:color w:val="427F3D"/>
              </w:rPr>
              <w:t>Stockholder Nominations Under Proxy Access Bylaw.</w:t>
            </w:r>
            <w:r>
              <w:rPr>
                <w:rFonts w:ascii="Arial" w:cs="Arial" w:eastAsia="Arial" w:hAnsi="Arial"/>
                <w:sz w:val="16"/>
                <w:szCs w:val="16"/>
                <w:color w:val="1A6DBB"/>
              </w:rPr>
              <w:t xml:space="preserve"> </w:t>
            </w:r>
            <w:r>
              <w:rPr>
                <w:rFonts w:ascii="Arial" w:cs="Arial" w:eastAsia="Arial" w:hAnsi="Arial"/>
                <w:sz w:val="16"/>
                <w:szCs w:val="16"/>
                <w:color w:val="000000"/>
              </w:rPr>
              <w:t>In addition, our</w:t>
            </w:r>
          </w:p>
        </w:tc>
        <w:tc>
          <w:tcPr>
            <w:tcW w:w="0" w:type="dxa"/>
            <w:vAlign w:val="bottom"/>
          </w:tcPr>
          <w:p>
            <w:pPr>
              <w:spacing w:after="0"/>
              <w:rPr>
                <w:sz w:val="1"/>
                <w:szCs w:val="1"/>
                <w:color w:val="auto"/>
              </w:rPr>
            </w:pPr>
          </w:p>
        </w:tc>
      </w:tr>
      <w:tr>
        <w:trPr>
          <w:trHeight w:val="143"/>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1A6DBB"/>
              </w:rPr>
              <w:t>Nominating Processes</w:t>
            </w:r>
          </w:p>
        </w:tc>
        <w:tc>
          <w:tcPr>
            <w:tcW w:w="5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460" w:type="dxa"/>
            <w:vAlign w:val="bottom"/>
            <w:vMerge w:val="continue"/>
          </w:tcPr>
          <w:p>
            <w:pPr>
              <w:spacing w:after="0"/>
              <w:rPr>
                <w:sz w:val="16"/>
                <w:szCs w:val="16"/>
                <w:color w:val="auto"/>
              </w:rPr>
            </w:pPr>
          </w:p>
        </w:tc>
        <w:tc>
          <w:tcPr>
            <w:tcW w:w="5560" w:type="dxa"/>
            <w:vAlign w:val="bottom"/>
          </w:tcPr>
          <w:p>
            <w:pPr>
              <w:ind w:left="420"/>
              <w:spacing w:after="0"/>
              <w:rPr>
                <w:sz w:val="20"/>
                <w:szCs w:val="20"/>
                <w:color w:val="auto"/>
              </w:rPr>
            </w:pPr>
            <w:r>
              <w:rPr>
                <w:rFonts w:ascii="Arial" w:cs="Arial" w:eastAsia="Arial" w:hAnsi="Arial"/>
                <w:sz w:val="16"/>
                <w:szCs w:val="16"/>
                <w:color w:val="auto"/>
              </w:rPr>
              <w:t>Bylaws provide that under certain circumstances, a stockholder or</w:t>
            </w:r>
          </w:p>
        </w:tc>
        <w:tc>
          <w:tcPr>
            <w:tcW w:w="0" w:type="dxa"/>
            <w:vAlign w:val="bottom"/>
          </w:tcPr>
          <w:p>
            <w:pPr>
              <w:spacing w:after="0"/>
              <w:rPr>
                <w:sz w:val="1"/>
                <w:szCs w:val="1"/>
                <w:color w:val="auto"/>
              </w:rPr>
            </w:pPr>
          </w:p>
        </w:tc>
      </w:tr>
      <w:tr>
        <w:trPr>
          <w:trHeight w:val="189"/>
        </w:trPr>
        <w:tc>
          <w:tcPr>
            <w:tcW w:w="5460" w:type="dxa"/>
            <w:vAlign w:val="bottom"/>
            <w:vMerge w:val="restart"/>
          </w:tcPr>
          <w:p>
            <w:pPr>
              <w:spacing w:after="0"/>
              <w:rPr>
                <w:sz w:val="20"/>
                <w:szCs w:val="20"/>
                <w:color w:val="auto"/>
              </w:rPr>
            </w:pPr>
            <w:r>
              <w:rPr>
                <w:rFonts w:ascii="Arial" w:cs="Arial" w:eastAsia="Arial" w:hAnsi="Arial"/>
                <w:sz w:val="16"/>
                <w:szCs w:val="16"/>
                <w:color w:val="auto"/>
              </w:rPr>
              <w:t>Our Corporate Governance Committee is responsible for identifying</w:t>
            </w:r>
          </w:p>
        </w:tc>
        <w:tc>
          <w:tcPr>
            <w:tcW w:w="5560" w:type="dxa"/>
            <w:vAlign w:val="bottom"/>
          </w:tcPr>
          <w:p>
            <w:pPr>
              <w:ind w:left="420"/>
              <w:spacing w:after="0"/>
              <w:rPr>
                <w:sz w:val="20"/>
                <w:szCs w:val="20"/>
                <w:color w:val="auto"/>
              </w:rPr>
            </w:pPr>
            <w:r>
              <w:rPr>
                <w:rFonts w:ascii="Arial" w:cs="Arial" w:eastAsia="Arial" w:hAnsi="Arial"/>
                <w:sz w:val="16"/>
                <w:szCs w:val="16"/>
                <w:color w:val="auto"/>
              </w:rPr>
              <w:t>group of stockholders may include director candidates that they have</w:t>
            </w:r>
          </w:p>
        </w:tc>
        <w:tc>
          <w:tcPr>
            <w:tcW w:w="0" w:type="dxa"/>
            <w:vAlign w:val="bottom"/>
          </w:tcPr>
          <w:p>
            <w:pPr>
              <w:spacing w:after="0"/>
              <w:rPr>
                <w:sz w:val="1"/>
                <w:szCs w:val="1"/>
                <w:color w:val="auto"/>
              </w:rPr>
            </w:pPr>
          </w:p>
        </w:tc>
      </w:tr>
      <w:tr>
        <w:trPr>
          <w:trHeight w:val="81"/>
        </w:trPr>
        <w:tc>
          <w:tcPr>
            <w:tcW w:w="5460" w:type="dxa"/>
            <w:vAlign w:val="bottom"/>
            <w:vMerge w:val="continue"/>
          </w:tcPr>
          <w:p>
            <w:pPr>
              <w:spacing w:after="0"/>
              <w:rPr>
                <w:sz w:val="7"/>
                <w:szCs w:val="7"/>
                <w:color w:val="auto"/>
              </w:rPr>
            </w:pPr>
          </w:p>
        </w:tc>
        <w:tc>
          <w:tcPr>
            <w:tcW w:w="5560" w:type="dxa"/>
            <w:vAlign w:val="bottom"/>
            <w:vMerge w:val="restart"/>
          </w:tcPr>
          <w:p>
            <w:pPr>
              <w:ind w:left="420"/>
              <w:spacing w:after="0"/>
              <w:rPr>
                <w:sz w:val="20"/>
                <w:szCs w:val="20"/>
                <w:color w:val="auto"/>
              </w:rPr>
            </w:pPr>
            <w:r>
              <w:rPr>
                <w:rFonts w:ascii="Arial" w:cs="Arial" w:eastAsia="Arial" w:hAnsi="Arial"/>
                <w:sz w:val="16"/>
                <w:szCs w:val="16"/>
                <w:color w:val="auto"/>
              </w:rPr>
              <w:t>nominated in our annual meeting proxy statement. These proxy access</w:t>
            </w:r>
          </w:p>
        </w:tc>
        <w:tc>
          <w:tcPr>
            <w:tcW w:w="0" w:type="dxa"/>
            <w:vAlign w:val="bottom"/>
          </w:tcPr>
          <w:p>
            <w:pPr>
              <w:spacing w:after="0"/>
              <w:rPr>
                <w:sz w:val="1"/>
                <w:szCs w:val="1"/>
                <w:color w:val="auto"/>
              </w:rPr>
            </w:pPr>
          </w:p>
        </w:tc>
      </w:tr>
      <w:tr>
        <w:trPr>
          <w:trHeight w:val="108"/>
        </w:trPr>
        <w:tc>
          <w:tcPr>
            <w:tcW w:w="5460" w:type="dxa"/>
            <w:vAlign w:val="bottom"/>
            <w:vMerge w:val="restart"/>
          </w:tcPr>
          <w:p>
            <w:pPr>
              <w:spacing w:after="0"/>
              <w:rPr>
                <w:sz w:val="20"/>
                <w:szCs w:val="20"/>
                <w:color w:val="auto"/>
              </w:rPr>
            </w:pPr>
            <w:r>
              <w:rPr>
                <w:rFonts w:ascii="Arial" w:cs="Arial" w:eastAsia="Arial" w:hAnsi="Arial"/>
                <w:sz w:val="16"/>
                <w:szCs w:val="16"/>
                <w:color w:val="auto"/>
              </w:rPr>
              <w:t>individuals qualified to become members of our Board of Directors and</w:t>
            </w:r>
          </w:p>
        </w:tc>
        <w:tc>
          <w:tcPr>
            <w:tcW w:w="5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460" w:type="dxa"/>
            <w:vAlign w:val="bottom"/>
            <w:vMerge w:val="continue"/>
          </w:tcPr>
          <w:p>
            <w:pPr>
              <w:spacing w:after="0"/>
              <w:rPr>
                <w:sz w:val="7"/>
                <w:szCs w:val="7"/>
                <w:color w:val="auto"/>
              </w:rPr>
            </w:pPr>
          </w:p>
        </w:tc>
        <w:tc>
          <w:tcPr>
            <w:tcW w:w="5560" w:type="dxa"/>
            <w:vAlign w:val="bottom"/>
            <w:vMerge w:val="restart"/>
          </w:tcPr>
          <w:p>
            <w:pPr>
              <w:ind w:left="420"/>
              <w:spacing w:after="0"/>
              <w:rPr>
                <w:sz w:val="20"/>
                <w:szCs w:val="20"/>
                <w:color w:val="auto"/>
              </w:rPr>
            </w:pPr>
            <w:r>
              <w:rPr>
                <w:rFonts w:ascii="Arial" w:cs="Arial" w:eastAsia="Arial" w:hAnsi="Arial"/>
                <w:sz w:val="16"/>
                <w:szCs w:val="16"/>
                <w:color w:val="auto"/>
              </w:rPr>
              <w:t>provisions of our Bylaws provide, among other things, that a</w:t>
            </w:r>
          </w:p>
        </w:tc>
        <w:tc>
          <w:tcPr>
            <w:tcW w:w="0" w:type="dxa"/>
            <w:vAlign w:val="bottom"/>
          </w:tcPr>
          <w:p>
            <w:pPr>
              <w:spacing w:after="0"/>
              <w:rPr>
                <w:sz w:val="1"/>
                <w:szCs w:val="1"/>
                <w:color w:val="auto"/>
              </w:rPr>
            </w:pPr>
          </w:p>
        </w:tc>
      </w:tr>
      <w:tr>
        <w:trPr>
          <w:trHeight w:val="108"/>
        </w:trPr>
        <w:tc>
          <w:tcPr>
            <w:tcW w:w="5460" w:type="dxa"/>
            <w:vAlign w:val="bottom"/>
            <w:vMerge w:val="restart"/>
          </w:tcPr>
          <w:p>
            <w:pPr>
              <w:spacing w:after="0"/>
              <w:rPr>
                <w:sz w:val="20"/>
                <w:szCs w:val="20"/>
                <w:color w:val="auto"/>
              </w:rPr>
            </w:pPr>
            <w:r>
              <w:rPr>
                <w:rFonts w:ascii="Arial" w:cs="Arial" w:eastAsia="Arial" w:hAnsi="Arial"/>
                <w:sz w:val="16"/>
                <w:szCs w:val="16"/>
                <w:color w:val="auto"/>
              </w:rPr>
              <w:t>reviewing candidates recommended by stockholders. Stockholders may</w:t>
            </w:r>
          </w:p>
        </w:tc>
        <w:tc>
          <w:tcPr>
            <w:tcW w:w="5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460" w:type="dxa"/>
            <w:vAlign w:val="bottom"/>
            <w:vMerge w:val="continue"/>
          </w:tcPr>
          <w:p>
            <w:pPr>
              <w:spacing w:after="0"/>
              <w:rPr>
                <w:sz w:val="7"/>
                <w:szCs w:val="7"/>
                <w:color w:val="auto"/>
              </w:rPr>
            </w:pPr>
          </w:p>
        </w:tc>
        <w:tc>
          <w:tcPr>
            <w:tcW w:w="5560" w:type="dxa"/>
            <w:vAlign w:val="bottom"/>
            <w:vMerge w:val="restart"/>
          </w:tcPr>
          <w:p>
            <w:pPr>
              <w:ind w:left="420"/>
              <w:spacing w:after="0"/>
              <w:rPr>
                <w:sz w:val="20"/>
                <w:szCs w:val="20"/>
                <w:color w:val="auto"/>
              </w:rPr>
            </w:pPr>
            <w:r>
              <w:rPr>
                <w:rFonts w:ascii="Arial" w:cs="Arial" w:eastAsia="Arial" w:hAnsi="Arial"/>
                <w:sz w:val="16"/>
                <w:szCs w:val="16"/>
                <w:color w:val="auto"/>
              </w:rPr>
              <w:t>stockholder or group of up to 20 stockholders seeking to include</w:t>
            </w:r>
          </w:p>
        </w:tc>
        <w:tc>
          <w:tcPr>
            <w:tcW w:w="0" w:type="dxa"/>
            <w:vAlign w:val="bottom"/>
          </w:tcPr>
          <w:p>
            <w:pPr>
              <w:spacing w:after="0"/>
              <w:rPr>
                <w:sz w:val="1"/>
                <w:szCs w:val="1"/>
                <w:color w:val="auto"/>
              </w:rPr>
            </w:pPr>
          </w:p>
        </w:tc>
      </w:tr>
      <w:tr>
        <w:trPr>
          <w:trHeight w:val="108"/>
        </w:trPr>
        <w:tc>
          <w:tcPr>
            <w:tcW w:w="5460" w:type="dxa"/>
            <w:vAlign w:val="bottom"/>
            <w:vMerge w:val="restart"/>
          </w:tcPr>
          <w:p>
            <w:pPr>
              <w:spacing w:after="0"/>
              <w:rPr>
                <w:sz w:val="20"/>
                <w:szCs w:val="20"/>
                <w:color w:val="auto"/>
              </w:rPr>
            </w:pPr>
            <w:r>
              <w:rPr>
                <w:rFonts w:ascii="Arial" w:cs="Arial" w:eastAsia="Arial" w:hAnsi="Arial"/>
                <w:sz w:val="16"/>
                <w:szCs w:val="16"/>
                <w:color w:val="auto"/>
              </w:rPr>
              <w:t>recommend nominees for consideration by our Corporate Governance</w:t>
            </w:r>
          </w:p>
        </w:tc>
        <w:tc>
          <w:tcPr>
            <w:tcW w:w="5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460" w:type="dxa"/>
            <w:vAlign w:val="bottom"/>
            <w:vMerge w:val="continue"/>
          </w:tcPr>
          <w:p>
            <w:pPr>
              <w:spacing w:after="0"/>
              <w:rPr>
                <w:sz w:val="7"/>
                <w:szCs w:val="7"/>
                <w:color w:val="auto"/>
              </w:rPr>
            </w:pPr>
          </w:p>
        </w:tc>
        <w:tc>
          <w:tcPr>
            <w:tcW w:w="5560" w:type="dxa"/>
            <w:vAlign w:val="bottom"/>
            <w:vMerge w:val="restart"/>
          </w:tcPr>
          <w:p>
            <w:pPr>
              <w:ind w:left="420"/>
              <w:spacing w:after="0"/>
              <w:rPr>
                <w:sz w:val="20"/>
                <w:szCs w:val="20"/>
                <w:color w:val="auto"/>
              </w:rPr>
            </w:pPr>
            <w:r>
              <w:rPr>
                <w:rFonts w:ascii="Arial" w:cs="Arial" w:eastAsia="Arial" w:hAnsi="Arial"/>
                <w:sz w:val="16"/>
                <w:szCs w:val="16"/>
                <w:color w:val="auto"/>
              </w:rPr>
              <w:t>director candidates in our annual meeting proxy statement must own</w:t>
            </w:r>
          </w:p>
        </w:tc>
        <w:tc>
          <w:tcPr>
            <w:tcW w:w="0" w:type="dxa"/>
            <w:vAlign w:val="bottom"/>
          </w:tcPr>
          <w:p>
            <w:pPr>
              <w:spacing w:after="0"/>
              <w:rPr>
                <w:sz w:val="1"/>
                <w:szCs w:val="1"/>
                <w:color w:val="auto"/>
              </w:rPr>
            </w:pPr>
          </w:p>
        </w:tc>
      </w:tr>
      <w:tr>
        <w:trPr>
          <w:trHeight w:val="108"/>
        </w:trPr>
        <w:tc>
          <w:tcPr>
            <w:tcW w:w="5460" w:type="dxa"/>
            <w:vAlign w:val="bottom"/>
            <w:vMerge w:val="restart"/>
          </w:tcPr>
          <w:p>
            <w:pPr>
              <w:spacing w:after="0"/>
              <w:rPr>
                <w:sz w:val="20"/>
                <w:szCs w:val="20"/>
                <w:color w:val="auto"/>
              </w:rPr>
            </w:pPr>
            <w:r>
              <w:rPr>
                <w:rFonts w:ascii="Arial" w:cs="Arial" w:eastAsia="Arial" w:hAnsi="Arial"/>
                <w:sz w:val="16"/>
                <w:szCs w:val="16"/>
                <w:color w:val="auto"/>
              </w:rPr>
              <w:t>Committee by submitting the names and supporting information to our</w:t>
            </w:r>
          </w:p>
        </w:tc>
        <w:tc>
          <w:tcPr>
            <w:tcW w:w="5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460" w:type="dxa"/>
            <w:vAlign w:val="bottom"/>
            <w:vMerge w:val="continue"/>
          </w:tcPr>
          <w:p>
            <w:pPr>
              <w:spacing w:after="0"/>
              <w:rPr>
                <w:sz w:val="7"/>
                <w:szCs w:val="7"/>
                <w:color w:val="auto"/>
              </w:rPr>
            </w:pPr>
          </w:p>
        </w:tc>
        <w:tc>
          <w:tcPr>
            <w:tcW w:w="5560" w:type="dxa"/>
            <w:vAlign w:val="bottom"/>
            <w:vMerge w:val="restart"/>
          </w:tcPr>
          <w:p>
            <w:pPr>
              <w:ind w:left="420"/>
              <w:spacing w:after="0"/>
              <w:rPr>
                <w:sz w:val="20"/>
                <w:szCs w:val="20"/>
                <w:color w:val="auto"/>
              </w:rPr>
            </w:pPr>
            <w:r>
              <w:rPr>
                <w:rFonts w:ascii="Arial" w:cs="Arial" w:eastAsia="Arial" w:hAnsi="Arial"/>
                <w:sz w:val="16"/>
                <w:szCs w:val="16"/>
                <w:color w:val="auto"/>
              </w:rPr>
              <w:t>3% or more of our outstanding common stock continuously for at least</w:t>
            </w:r>
          </w:p>
        </w:tc>
        <w:tc>
          <w:tcPr>
            <w:tcW w:w="0" w:type="dxa"/>
            <w:vAlign w:val="bottom"/>
          </w:tcPr>
          <w:p>
            <w:pPr>
              <w:spacing w:after="0"/>
              <w:rPr>
                <w:sz w:val="1"/>
                <w:szCs w:val="1"/>
                <w:color w:val="auto"/>
              </w:rPr>
            </w:pPr>
          </w:p>
        </w:tc>
      </w:tr>
      <w:tr>
        <w:trPr>
          <w:trHeight w:val="108"/>
        </w:trPr>
        <w:tc>
          <w:tcPr>
            <w:tcW w:w="5460" w:type="dxa"/>
            <w:vAlign w:val="bottom"/>
            <w:vMerge w:val="restart"/>
          </w:tcPr>
          <w:p>
            <w:pPr>
              <w:spacing w:after="0"/>
              <w:rPr>
                <w:sz w:val="20"/>
                <w:szCs w:val="20"/>
                <w:color w:val="auto"/>
              </w:rPr>
            </w:pPr>
            <w:r>
              <w:rPr>
                <w:rFonts w:ascii="Arial" w:cs="Arial" w:eastAsia="Arial" w:hAnsi="Arial"/>
                <w:sz w:val="16"/>
                <w:szCs w:val="16"/>
                <w:color w:val="auto"/>
              </w:rPr>
              <w:t>Secretary, Biogen Inc., 225 Binney Street, Cambridge, Massachusetts</w:t>
            </w:r>
          </w:p>
        </w:tc>
        <w:tc>
          <w:tcPr>
            <w:tcW w:w="5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460" w:type="dxa"/>
            <w:vAlign w:val="bottom"/>
            <w:vMerge w:val="continue"/>
          </w:tcPr>
          <w:p>
            <w:pPr>
              <w:spacing w:after="0"/>
              <w:rPr>
                <w:sz w:val="7"/>
                <w:szCs w:val="7"/>
                <w:color w:val="auto"/>
              </w:rPr>
            </w:pPr>
          </w:p>
        </w:tc>
        <w:tc>
          <w:tcPr>
            <w:tcW w:w="5560" w:type="dxa"/>
            <w:vAlign w:val="bottom"/>
            <w:vMerge w:val="restart"/>
          </w:tcPr>
          <w:p>
            <w:pPr>
              <w:ind w:left="420"/>
              <w:spacing w:after="0"/>
              <w:rPr>
                <w:sz w:val="20"/>
                <w:szCs w:val="20"/>
                <w:color w:val="auto"/>
              </w:rPr>
            </w:pPr>
            <w:r>
              <w:rPr>
                <w:rFonts w:ascii="Arial" w:cs="Arial" w:eastAsia="Arial" w:hAnsi="Arial"/>
                <w:sz w:val="16"/>
                <w:szCs w:val="16"/>
                <w:color w:val="auto"/>
              </w:rPr>
              <w:t>the previous 3 years.</w:t>
            </w:r>
          </w:p>
        </w:tc>
        <w:tc>
          <w:tcPr>
            <w:tcW w:w="0" w:type="dxa"/>
            <w:vAlign w:val="bottom"/>
          </w:tcPr>
          <w:p>
            <w:pPr>
              <w:spacing w:after="0"/>
              <w:rPr>
                <w:sz w:val="1"/>
                <w:szCs w:val="1"/>
                <w:color w:val="auto"/>
              </w:rPr>
            </w:pPr>
          </w:p>
        </w:tc>
      </w:tr>
      <w:tr>
        <w:trPr>
          <w:trHeight w:val="114"/>
        </w:trPr>
        <w:tc>
          <w:tcPr>
            <w:tcW w:w="5460" w:type="dxa"/>
            <w:vAlign w:val="bottom"/>
            <w:vMerge w:val="restart"/>
          </w:tcPr>
          <w:p>
            <w:pPr>
              <w:spacing w:after="0"/>
              <w:rPr>
                <w:sz w:val="20"/>
                <w:szCs w:val="20"/>
                <w:color w:val="auto"/>
              </w:rPr>
            </w:pPr>
            <w:r>
              <w:rPr>
                <w:rFonts w:ascii="Arial" w:cs="Arial" w:eastAsia="Arial" w:hAnsi="Arial"/>
                <w:sz w:val="16"/>
                <w:szCs w:val="16"/>
                <w:color w:val="auto"/>
              </w:rPr>
              <w:t>02142. Any such recommendation should include at a minimum the</w:t>
            </w:r>
          </w:p>
        </w:tc>
        <w:tc>
          <w:tcPr>
            <w:tcW w:w="5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5460" w:type="dxa"/>
            <w:vAlign w:val="bottom"/>
            <w:vMerge w:val="continue"/>
          </w:tcPr>
          <w:p>
            <w:pPr>
              <w:spacing w:after="0"/>
              <w:rPr>
                <w:sz w:val="6"/>
                <w:szCs w:val="6"/>
                <w:color w:val="auto"/>
              </w:rPr>
            </w:pPr>
          </w:p>
        </w:tc>
        <w:tc>
          <w:tcPr>
            <w:tcW w:w="5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5460" w:type="dxa"/>
            <w:vAlign w:val="bottom"/>
          </w:tcPr>
          <w:p>
            <w:pPr>
              <w:spacing w:after="0"/>
              <w:rPr>
                <w:sz w:val="20"/>
                <w:szCs w:val="20"/>
                <w:color w:val="auto"/>
              </w:rPr>
            </w:pPr>
            <w:r>
              <w:rPr>
                <w:rFonts w:ascii="Arial" w:cs="Arial" w:eastAsia="Arial" w:hAnsi="Arial"/>
                <w:sz w:val="16"/>
                <w:szCs w:val="16"/>
                <w:color w:val="auto"/>
              </w:rPr>
              <w:t>name(s) and address(es) of the stockholder(s) making the</w:t>
            </w:r>
          </w:p>
        </w:tc>
        <w:tc>
          <w:tcPr>
            <w:tcW w:w="5560" w:type="dxa"/>
            <w:vAlign w:val="bottom"/>
          </w:tcPr>
          <w:p>
            <w:pPr>
              <w:ind w:left="380"/>
              <w:spacing w:after="0"/>
              <w:rPr>
                <w:sz w:val="20"/>
                <w:szCs w:val="20"/>
                <w:color w:val="auto"/>
              </w:rPr>
            </w:pPr>
            <w:r>
              <w:rPr>
                <w:rFonts w:ascii="Arial" w:cs="Arial" w:eastAsia="Arial" w:hAnsi="Arial"/>
                <w:sz w:val="16"/>
                <w:szCs w:val="16"/>
                <w:color w:val="auto"/>
              </w:rPr>
              <w:t>The number of stockholder-nominated candidates appearing in any</w:t>
            </w:r>
          </w:p>
        </w:tc>
        <w:tc>
          <w:tcPr>
            <w:tcW w:w="0" w:type="dxa"/>
            <w:vAlign w:val="bottom"/>
          </w:tcPr>
          <w:p>
            <w:pPr>
              <w:spacing w:after="0"/>
              <w:rPr>
                <w:sz w:val="1"/>
                <w:szCs w:val="1"/>
                <w:color w:val="auto"/>
              </w:rPr>
            </w:pPr>
          </w:p>
        </w:tc>
      </w:tr>
      <w:tr>
        <w:trPr>
          <w:trHeight w:val="189"/>
        </w:trPr>
        <w:tc>
          <w:tcPr>
            <w:tcW w:w="5460" w:type="dxa"/>
            <w:vAlign w:val="bottom"/>
          </w:tcPr>
          <w:p>
            <w:pPr>
              <w:spacing w:after="0"/>
              <w:rPr>
                <w:sz w:val="20"/>
                <w:szCs w:val="20"/>
                <w:color w:val="auto"/>
              </w:rPr>
            </w:pPr>
            <w:r>
              <w:rPr>
                <w:rFonts w:ascii="Arial" w:cs="Arial" w:eastAsia="Arial" w:hAnsi="Arial"/>
                <w:sz w:val="16"/>
                <w:szCs w:val="16"/>
                <w:color w:val="auto"/>
              </w:rPr>
              <w:t>recommendation and appropriate biographical information for the</w:t>
            </w:r>
          </w:p>
        </w:tc>
        <w:tc>
          <w:tcPr>
            <w:tcW w:w="5560" w:type="dxa"/>
            <w:vAlign w:val="bottom"/>
          </w:tcPr>
          <w:p>
            <w:pPr>
              <w:ind w:left="380"/>
              <w:spacing w:after="0"/>
              <w:rPr>
                <w:sz w:val="20"/>
                <w:szCs w:val="20"/>
                <w:color w:val="auto"/>
              </w:rPr>
            </w:pPr>
            <w:r>
              <w:rPr>
                <w:rFonts w:ascii="Arial" w:cs="Arial" w:eastAsia="Arial" w:hAnsi="Arial"/>
                <w:sz w:val="16"/>
                <w:szCs w:val="16"/>
                <w:color w:val="auto"/>
              </w:rPr>
              <w:t>annual meeting proxy statement can equal up to 25% of the number of</w:t>
            </w:r>
          </w:p>
        </w:tc>
        <w:tc>
          <w:tcPr>
            <w:tcW w:w="0" w:type="dxa"/>
            <w:vAlign w:val="bottom"/>
          </w:tcPr>
          <w:p>
            <w:pPr>
              <w:spacing w:after="0"/>
              <w:rPr>
                <w:sz w:val="1"/>
                <w:szCs w:val="1"/>
                <w:color w:val="auto"/>
              </w:rPr>
            </w:pPr>
          </w:p>
        </w:tc>
      </w:tr>
      <w:tr>
        <w:trPr>
          <w:trHeight w:val="189"/>
        </w:trPr>
        <w:tc>
          <w:tcPr>
            <w:tcW w:w="5460" w:type="dxa"/>
            <w:vAlign w:val="bottom"/>
          </w:tcPr>
          <w:p>
            <w:pPr>
              <w:spacing w:after="0"/>
              <w:rPr>
                <w:sz w:val="20"/>
                <w:szCs w:val="20"/>
                <w:color w:val="auto"/>
              </w:rPr>
            </w:pPr>
            <w:r>
              <w:rPr>
                <w:rFonts w:ascii="Arial" w:cs="Arial" w:eastAsia="Arial" w:hAnsi="Arial"/>
                <w:sz w:val="16"/>
                <w:szCs w:val="16"/>
                <w:color w:val="auto"/>
              </w:rPr>
              <w:t>proposed nominee(s). Candidates who are recommended by</w:t>
            </w:r>
          </w:p>
        </w:tc>
        <w:tc>
          <w:tcPr>
            <w:tcW w:w="5560" w:type="dxa"/>
            <w:vAlign w:val="bottom"/>
          </w:tcPr>
          <w:p>
            <w:pPr>
              <w:ind w:left="380"/>
              <w:spacing w:after="0"/>
              <w:rPr>
                <w:sz w:val="20"/>
                <w:szCs w:val="20"/>
                <w:color w:val="auto"/>
              </w:rPr>
            </w:pPr>
            <w:r>
              <w:rPr>
                <w:rFonts w:ascii="Arial" w:cs="Arial" w:eastAsia="Arial" w:hAnsi="Arial"/>
                <w:sz w:val="16"/>
                <w:szCs w:val="16"/>
                <w:color w:val="auto"/>
              </w:rPr>
              <w:t>directors then serving on our Board of Directors. If 25% is not a whole</w:t>
            </w:r>
          </w:p>
        </w:tc>
        <w:tc>
          <w:tcPr>
            <w:tcW w:w="0" w:type="dxa"/>
            <w:vAlign w:val="bottom"/>
          </w:tcPr>
          <w:p>
            <w:pPr>
              <w:spacing w:after="0"/>
              <w:rPr>
                <w:sz w:val="1"/>
                <w:szCs w:val="1"/>
                <w:color w:val="auto"/>
              </w:rPr>
            </w:pPr>
          </w:p>
        </w:tc>
      </w:tr>
      <w:tr>
        <w:trPr>
          <w:trHeight w:val="189"/>
        </w:trPr>
        <w:tc>
          <w:tcPr>
            <w:tcW w:w="5460" w:type="dxa"/>
            <w:vAlign w:val="bottom"/>
          </w:tcPr>
          <w:p>
            <w:pPr>
              <w:spacing w:after="0"/>
              <w:rPr>
                <w:sz w:val="20"/>
                <w:szCs w:val="20"/>
                <w:color w:val="auto"/>
              </w:rPr>
            </w:pPr>
            <w:r>
              <w:rPr>
                <w:rFonts w:ascii="Arial" w:cs="Arial" w:eastAsia="Arial" w:hAnsi="Arial"/>
                <w:sz w:val="16"/>
                <w:szCs w:val="16"/>
                <w:color w:val="auto"/>
              </w:rPr>
              <w:t>stockholders will be considered in the same manner as candidates from</w:t>
            </w:r>
          </w:p>
        </w:tc>
        <w:tc>
          <w:tcPr>
            <w:tcW w:w="5560" w:type="dxa"/>
            <w:vAlign w:val="bottom"/>
          </w:tcPr>
          <w:p>
            <w:pPr>
              <w:ind w:left="380"/>
              <w:spacing w:after="0"/>
              <w:rPr>
                <w:sz w:val="20"/>
                <w:szCs w:val="20"/>
                <w:color w:val="auto"/>
              </w:rPr>
            </w:pPr>
            <w:r>
              <w:rPr>
                <w:rFonts w:ascii="Arial" w:cs="Arial" w:eastAsia="Arial" w:hAnsi="Arial"/>
                <w:sz w:val="16"/>
                <w:szCs w:val="16"/>
                <w:color w:val="auto"/>
              </w:rPr>
              <w:t>number, the maximum number of stockholder-nominated candidates</w:t>
            </w:r>
          </w:p>
        </w:tc>
        <w:tc>
          <w:tcPr>
            <w:tcW w:w="0" w:type="dxa"/>
            <w:vAlign w:val="bottom"/>
          </w:tcPr>
          <w:p>
            <w:pPr>
              <w:spacing w:after="0"/>
              <w:rPr>
                <w:sz w:val="1"/>
                <w:szCs w:val="1"/>
                <w:color w:val="auto"/>
              </w:rPr>
            </w:pPr>
          </w:p>
        </w:tc>
      </w:tr>
      <w:tr>
        <w:trPr>
          <w:trHeight w:val="189"/>
        </w:trPr>
        <w:tc>
          <w:tcPr>
            <w:tcW w:w="5460" w:type="dxa"/>
            <w:vAlign w:val="bottom"/>
          </w:tcPr>
          <w:p>
            <w:pPr>
              <w:spacing w:after="0"/>
              <w:rPr>
                <w:sz w:val="20"/>
                <w:szCs w:val="20"/>
                <w:color w:val="auto"/>
              </w:rPr>
            </w:pPr>
            <w:r>
              <w:rPr>
                <w:rFonts w:ascii="Arial" w:cs="Arial" w:eastAsia="Arial" w:hAnsi="Arial"/>
                <w:sz w:val="16"/>
                <w:szCs w:val="16"/>
                <w:color w:val="auto"/>
              </w:rPr>
              <w:t>other sources. For all potential candidates, our Corporate Governance</w:t>
            </w:r>
          </w:p>
        </w:tc>
        <w:tc>
          <w:tcPr>
            <w:tcW w:w="5560" w:type="dxa"/>
            <w:vAlign w:val="bottom"/>
          </w:tcPr>
          <w:p>
            <w:pPr>
              <w:ind w:left="380"/>
              <w:spacing w:after="0"/>
              <w:rPr>
                <w:sz w:val="20"/>
                <w:szCs w:val="20"/>
                <w:color w:val="auto"/>
              </w:rPr>
            </w:pPr>
            <w:r>
              <w:rPr>
                <w:rFonts w:ascii="Arial" w:cs="Arial" w:eastAsia="Arial" w:hAnsi="Arial"/>
                <w:sz w:val="16"/>
                <w:szCs w:val="16"/>
                <w:color w:val="auto"/>
              </w:rPr>
              <w:t>would be the closest whole number below 25%, subject to a minimum of</w:t>
            </w:r>
          </w:p>
        </w:tc>
        <w:tc>
          <w:tcPr>
            <w:tcW w:w="0" w:type="dxa"/>
            <w:vAlign w:val="bottom"/>
          </w:tcPr>
          <w:p>
            <w:pPr>
              <w:spacing w:after="0"/>
              <w:rPr>
                <w:sz w:val="1"/>
                <w:szCs w:val="1"/>
                <w:color w:val="auto"/>
              </w:rPr>
            </w:pPr>
          </w:p>
        </w:tc>
      </w:tr>
      <w:tr>
        <w:trPr>
          <w:trHeight w:val="189"/>
        </w:trPr>
        <w:tc>
          <w:tcPr>
            <w:tcW w:w="5460" w:type="dxa"/>
            <w:vAlign w:val="bottom"/>
          </w:tcPr>
          <w:p>
            <w:pPr>
              <w:spacing w:after="0"/>
              <w:rPr>
                <w:sz w:val="20"/>
                <w:szCs w:val="20"/>
                <w:color w:val="auto"/>
              </w:rPr>
            </w:pPr>
            <w:r>
              <w:rPr>
                <w:rFonts w:ascii="Arial" w:cs="Arial" w:eastAsia="Arial" w:hAnsi="Arial"/>
                <w:sz w:val="16"/>
                <w:szCs w:val="16"/>
                <w:color w:val="auto"/>
              </w:rPr>
              <w:t>Committee will consider all factors it deems relevant, including at a</w:t>
            </w:r>
          </w:p>
        </w:tc>
        <w:tc>
          <w:tcPr>
            <w:tcW w:w="5560" w:type="dxa"/>
            <w:vAlign w:val="bottom"/>
          </w:tcPr>
          <w:p>
            <w:pPr>
              <w:ind w:left="380"/>
              <w:spacing w:after="0"/>
              <w:rPr>
                <w:sz w:val="20"/>
                <w:szCs w:val="20"/>
                <w:color w:val="auto"/>
              </w:rPr>
            </w:pPr>
            <w:r>
              <w:rPr>
                <w:rFonts w:ascii="Arial" w:cs="Arial" w:eastAsia="Arial" w:hAnsi="Arial"/>
                <w:sz w:val="16"/>
                <w:szCs w:val="16"/>
                <w:color w:val="auto"/>
              </w:rPr>
              <w:t>one. A nominee will be counted in determining whether the 25%</w:t>
            </w:r>
          </w:p>
        </w:tc>
        <w:tc>
          <w:tcPr>
            <w:tcW w:w="0" w:type="dxa"/>
            <w:vAlign w:val="bottom"/>
          </w:tcPr>
          <w:p>
            <w:pPr>
              <w:spacing w:after="0"/>
              <w:rPr>
                <w:sz w:val="1"/>
                <w:szCs w:val="1"/>
                <w:color w:val="auto"/>
              </w:rPr>
            </w:pPr>
          </w:p>
        </w:tc>
      </w:tr>
      <w:tr>
        <w:trPr>
          <w:trHeight w:val="189"/>
        </w:trPr>
        <w:tc>
          <w:tcPr>
            <w:tcW w:w="5460" w:type="dxa"/>
            <w:vAlign w:val="bottom"/>
          </w:tcPr>
          <w:p>
            <w:pPr>
              <w:spacing w:after="0"/>
              <w:rPr>
                <w:sz w:val="20"/>
                <w:szCs w:val="20"/>
                <w:color w:val="auto"/>
              </w:rPr>
            </w:pPr>
            <w:r>
              <w:rPr>
                <w:rFonts w:ascii="Arial" w:cs="Arial" w:eastAsia="Arial" w:hAnsi="Arial"/>
                <w:sz w:val="16"/>
                <w:szCs w:val="16"/>
                <w:color w:val="auto"/>
              </w:rPr>
              <w:t>minimum those listed below in the subsection entitled “Director</w:t>
            </w:r>
          </w:p>
        </w:tc>
        <w:tc>
          <w:tcPr>
            <w:tcW w:w="5560" w:type="dxa"/>
            <w:vAlign w:val="bottom"/>
          </w:tcPr>
          <w:p>
            <w:pPr>
              <w:ind w:left="380"/>
              <w:spacing w:after="0"/>
              <w:rPr>
                <w:sz w:val="20"/>
                <w:szCs w:val="20"/>
                <w:color w:val="auto"/>
              </w:rPr>
            </w:pPr>
            <w:r>
              <w:rPr>
                <w:rFonts w:ascii="Arial" w:cs="Arial" w:eastAsia="Arial" w:hAnsi="Arial"/>
                <w:sz w:val="16"/>
                <w:szCs w:val="16"/>
                <w:color w:val="auto"/>
              </w:rPr>
              <w:t>maximum has been reached if the nominee was included in the proxy</w:t>
            </w:r>
          </w:p>
        </w:tc>
        <w:tc>
          <w:tcPr>
            <w:tcW w:w="0" w:type="dxa"/>
            <w:vAlign w:val="bottom"/>
          </w:tcPr>
          <w:p>
            <w:pPr>
              <w:spacing w:after="0"/>
              <w:rPr>
                <w:sz w:val="1"/>
                <w:szCs w:val="1"/>
                <w:color w:val="auto"/>
              </w:rPr>
            </w:pPr>
          </w:p>
        </w:tc>
      </w:tr>
      <w:tr>
        <w:trPr>
          <w:trHeight w:val="189"/>
        </w:trPr>
        <w:tc>
          <w:tcPr>
            <w:tcW w:w="5460" w:type="dxa"/>
            <w:vAlign w:val="bottom"/>
          </w:tcPr>
          <w:p>
            <w:pPr>
              <w:spacing w:after="0"/>
              <w:rPr>
                <w:sz w:val="20"/>
                <w:szCs w:val="20"/>
                <w:color w:val="auto"/>
              </w:rPr>
            </w:pPr>
            <w:r>
              <w:rPr>
                <w:rFonts w:ascii="Arial" w:cs="Arial" w:eastAsia="Arial" w:hAnsi="Arial"/>
                <w:sz w:val="16"/>
                <w:szCs w:val="16"/>
                <w:color w:val="auto"/>
              </w:rPr>
              <w:t>Qualifications, Standards and Diversity.” Director nominations are</w:t>
            </w:r>
          </w:p>
        </w:tc>
        <w:tc>
          <w:tcPr>
            <w:tcW w:w="5560" w:type="dxa"/>
            <w:vAlign w:val="bottom"/>
          </w:tcPr>
          <w:p>
            <w:pPr>
              <w:ind w:left="380"/>
              <w:spacing w:after="0"/>
              <w:rPr>
                <w:sz w:val="20"/>
                <w:szCs w:val="20"/>
                <w:color w:val="auto"/>
              </w:rPr>
            </w:pPr>
            <w:r>
              <w:rPr>
                <w:rFonts w:ascii="Arial" w:cs="Arial" w:eastAsia="Arial" w:hAnsi="Arial"/>
                <w:sz w:val="16"/>
                <w:szCs w:val="16"/>
                <w:color w:val="auto"/>
              </w:rPr>
              <w:t>materials as a Board-nominated candidate, if we have received notice</w:t>
            </w:r>
          </w:p>
        </w:tc>
        <w:tc>
          <w:tcPr>
            <w:tcW w:w="0" w:type="dxa"/>
            <w:vAlign w:val="bottom"/>
          </w:tcPr>
          <w:p>
            <w:pPr>
              <w:spacing w:after="0"/>
              <w:rPr>
                <w:sz w:val="1"/>
                <w:szCs w:val="1"/>
                <w:color w:val="auto"/>
              </w:rPr>
            </w:pPr>
          </w:p>
        </w:tc>
      </w:tr>
      <w:tr>
        <w:trPr>
          <w:trHeight w:val="189"/>
        </w:trPr>
        <w:tc>
          <w:tcPr>
            <w:tcW w:w="5460" w:type="dxa"/>
            <w:vAlign w:val="bottom"/>
          </w:tcPr>
          <w:p>
            <w:pPr>
              <w:spacing w:after="0"/>
              <w:rPr>
                <w:sz w:val="20"/>
                <w:szCs w:val="20"/>
                <w:color w:val="auto"/>
              </w:rPr>
            </w:pPr>
            <w:r>
              <w:rPr>
                <w:rFonts w:ascii="Arial" w:cs="Arial" w:eastAsia="Arial" w:hAnsi="Arial"/>
                <w:sz w:val="16"/>
                <w:szCs w:val="16"/>
                <w:color w:val="auto"/>
              </w:rPr>
              <w:t>recommended by our Corporate Governance Committee to our Board of</w:t>
            </w:r>
          </w:p>
        </w:tc>
        <w:tc>
          <w:tcPr>
            <w:tcW w:w="5560" w:type="dxa"/>
            <w:vAlign w:val="bottom"/>
          </w:tcPr>
          <w:p>
            <w:pPr>
              <w:ind w:left="380"/>
              <w:spacing w:after="0"/>
              <w:rPr>
                <w:sz w:val="20"/>
                <w:szCs w:val="20"/>
                <w:color w:val="auto"/>
              </w:rPr>
            </w:pPr>
            <w:r>
              <w:rPr>
                <w:rFonts w:ascii="Arial" w:cs="Arial" w:eastAsia="Arial" w:hAnsi="Arial"/>
                <w:sz w:val="16"/>
                <w:szCs w:val="16"/>
                <w:color w:val="auto"/>
              </w:rPr>
              <w:t>that such nominee has been nominated by a stockholder pursuant to</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6"/>
                <w:szCs w:val="16"/>
                <w:color w:val="auto"/>
              </w:rPr>
              <w:t>Directors and must be approved by a majority of independent directors.</w:t>
            </w:r>
          </w:p>
        </w:tc>
        <w:tc>
          <w:tcPr>
            <w:tcW w:w="5560" w:type="dxa"/>
            <w:vAlign w:val="bottom"/>
          </w:tcPr>
          <w:p>
            <w:pPr>
              <w:ind w:left="380"/>
              <w:spacing w:after="0"/>
              <w:rPr>
                <w:sz w:val="20"/>
                <w:szCs w:val="20"/>
                <w:color w:val="auto"/>
              </w:rPr>
            </w:pPr>
            <w:r>
              <w:rPr>
                <w:rFonts w:ascii="Arial" w:cs="Arial" w:eastAsia="Arial" w:hAnsi="Arial"/>
                <w:sz w:val="16"/>
                <w:szCs w:val="16"/>
                <w:color w:val="auto"/>
              </w:rPr>
              <w:t>our Bylaws, the nominee was submitted under the proxy access</w:t>
            </w:r>
          </w:p>
        </w:tc>
        <w:tc>
          <w:tcPr>
            <w:tcW w:w="0" w:type="dxa"/>
            <w:vAlign w:val="bottom"/>
          </w:tcPr>
          <w:p>
            <w:pPr>
              <w:spacing w:after="0"/>
              <w:rPr>
                <w:sz w:val="1"/>
                <w:szCs w:val="1"/>
                <w:color w:val="auto"/>
              </w:rPr>
            </w:pPr>
          </w:p>
        </w:tc>
      </w:tr>
      <w:tr>
        <w:trPr>
          <w:trHeight w:val="189"/>
        </w:trPr>
        <w:tc>
          <w:tcPr>
            <w:tcW w:w="5460" w:type="dxa"/>
            <w:vAlign w:val="bottom"/>
            <w:vMerge w:val="restart"/>
          </w:tcPr>
          <w:p>
            <w:pPr>
              <w:spacing w:after="0"/>
              <w:rPr>
                <w:sz w:val="20"/>
                <w:szCs w:val="20"/>
                <w:color w:val="auto"/>
              </w:rPr>
            </w:pPr>
            <w:r>
              <w:rPr>
                <w:rFonts w:ascii="Arial" w:cs="Arial" w:eastAsia="Arial" w:hAnsi="Arial"/>
                <w:sz w:val="16"/>
                <w:szCs w:val="16"/>
                <w:color w:val="auto"/>
              </w:rPr>
              <w:t>In addition, our Fourth Amended and Restated Bylaws (Bylaws) contain</w:t>
            </w:r>
          </w:p>
        </w:tc>
        <w:tc>
          <w:tcPr>
            <w:tcW w:w="5560" w:type="dxa"/>
            <w:vAlign w:val="bottom"/>
          </w:tcPr>
          <w:p>
            <w:pPr>
              <w:ind w:left="380"/>
              <w:spacing w:after="0"/>
              <w:rPr>
                <w:sz w:val="20"/>
                <w:szCs w:val="20"/>
                <w:color w:val="auto"/>
              </w:rPr>
            </w:pPr>
            <w:r>
              <w:rPr>
                <w:rFonts w:ascii="Arial" w:cs="Arial" w:eastAsia="Arial" w:hAnsi="Arial"/>
                <w:sz w:val="16"/>
                <w:szCs w:val="16"/>
                <w:color w:val="auto"/>
              </w:rPr>
              <w:t>procedures and later withdrawn or the nominee was nominated in any of</w:t>
            </w:r>
          </w:p>
        </w:tc>
        <w:tc>
          <w:tcPr>
            <w:tcW w:w="0" w:type="dxa"/>
            <w:vAlign w:val="bottom"/>
          </w:tcPr>
          <w:p>
            <w:pPr>
              <w:spacing w:after="0"/>
              <w:rPr>
                <w:sz w:val="1"/>
                <w:szCs w:val="1"/>
                <w:color w:val="auto"/>
              </w:rPr>
            </w:pPr>
          </w:p>
        </w:tc>
      </w:tr>
      <w:tr>
        <w:trPr>
          <w:trHeight w:val="81"/>
        </w:trPr>
        <w:tc>
          <w:tcPr>
            <w:tcW w:w="5460" w:type="dxa"/>
            <w:vAlign w:val="bottom"/>
            <w:vMerge w:val="continue"/>
          </w:tcPr>
          <w:p>
            <w:pPr>
              <w:spacing w:after="0"/>
              <w:rPr>
                <w:sz w:val="7"/>
                <w:szCs w:val="7"/>
                <w:color w:val="auto"/>
              </w:rPr>
            </w:pPr>
          </w:p>
        </w:tc>
        <w:tc>
          <w:tcPr>
            <w:tcW w:w="5560" w:type="dxa"/>
            <w:vAlign w:val="bottom"/>
            <w:vMerge w:val="restart"/>
          </w:tcPr>
          <w:p>
            <w:pPr>
              <w:ind w:left="380"/>
              <w:spacing w:after="0"/>
              <w:rPr>
                <w:sz w:val="20"/>
                <w:szCs w:val="20"/>
                <w:color w:val="auto"/>
              </w:rPr>
            </w:pPr>
            <w:r>
              <w:rPr>
                <w:rFonts w:ascii="Arial" w:cs="Arial" w:eastAsia="Arial" w:hAnsi="Arial"/>
                <w:sz w:val="16"/>
                <w:szCs w:val="16"/>
                <w:color w:val="auto"/>
              </w:rPr>
              <w:t>our three preceding annual meetings and is being recommended by our</w:t>
            </w:r>
          </w:p>
        </w:tc>
        <w:tc>
          <w:tcPr>
            <w:tcW w:w="0" w:type="dxa"/>
            <w:vAlign w:val="bottom"/>
          </w:tcPr>
          <w:p>
            <w:pPr>
              <w:spacing w:after="0"/>
              <w:rPr>
                <w:sz w:val="1"/>
                <w:szCs w:val="1"/>
                <w:color w:val="auto"/>
              </w:rPr>
            </w:pPr>
          </w:p>
        </w:tc>
      </w:tr>
      <w:tr>
        <w:trPr>
          <w:trHeight w:val="108"/>
        </w:trPr>
        <w:tc>
          <w:tcPr>
            <w:tcW w:w="5460" w:type="dxa"/>
            <w:vAlign w:val="bottom"/>
            <w:vMerge w:val="restart"/>
          </w:tcPr>
          <w:p>
            <w:pPr>
              <w:spacing w:after="0"/>
              <w:rPr>
                <w:sz w:val="20"/>
                <w:szCs w:val="20"/>
                <w:color w:val="auto"/>
              </w:rPr>
            </w:pPr>
            <w:r>
              <w:rPr>
                <w:rFonts w:ascii="Arial" w:cs="Arial" w:eastAsia="Arial" w:hAnsi="Arial"/>
                <w:sz w:val="16"/>
                <w:szCs w:val="16"/>
                <w:color w:val="auto"/>
              </w:rPr>
              <w:t>provisions that address the process by which a stockholder may</w:t>
            </w:r>
          </w:p>
        </w:tc>
        <w:tc>
          <w:tcPr>
            <w:tcW w:w="5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460" w:type="dxa"/>
            <w:vAlign w:val="bottom"/>
            <w:vMerge w:val="continue"/>
          </w:tcPr>
          <w:p>
            <w:pPr>
              <w:spacing w:after="0"/>
              <w:rPr>
                <w:sz w:val="7"/>
                <w:szCs w:val="7"/>
                <w:color w:val="auto"/>
              </w:rPr>
            </w:pPr>
          </w:p>
        </w:tc>
        <w:tc>
          <w:tcPr>
            <w:tcW w:w="5560" w:type="dxa"/>
            <w:vAlign w:val="bottom"/>
            <w:vMerge w:val="restart"/>
          </w:tcPr>
          <w:p>
            <w:pPr>
              <w:ind w:left="380"/>
              <w:spacing w:after="0"/>
              <w:rPr>
                <w:sz w:val="20"/>
                <w:szCs w:val="20"/>
                <w:color w:val="auto"/>
              </w:rPr>
            </w:pPr>
            <w:r>
              <w:rPr>
                <w:rFonts w:ascii="Arial" w:cs="Arial" w:eastAsia="Arial" w:hAnsi="Arial"/>
                <w:sz w:val="16"/>
                <w:szCs w:val="16"/>
                <w:color w:val="auto"/>
              </w:rPr>
              <w:t>Board of Directors for reelection.</w:t>
            </w:r>
          </w:p>
        </w:tc>
        <w:tc>
          <w:tcPr>
            <w:tcW w:w="0" w:type="dxa"/>
            <w:vAlign w:val="bottom"/>
          </w:tcPr>
          <w:p>
            <w:pPr>
              <w:spacing w:after="0"/>
              <w:rPr>
                <w:sz w:val="1"/>
                <w:szCs w:val="1"/>
                <w:color w:val="auto"/>
              </w:rPr>
            </w:pPr>
          </w:p>
        </w:tc>
      </w:tr>
      <w:tr>
        <w:trPr>
          <w:trHeight w:val="114"/>
        </w:trPr>
        <w:tc>
          <w:tcPr>
            <w:tcW w:w="5460" w:type="dxa"/>
            <w:vAlign w:val="bottom"/>
            <w:vMerge w:val="restart"/>
          </w:tcPr>
          <w:p>
            <w:pPr>
              <w:spacing w:after="0"/>
              <w:rPr>
                <w:sz w:val="20"/>
                <w:szCs w:val="20"/>
                <w:color w:val="auto"/>
              </w:rPr>
            </w:pPr>
            <w:r>
              <w:rPr>
                <w:rFonts w:ascii="Arial" w:cs="Arial" w:eastAsia="Arial" w:hAnsi="Arial"/>
                <w:sz w:val="16"/>
                <w:szCs w:val="16"/>
                <w:color w:val="auto"/>
              </w:rPr>
              <w:t>nominate an individual to stand for election to our Board of Directors at an</w:t>
            </w:r>
          </w:p>
        </w:tc>
        <w:tc>
          <w:tcPr>
            <w:tcW w:w="5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5460" w:type="dxa"/>
            <w:vAlign w:val="bottom"/>
            <w:vMerge w:val="continue"/>
          </w:tcPr>
          <w:p>
            <w:pPr>
              <w:spacing w:after="0"/>
              <w:rPr>
                <w:sz w:val="6"/>
                <w:szCs w:val="6"/>
                <w:color w:val="auto"/>
              </w:rPr>
            </w:pPr>
          </w:p>
        </w:tc>
        <w:tc>
          <w:tcPr>
            <w:tcW w:w="5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6"/>
                <w:szCs w:val="16"/>
                <w:color w:val="auto"/>
              </w:rPr>
              <w:t>annual meeting of stockholders.</w:t>
            </w:r>
          </w:p>
        </w:tc>
        <w:tc>
          <w:tcPr>
            <w:tcW w:w="5560" w:type="dxa"/>
            <w:vAlign w:val="bottom"/>
          </w:tcPr>
          <w:p>
            <w:pPr>
              <w:ind w:left="380"/>
              <w:spacing w:after="0"/>
              <w:rPr>
                <w:sz w:val="20"/>
                <w:szCs w:val="20"/>
                <w:color w:val="auto"/>
              </w:rPr>
            </w:pPr>
            <w:r>
              <w:rPr>
                <w:rFonts w:ascii="Arial" w:cs="Arial" w:eastAsia="Arial" w:hAnsi="Arial"/>
                <w:sz w:val="16"/>
                <w:szCs w:val="16"/>
                <w:color w:val="auto"/>
              </w:rPr>
              <w:t>The nominating stockholder or group of stockholders also must deliver</w:t>
            </w:r>
          </w:p>
        </w:tc>
        <w:tc>
          <w:tcPr>
            <w:tcW w:w="0" w:type="dxa"/>
            <w:vAlign w:val="bottom"/>
          </w:tcPr>
          <w:p>
            <w:pPr>
              <w:spacing w:after="0"/>
              <w:rPr>
                <w:sz w:val="1"/>
                <w:szCs w:val="1"/>
                <w:color w:val="auto"/>
              </w:rPr>
            </w:pPr>
          </w:p>
        </w:tc>
      </w:tr>
      <w:tr>
        <w:trPr>
          <w:trHeight w:val="195"/>
        </w:trPr>
        <w:tc>
          <w:tcPr>
            <w:tcW w:w="5460" w:type="dxa"/>
            <w:vAlign w:val="bottom"/>
            <w:vMerge w:val="restart"/>
          </w:tcPr>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i w:val="1"/>
                <w:iCs w:val="1"/>
                <w:color w:val="427F3D"/>
              </w:rPr>
              <w:t>Stockholder Nominations Not for Inclusion in Company’s Proxy</w:t>
            </w:r>
          </w:p>
        </w:tc>
        <w:tc>
          <w:tcPr>
            <w:tcW w:w="5560" w:type="dxa"/>
            <w:vAlign w:val="bottom"/>
          </w:tcPr>
          <w:p>
            <w:pPr>
              <w:ind w:left="380"/>
              <w:spacing w:after="0"/>
              <w:rPr>
                <w:sz w:val="20"/>
                <w:szCs w:val="20"/>
                <w:color w:val="auto"/>
              </w:rPr>
            </w:pPr>
            <w:r>
              <w:rPr>
                <w:rFonts w:ascii="Arial" w:cs="Arial" w:eastAsia="Arial" w:hAnsi="Arial"/>
                <w:sz w:val="16"/>
                <w:szCs w:val="16"/>
                <w:color w:val="auto"/>
              </w:rPr>
              <w:t>the information required by our Bylaws,</w:t>
            </w:r>
          </w:p>
        </w:tc>
        <w:tc>
          <w:tcPr>
            <w:tcW w:w="0" w:type="dxa"/>
            <w:vAlign w:val="bottom"/>
          </w:tcPr>
          <w:p>
            <w:pPr>
              <w:spacing w:after="0"/>
              <w:rPr>
                <w:sz w:val="1"/>
                <w:szCs w:val="1"/>
                <w:color w:val="auto"/>
              </w:rPr>
            </w:pPr>
          </w:p>
        </w:tc>
      </w:tr>
      <w:tr>
        <w:trPr>
          <w:trHeight w:val="73"/>
        </w:trPr>
        <w:tc>
          <w:tcPr>
            <w:tcW w:w="5460" w:type="dxa"/>
            <w:vAlign w:val="bottom"/>
            <w:vMerge w:val="continue"/>
          </w:tcPr>
          <w:p>
            <w:pPr>
              <w:spacing w:after="0"/>
              <w:rPr>
                <w:sz w:val="6"/>
                <w:szCs w:val="6"/>
                <w:color w:val="auto"/>
              </w:rPr>
            </w:pPr>
          </w:p>
        </w:tc>
        <w:tc>
          <w:tcPr>
            <w:tcW w:w="5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5460" w:type="dxa"/>
            <w:vAlign w:val="bottom"/>
          </w:tcPr>
          <w:p>
            <w:pPr>
              <w:ind w:left="260"/>
              <w:spacing w:after="0"/>
              <w:rPr>
                <w:sz w:val="20"/>
                <w:szCs w:val="20"/>
                <w:color w:val="auto"/>
              </w:rPr>
            </w:pPr>
            <w:r>
              <w:rPr>
                <w:rFonts w:ascii="Arial" w:cs="Arial" w:eastAsia="Arial" w:hAnsi="Arial"/>
                <w:sz w:val="16"/>
                <w:szCs w:val="16"/>
                <w:i w:val="1"/>
                <w:iCs w:val="1"/>
                <w:color w:val="427F3D"/>
              </w:rPr>
              <w:t xml:space="preserve">Statement. </w:t>
            </w:r>
            <w:r>
              <w:rPr>
                <w:rFonts w:ascii="Arial" w:cs="Arial" w:eastAsia="Arial" w:hAnsi="Arial"/>
                <w:sz w:val="16"/>
                <w:szCs w:val="16"/>
                <w:color w:val="000000"/>
              </w:rPr>
              <w:t>Our Bylaws permit stockholders to nominate directors for</w:t>
            </w:r>
          </w:p>
        </w:tc>
        <w:tc>
          <w:tcPr>
            <w:tcW w:w="5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460" w:type="dxa"/>
            <w:vAlign w:val="bottom"/>
          </w:tcPr>
          <w:p>
            <w:pPr>
              <w:ind w:left="260"/>
              <w:spacing w:after="0"/>
              <w:rPr>
                <w:sz w:val="20"/>
                <w:szCs w:val="20"/>
                <w:color w:val="auto"/>
              </w:rPr>
            </w:pPr>
            <w:r>
              <w:rPr>
                <w:rFonts w:ascii="Arial" w:cs="Arial" w:eastAsia="Arial" w:hAnsi="Arial"/>
                <w:sz w:val="16"/>
                <w:szCs w:val="16"/>
                <w:color w:val="auto"/>
              </w:rPr>
              <w:t>consideration at an annual meet-</w:t>
            </w:r>
          </w:p>
        </w:tc>
        <w:tc>
          <w:tcPr>
            <w:tcW w:w="5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5460" w:type="dxa"/>
            <w:vAlign w:val="bottom"/>
          </w:tcPr>
          <w:p>
            <w:pPr>
              <w:ind w:left="180"/>
              <w:spacing w:after="0"/>
              <w:rPr>
                <w:sz w:val="20"/>
                <w:szCs w:val="20"/>
                <w:color w:val="auto"/>
              </w:rPr>
            </w:pPr>
            <w:r>
              <w:rPr>
                <w:rFonts w:ascii="Arial" w:cs="Arial" w:eastAsia="Arial" w:hAnsi="Arial"/>
                <w:sz w:val="12"/>
                <w:szCs w:val="12"/>
                <w:color w:val="1A6DBB"/>
              </w:rPr>
              <w:t>8</w:t>
            </w: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-114935</wp:posOffset>
            </wp:positionV>
            <wp:extent cx="660400"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60400" cy="154305"/>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-64135</wp:posOffset>
            </wp:positionV>
            <wp:extent cx="102870" cy="946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7" w:lineRule="exact"/>
        <w:rPr>
          <w:sz w:val="20"/>
          <w:szCs w:val="20"/>
          <w:color w:val="auto"/>
        </w:rPr>
      </w:pPr>
    </w:p>
    <w:p>
      <w:pPr>
        <w:ind w:left="460"/>
        <w:spacing w:after="0"/>
        <w:rPr>
          <w:sz w:val="20"/>
          <w:szCs w:val="20"/>
          <w:color w:val="auto"/>
        </w:rPr>
      </w:pPr>
      <w:r>
        <w:rPr>
          <w:rFonts w:ascii="Arial" w:cs="Arial" w:eastAsia="Arial" w:hAnsi="Arial"/>
          <w:sz w:val="88"/>
          <w:szCs w:val="88"/>
          <w:color w:val="1A6DBB"/>
        </w:rPr>
        <w:t xml:space="preserve">2 </w:t>
      </w:r>
      <w:r>
        <w:rPr>
          <w:rFonts w:ascii="Arial" w:cs="Arial" w:eastAsia="Arial" w:hAnsi="Arial"/>
          <w:sz w:val="40"/>
          <w:szCs w:val="40"/>
          <w:color w:val="1A6DBB"/>
        </w:rPr>
        <w:t>Corporate Governance at Biogen</w:t>
      </w:r>
      <w:r>
        <w:rPr>
          <w:rFonts w:ascii="Arial" w:cs="Arial" w:eastAsia="Arial" w:hAnsi="Arial"/>
          <w:sz w:val="88"/>
          <w:szCs w:val="88"/>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81" w:lineRule="exact"/>
        <w:rPr>
          <w:sz w:val="20"/>
          <w:szCs w:val="20"/>
          <w:color w:val="auto"/>
        </w:rPr>
      </w:pPr>
    </w:p>
    <w:p>
      <w:pPr>
        <w:ind w:left="420" w:right="540"/>
        <w:spacing w:after="0" w:line="260" w:lineRule="auto"/>
        <w:rPr>
          <w:sz w:val="20"/>
          <w:szCs w:val="20"/>
          <w:color w:val="auto"/>
        </w:rPr>
      </w:pPr>
      <w:r>
        <w:rPr>
          <w:rFonts w:ascii="Arial" w:cs="Arial" w:eastAsia="Arial" w:hAnsi="Arial"/>
          <w:sz w:val="16"/>
          <w:szCs w:val="16"/>
          <w:color w:val="auto"/>
        </w:rPr>
        <w:t>and each nominee must meet the qualifications required by our Bylaws.</w:t>
      </w:r>
    </w:p>
    <w:p>
      <w:pPr>
        <w:spacing w:after="0" w:line="88" w:lineRule="exact"/>
        <w:rPr>
          <w:sz w:val="20"/>
          <w:szCs w:val="20"/>
          <w:color w:val="auto"/>
        </w:rPr>
      </w:pPr>
    </w:p>
    <w:p>
      <w:pPr>
        <w:ind w:left="420"/>
        <w:spacing w:after="0" w:line="219" w:lineRule="auto"/>
        <w:rPr>
          <w:sz w:val="20"/>
          <w:szCs w:val="20"/>
          <w:color w:val="auto"/>
        </w:rPr>
      </w:pPr>
      <w:r>
        <w:rPr>
          <w:rFonts w:ascii="Arial" w:cs="Arial" w:eastAsia="Arial" w:hAnsi="Arial"/>
          <w:sz w:val="16"/>
          <w:szCs w:val="16"/>
          <w:color w:val="auto"/>
        </w:rPr>
        <w:t>Requests to include stockholder-nominated candidates in our proxy materials for next year’s annual meeting must be received by our Secretary no earlier than December 2, 2019, and no later than January 1, 2020. However, if the 2020 annual meeting of stockholders is called for more than 30 days earlier or later than the anniversary of the Annual Meeting, requests to include stockholder-nominated candidates in our proxy materials for the 2020 annual meeting of stockholders must be received not later than (1) the 10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day after public announcement of the date of the 2020 annual meeting of stockholders or (2) the 60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day prior to the date we file our proxy statement in connection with the 2020 annual meeting of stockholders.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1A6DBB"/>
        </w:rPr>
        <w:t>Annual Elections and Majority Voting</w:t>
      </w:r>
    </w:p>
    <w:p>
      <w:pPr>
        <w:spacing w:after="0" w:line="128" w:lineRule="exact"/>
        <w:rPr>
          <w:sz w:val="20"/>
          <w:szCs w:val="20"/>
          <w:color w:val="auto"/>
        </w:rPr>
      </w:pPr>
    </w:p>
    <w:p>
      <w:pPr>
        <w:ind w:left="220" w:right="40"/>
        <w:spacing w:after="0" w:line="247" w:lineRule="auto"/>
        <w:rPr>
          <w:sz w:val="20"/>
          <w:szCs w:val="20"/>
          <w:color w:val="auto"/>
        </w:rPr>
      </w:pPr>
      <w:r>
        <w:rPr>
          <w:rFonts w:ascii="Arial" w:cs="Arial" w:eastAsia="Arial" w:hAnsi="Arial"/>
          <w:sz w:val="16"/>
          <w:szCs w:val="16"/>
          <w:color w:val="auto"/>
        </w:rPr>
        <w:t>Our directors are elected annually to serve until the next annual meeting of stockholders and until their successors are duly elected and qualified. Our directors must be elected by a majority of votes cast in uncontested elections (meaning any election for which the number of directors nominated does not exceed the number of directors to be elected at such meeting), and by a plurality of votes cast in contested elections (meaning any election for which the number of directors nominated exceeds the number of directors to be elected at such meeting, regardless of whether such nominees were proposed by the Company or by stockholders). In addition, following their appointment or election by stockholders to our Board of Directors, directors must submit an irrevocable resignation that will be effective upon (1) the failure to receive the required number of votes for reelection at the next annual meeting of stockholders at which they face reelection and (2) acceptance of such resignation by our Board of Directors. If an incumbent director fails to receive the number of votes required for reelection, our Board of Directors (excluding the director in question) will, within 90 days after certification of the election results, decide whether to accept the director’s resignation taking into account such factors as it deems relevant. Such factors may include the stated reasons why stockholders voted against such director’s reelection, the qualifications of the director and whether accepting the resignation would cause us to fail to meet any applicable listing standards or would violate state law. Our Board of Directors will promptly disclose its decision in a filing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448945</wp:posOffset>
            </wp:positionV>
            <wp:extent cx="660400" cy="154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6040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1A6DBB"/>
        </w:rPr>
        <w:t>Director Qualifications, Standards and Diversity</w:t>
      </w:r>
    </w:p>
    <w:p>
      <w:pPr>
        <w:spacing w:after="0" w:line="126" w:lineRule="exact"/>
        <w:rPr>
          <w:sz w:val="20"/>
          <w:szCs w:val="20"/>
          <w:color w:val="auto"/>
        </w:rPr>
      </w:pPr>
    </w:p>
    <w:p>
      <w:pPr>
        <w:ind w:left="260" w:right="60" w:hanging="251"/>
        <w:spacing w:after="0" w:line="249" w:lineRule="auto"/>
        <w:tabs>
          <w:tab w:leader="none" w:pos="260" w:val="left"/>
        </w:tabs>
        <w:numPr>
          <w:ilvl w:val="0"/>
          <w:numId w:val="21"/>
        </w:numPr>
        <w:rPr>
          <w:rFonts w:ascii="Arial" w:cs="Arial" w:eastAsia="Arial" w:hAnsi="Arial"/>
          <w:sz w:val="16"/>
          <w:szCs w:val="16"/>
          <w:color w:val="1A6DBB"/>
        </w:rPr>
      </w:pPr>
      <w:r>
        <w:rPr>
          <w:rFonts w:ascii="Arial" w:cs="Arial" w:eastAsia="Arial" w:hAnsi="Arial"/>
          <w:sz w:val="16"/>
          <w:szCs w:val="16"/>
          <w:i w:val="1"/>
          <w:iCs w:val="1"/>
          <w:color w:val="427F3D"/>
        </w:rPr>
        <w:t xml:space="preserve">Board Composition. </w:t>
      </w:r>
      <w:r>
        <w:rPr>
          <w:rFonts w:ascii="Arial" w:cs="Arial" w:eastAsia="Arial" w:hAnsi="Arial"/>
          <w:sz w:val="16"/>
          <w:szCs w:val="16"/>
          <w:color w:val="000000"/>
        </w:rPr>
        <w:t>Our Board of Directors is committed to ensuring</w:t>
      </w:r>
      <w:r>
        <w:rPr>
          <w:rFonts w:ascii="Arial" w:cs="Arial" w:eastAsia="Arial" w:hAnsi="Arial"/>
          <w:sz w:val="16"/>
          <w:szCs w:val="16"/>
          <w:i w:val="1"/>
          <w:iCs w:val="1"/>
          <w:color w:val="427F3D"/>
        </w:rPr>
        <w:t xml:space="preserve"> </w:t>
      </w:r>
      <w:r>
        <w:rPr>
          <w:rFonts w:ascii="Arial" w:cs="Arial" w:eastAsia="Arial" w:hAnsi="Arial"/>
          <w:sz w:val="16"/>
          <w:szCs w:val="16"/>
          <w:color w:val="000000"/>
        </w:rPr>
        <w:t>that it is well-equipped to oversee the Company’s business and effectively represent the interests of stockholders. Our Board of Directors regularly reviews its composition to ensure it includes directors with the experience, skills and diversity necessary for effective, independent Board oversight. Towards this end, our Board of Directors initiated a process to add new directors with capabilities that would be beneficial to the Company and stockholders. As a result of this process, we have nominated three new director candidates to stand for election at the Annual Meeting. Our Board of Directors will continue to seek to add new directors to our Board, focusing on skills, experience and diversity.</w:t>
      </w:r>
    </w:p>
    <w:p>
      <w:pPr>
        <w:spacing w:after="0" w:line="99" w:lineRule="exact"/>
        <w:rPr>
          <w:rFonts w:ascii="Arial" w:cs="Arial" w:eastAsia="Arial" w:hAnsi="Arial"/>
          <w:sz w:val="16"/>
          <w:szCs w:val="16"/>
          <w:color w:val="1A6DBB"/>
        </w:rPr>
      </w:pPr>
    </w:p>
    <w:p>
      <w:pPr>
        <w:ind w:left="260" w:right="40" w:hanging="251"/>
        <w:spacing w:after="0" w:line="253" w:lineRule="auto"/>
        <w:tabs>
          <w:tab w:leader="none" w:pos="260" w:val="left"/>
        </w:tabs>
        <w:numPr>
          <w:ilvl w:val="0"/>
          <w:numId w:val="21"/>
        </w:numPr>
        <w:rPr>
          <w:rFonts w:ascii="Arial" w:cs="Arial" w:eastAsia="Arial" w:hAnsi="Arial"/>
          <w:sz w:val="16"/>
          <w:szCs w:val="16"/>
          <w:color w:val="1A6DBB"/>
        </w:rPr>
      </w:pPr>
      <w:r>
        <w:rPr>
          <w:rFonts w:ascii="Arial" w:cs="Arial" w:eastAsia="Arial" w:hAnsi="Arial"/>
          <w:sz w:val="16"/>
          <w:szCs w:val="16"/>
          <w:i w:val="1"/>
          <w:iCs w:val="1"/>
          <w:color w:val="427F3D"/>
        </w:rPr>
        <w:t xml:space="preserve">General Qualifications and Standards. </w:t>
      </w:r>
      <w:r>
        <w:rPr>
          <w:rFonts w:ascii="Arial" w:cs="Arial" w:eastAsia="Arial" w:hAnsi="Arial"/>
          <w:sz w:val="16"/>
          <w:szCs w:val="16"/>
          <w:color w:val="000000"/>
        </w:rPr>
        <w:t>Our Corporate Governance</w:t>
      </w:r>
      <w:r>
        <w:rPr>
          <w:rFonts w:ascii="Arial" w:cs="Arial" w:eastAsia="Arial" w:hAnsi="Arial"/>
          <w:sz w:val="16"/>
          <w:szCs w:val="16"/>
          <w:i w:val="1"/>
          <w:iCs w:val="1"/>
          <w:color w:val="427F3D"/>
        </w:rPr>
        <w:t xml:space="preserve"> </w:t>
      </w:r>
      <w:r>
        <w:rPr>
          <w:rFonts w:ascii="Arial" w:cs="Arial" w:eastAsia="Arial" w:hAnsi="Arial"/>
          <w:sz w:val="16"/>
          <w:szCs w:val="16"/>
          <w:color w:val="000000"/>
        </w:rPr>
        <w:t>Principles provide that directors should possess the highest personal and professional ethics and integrity, understand and be aligned with our core values and be committed to representing the long-term interests of our stockholders. Our directors must also be inquisitive and objective and have practical wisdom and mature judgment.</w:t>
      </w:r>
    </w:p>
    <w:p>
      <w:pPr>
        <w:spacing w:after="0" w:line="92" w:lineRule="exact"/>
        <w:rPr>
          <w:rFonts w:ascii="Arial" w:cs="Arial" w:eastAsia="Arial" w:hAnsi="Arial"/>
          <w:sz w:val="16"/>
          <w:szCs w:val="16"/>
          <w:color w:val="1A6DBB"/>
        </w:rPr>
      </w:pPr>
    </w:p>
    <w:p>
      <w:pPr>
        <w:ind w:left="260" w:right="60" w:hanging="251"/>
        <w:spacing w:after="0" w:line="248" w:lineRule="auto"/>
        <w:tabs>
          <w:tab w:leader="none" w:pos="260" w:val="left"/>
        </w:tabs>
        <w:numPr>
          <w:ilvl w:val="0"/>
          <w:numId w:val="21"/>
        </w:numPr>
        <w:rPr>
          <w:rFonts w:ascii="Arial" w:cs="Arial" w:eastAsia="Arial" w:hAnsi="Arial"/>
          <w:sz w:val="16"/>
          <w:szCs w:val="16"/>
          <w:color w:val="1A6DBB"/>
        </w:rPr>
      </w:pPr>
      <w:r>
        <w:rPr>
          <w:rFonts w:ascii="Arial" w:cs="Arial" w:eastAsia="Arial" w:hAnsi="Arial"/>
          <w:sz w:val="16"/>
          <w:szCs w:val="16"/>
          <w:i w:val="1"/>
          <w:iCs w:val="1"/>
          <w:color w:val="427F3D"/>
        </w:rPr>
        <w:t xml:space="preserve">Diversity. </w:t>
      </w:r>
      <w:r>
        <w:rPr>
          <w:rFonts w:ascii="Arial" w:cs="Arial" w:eastAsia="Arial" w:hAnsi="Arial"/>
          <w:sz w:val="16"/>
          <w:szCs w:val="16"/>
          <w:color w:val="000000"/>
        </w:rPr>
        <w:t>In accordance with our Corporate Governance Principles, we</w:t>
      </w:r>
      <w:r>
        <w:rPr>
          <w:rFonts w:ascii="Arial" w:cs="Arial" w:eastAsia="Arial" w:hAnsi="Arial"/>
          <w:sz w:val="16"/>
          <w:szCs w:val="16"/>
          <w:i w:val="1"/>
          <w:iCs w:val="1"/>
          <w:color w:val="427F3D"/>
        </w:rPr>
        <w:t xml:space="preserve"> </w:t>
      </w:r>
      <w:r>
        <w:rPr>
          <w:rFonts w:ascii="Arial" w:cs="Arial" w:eastAsia="Arial" w:hAnsi="Arial"/>
          <w:sz w:val="16"/>
          <w:szCs w:val="16"/>
          <w:color w:val="000000"/>
        </w:rPr>
        <w:t>endeavor to have a Board of Directors that collectively represents diversity of thought and diverse experience at strategic and policy-making levels in business, government, education, healthcare, science and technology and the international arena, and collectively has knowledge and expertise in the functional areas of accounting and finance, risk management and compliance, strategic and business planning, corporate governance, human resources, marketing and commercial and research and development. Consistent with our Corporate Governance Principles, in selecting nominees to our Board of Directors, our Corporate Governance Committee considers the diversity of skills and experience that a potential nominee possesses and the extent to which such diversity would enhance the perspective, background, knowledge and experience of our Board of Directors as a whole. Our Board of Directors considers personal diversity, including gender, national origin, ethnic and racial diversity, as an additional benefit to our Board of Directors as a whole.</w:t>
      </w:r>
    </w:p>
    <w:p>
      <w:pPr>
        <w:spacing w:after="0" w:line="103" w:lineRule="exact"/>
        <w:rPr>
          <w:rFonts w:ascii="Arial" w:cs="Arial" w:eastAsia="Arial" w:hAnsi="Arial"/>
          <w:sz w:val="16"/>
          <w:szCs w:val="16"/>
          <w:color w:val="1A6DBB"/>
        </w:rPr>
      </w:pPr>
    </w:p>
    <w:p>
      <w:pPr>
        <w:ind w:left="260" w:hanging="251"/>
        <w:spacing w:after="0" w:line="258" w:lineRule="auto"/>
        <w:tabs>
          <w:tab w:leader="none" w:pos="260" w:val="left"/>
        </w:tabs>
        <w:numPr>
          <w:ilvl w:val="0"/>
          <w:numId w:val="21"/>
        </w:numPr>
        <w:rPr>
          <w:rFonts w:ascii="Arial" w:cs="Arial" w:eastAsia="Arial" w:hAnsi="Arial"/>
          <w:sz w:val="16"/>
          <w:szCs w:val="16"/>
          <w:color w:val="1A6DBB"/>
        </w:rPr>
      </w:pPr>
      <w:r>
        <w:rPr>
          <w:rFonts w:ascii="Arial" w:cs="Arial" w:eastAsia="Arial" w:hAnsi="Arial"/>
          <w:sz w:val="16"/>
          <w:szCs w:val="16"/>
          <w:i w:val="1"/>
          <w:iCs w:val="1"/>
          <w:color w:val="427F3D"/>
        </w:rPr>
        <w:t xml:space="preserve">Director Term and Resignation. </w:t>
      </w:r>
      <w:r>
        <w:rPr>
          <w:rFonts w:ascii="Arial" w:cs="Arial" w:eastAsia="Arial" w:hAnsi="Arial"/>
          <w:sz w:val="16"/>
          <w:szCs w:val="16"/>
          <w:color w:val="000000"/>
        </w:rPr>
        <w:t>Our Board of Directors does not believe</w:t>
      </w:r>
      <w:r>
        <w:rPr>
          <w:rFonts w:ascii="Arial" w:cs="Arial" w:eastAsia="Arial" w:hAnsi="Arial"/>
          <w:sz w:val="16"/>
          <w:szCs w:val="16"/>
          <w:i w:val="1"/>
          <w:iCs w:val="1"/>
          <w:color w:val="427F3D"/>
        </w:rPr>
        <w:t xml:space="preserve"> </w:t>
      </w:r>
      <w:r>
        <w:rPr>
          <w:rFonts w:ascii="Arial" w:cs="Arial" w:eastAsia="Arial" w:hAnsi="Arial"/>
          <w:sz w:val="16"/>
          <w:szCs w:val="16"/>
          <w:color w:val="000000"/>
        </w:rPr>
        <w:t>that arbitrary term limits on directors’ service are appropriate, nor does it believe that directors should expect to be re-nominated. Our Corporate Governance Principles provide that directors should offer</w:t>
      </w:r>
    </w:p>
    <w:p>
      <w:pPr>
        <w:spacing w:after="0" w:line="200" w:lineRule="exact"/>
        <w:rPr>
          <w:sz w:val="20"/>
          <w:szCs w:val="20"/>
          <w:color w:val="auto"/>
        </w:rPr>
      </w:pPr>
    </w:p>
    <w:p>
      <w:pPr>
        <w:sectPr>
          <w:pgSz w:w="11900" w:h="16838" w:orient="portrait"/>
          <w:cols w:equalWidth="0" w:num="2">
            <w:col w:w="5480" w:space="340"/>
            <w:col w:w="5380"/>
          </w:cols>
          <w:pgMar w:left="240" w:top="459" w:right="459" w:bottom="1440" w:gutter="0" w:footer="0" w:header="0"/>
          <w:type w:val="continuous"/>
        </w:sectPr>
      </w:pPr>
    </w:p>
    <w:p>
      <w:pPr>
        <w:spacing w:after="0" w:line="106" w:lineRule="exact"/>
        <w:rPr>
          <w:sz w:val="20"/>
          <w:szCs w:val="20"/>
          <w:color w:val="auto"/>
        </w:rPr>
      </w:pPr>
    </w:p>
    <w:p>
      <w:pPr>
        <w:ind w:left="380"/>
        <w:spacing w:after="0"/>
        <w:rPr>
          <w:sz w:val="20"/>
          <w:szCs w:val="20"/>
          <w:color w:val="auto"/>
        </w:rPr>
      </w:pPr>
      <w:r>
        <w:rPr>
          <w:rFonts w:ascii="Arial" w:cs="Arial" w:eastAsia="Arial" w:hAnsi="Arial"/>
          <w:sz w:val="9"/>
          <w:szCs w:val="9"/>
          <w:color w:val="1A6DBB"/>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7019925</wp:posOffset>
            </wp:positionH>
            <wp:positionV relativeFrom="paragraph">
              <wp:posOffset>-40640</wp:posOffset>
            </wp:positionV>
            <wp:extent cx="102870" cy="946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22"/>
        </w:numPr>
        <w:rPr>
          <w:rFonts w:ascii="Arial" w:cs="Arial" w:eastAsia="Arial" w:hAnsi="Arial"/>
          <w:sz w:val="90"/>
          <w:szCs w:val="90"/>
          <w:color w:val="1A6DBB"/>
        </w:rPr>
      </w:pPr>
      <w:r>
        <w:rPr>
          <w:rFonts w:ascii="Arial" w:cs="Arial" w:eastAsia="Arial" w:hAnsi="Arial"/>
          <w:sz w:val="41"/>
          <w:szCs w:val="41"/>
          <w:color w:val="1A6DBB"/>
        </w:rPr>
        <w:t xml:space="preserve">Corporate Governance at Biogen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5440" w:type="dxa"/>
            <w:vAlign w:val="bottom"/>
          </w:tcPr>
          <w:p>
            <w:pPr>
              <w:ind w:left="260"/>
              <w:spacing w:after="0"/>
              <w:rPr>
                <w:sz w:val="20"/>
                <w:szCs w:val="20"/>
                <w:color w:val="auto"/>
              </w:rPr>
            </w:pPr>
            <w:r>
              <w:rPr>
                <w:rFonts w:ascii="Arial" w:cs="Arial" w:eastAsia="Arial" w:hAnsi="Arial"/>
                <w:sz w:val="16"/>
                <w:szCs w:val="16"/>
                <w:color w:val="auto"/>
              </w:rPr>
              <w:t>their resignation in the event of any significant change in personal</w:t>
            </w:r>
          </w:p>
        </w:tc>
        <w:tc>
          <w:tcPr>
            <w:tcW w:w="5500" w:type="dxa"/>
            <w:vAlign w:val="bottom"/>
          </w:tcPr>
          <w:p>
            <w:pPr>
              <w:ind w:left="440"/>
              <w:spacing w:after="0"/>
              <w:rPr>
                <w:sz w:val="20"/>
                <w:szCs w:val="20"/>
                <w:color w:val="auto"/>
              </w:rPr>
            </w:pPr>
            <w:r>
              <w:rPr>
                <w:rFonts w:ascii="Arial" w:cs="Arial" w:eastAsia="Arial" w:hAnsi="Arial"/>
                <w:sz w:val="16"/>
                <w:szCs w:val="16"/>
                <w:color w:val="auto"/>
              </w:rPr>
              <w:t>ing effectively, and to provide our Board with an opportunity to reflect</w:t>
            </w:r>
          </w:p>
        </w:tc>
        <w:tc>
          <w:tcPr>
            <w:tcW w:w="0" w:type="dxa"/>
            <w:vAlign w:val="bottom"/>
          </w:tcPr>
          <w:p>
            <w:pPr>
              <w:spacing w:after="0"/>
              <w:rPr>
                <w:sz w:val="1"/>
                <w:szCs w:val="1"/>
                <w:color w:val="auto"/>
              </w:rPr>
            </w:pPr>
          </w:p>
        </w:tc>
      </w:tr>
      <w:tr>
        <w:trPr>
          <w:trHeight w:val="189"/>
        </w:trPr>
        <w:tc>
          <w:tcPr>
            <w:tcW w:w="5440" w:type="dxa"/>
            <w:vAlign w:val="bottom"/>
          </w:tcPr>
          <w:p>
            <w:pPr>
              <w:ind w:left="260"/>
              <w:spacing w:after="0"/>
              <w:rPr>
                <w:sz w:val="20"/>
                <w:szCs w:val="20"/>
                <w:color w:val="auto"/>
              </w:rPr>
            </w:pPr>
            <w:r>
              <w:rPr>
                <w:rFonts w:ascii="Arial" w:cs="Arial" w:eastAsia="Arial" w:hAnsi="Arial"/>
                <w:sz w:val="16"/>
                <w:szCs w:val="16"/>
                <w:color w:val="auto"/>
              </w:rPr>
              <w:t>circumstances, including a significant change in principal job</w:t>
            </w:r>
          </w:p>
        </w:tc>
        <w:tc>
          <w:tcPr>
            <w:tcW w:w="5500" w:type="dxa"/>
            <w:vAlign w:val="bottom"/>
          </w:tcPr>
          <w:p>
            <w:pPr>
              <w:ind w:left="440"/>
              <w:spacing w:after="0"/>
              <w:rPr>
                <w:sz w:val="20"/>
                <w:szCs w:val="20"/>
                <w:color w:val="auto"/>
              </w:rPr>
            </w:pPr>
            <w:r>
              <w:rPr>
                <w:rFonts w:ascii="Arial" w:cs="Arial" w:eastAsia="Arial" w:hAnsi="Arial"/>
                <w:sz w:val="16"/>
                <w:szCs w:val="16"/>
                <w:color w:val="auto"/>
              </w:rPr>
              <w:t>upon and improve processes and effectiveness. Our Corporate</w:t>
            </w:r>
          </w:p>
        </w:tc>
        <w:tc>
          <w:tcPr>
            <w:tcW w:w="0" w:type="dxa"/>
            <w:vAlign w:val="bottom"/>
          </w:tcPr>
          <w:p>
            <w:pPr>
              <w:spacing w:after="0"/>
              <w:rPr>
                <w:sz w:val="1"/>
                <w:szCs w:val="1"/>
                <w:color w:val="auto"/>
              </w:rPr>
            </w:pPr>
          </w:p>
        </w:tc>
      </w:tr>
      <w:tr>
        <w:trPr>
          <w:trHeight w:val="189"/>
        </w:trPr>
        <w:tc>
          <w:tcPr>
            <w:tcW w:w="5440" w:type="dxa"/>
            <w:vAlign w:val="bottom"/>
          </w:tcPr>
          <w:p>
            <w:pPr>
              <w:ind w:left="260"/>
              <w:spacing w:after="0"/>
              <w:rPr>
                <w:sz w:val="20"/>
                <w:szCs w:val="20"/>
                <w:color w:val="auto"/>
              </w:rPr>
            </w:pPr>
            <w:r>
              <w:rPr>
                <w:rFonts w:ascii="Arial" w:cs="Arial" w:eastAsia="Arial" w:hAnsi="Arial"/>
                <w:sz w:val="16"/>
                <w:szCs w:val="16"/>
                <w:color w:val="auto"/>
              </w:rPr>
              <w:t>responsibilities or any circumstances that may adversely affect their</w:t>
            </w:r>
          </w:p>
        </w:tc>
        <w:tc>
          <w:tcPr>
            <w:tcW w:w="5500" w:type="dxa"/>
            <w:vAlign w:val="bottom"/>
          </w:tcPr>
          <w:p>
            <w:pPr>
              <w:ind w:left="440"/>
              <w:spacing w:after="0"/>
              <w:rPr>
                <w:sz w:val="20"/>
                <w:szCs w:val="20"/>
                <w:color w:val="auto"/>
              </w:rPr>
            </w:pPr>
            <w:r>
              <w:rPr>
                <w:rFonts w:ascii="Arial" w:cs="Arial" w:eastAsia="Arial" w:hAnsi="Arial"/>
                <w:sz w:val="16"/>
                <w:szCs w:val="16"/>
                <w:color w:val="auto"/>
              </w:rPr>
              <w:t>Governance Committee oversees the evaluations and reports the</w:t>
            </w:r>
          </w:p>
        </w:tc>
        <w:tc>
          <w:tcPr>
            <w:tcW w:w="0" w:type="dxa"/>
            <w:vAlign w:val="bottom"/>
          </w:tcPr>
          <w:p>
            <w:pPr>
              <w:spacing w:after="0"/>
              <w:rPr>
                <w:sz w:val="1"/>
                <w:szCs w:val="1"/>
                <w:color w:val="auto"/>
              </w:rPr>
            </w:pPr>
          </w:p>
        </w:tc>
      </w:tr>
      <w:tr>
        <w:trPr>
          <w:trHeight w:val="189"/>
        </w:trPr>
        <w:tc>
          <w:tcPr>
            <w:tcW w:w="5440" w:type="dxa"/>
            <w:vAlign w:val="bottom"/>
          </w:tcPr>
          <w:p>
            <w:pPr>
              <w:ind w:left="260"/>
              <w:spacing w:after="0"/>
              <w:rPr>
                <w:sz w:val="20"/>
                <w:szCs w:val="20"/>
                <w:color w:val="auto"/>
              </w:rPr>
            </w:pPr>
            <w:r>
              <w:rPr>
                <w:rFonts w:ascii="Arial" w:cs="Arial" w:eastAsia="Arial" w:hAnsi="Arial"/>
                <w:sz w:val="16"/>
                <w:szCs w:val="16"/>
                <w:color w:val="auto"/>
              </w:rPr>
              <w:t>ability to effectively carry out their duties and responsibilities or in the</w:t>
            </w:r>
          </w:p>
        </w:tc>
        <w:tc>
          <w:tcPr>
            <w:tcW w:w="5500" w:type="dxa"/>
            <w:vAlign w:val="bottom"/>
          </w:tcPr>
          <w:p>
            <w:pPr>
              <w:ind w:left="440"/>
              <w:spacing w:after="0"/>
              <w:rPr>
                <w:sz w:val="20"/>
                <w:szCs w:val="20"/>
                <w:color w:val="auto"/>
              </w:rPr>
            </w:pPr>
            <w:r>
              <w:rPr>
                <w:rFonts w:ascii="Arial" w:cs="Arial" w:eastAsia="Arial" w:hAnsi="Arial"/>
                <w:sz w:val="16"/>
                <w:szCs w:val="16"/>
                <w:color w:val="auto"/>
              </w:rPr>
              <w:t>results to our Board of Directors, which considers the results and ways</w:t>
            </w:r>
          </w:p>
        </w:tc>
        <w:tc>
          <w:tcPr>
            <w:tcW w:w="0" w:type="dxa"/>
            <w:vAlign w:val="bottom"/>
          </w:tcPr>
          <w:p>
            <w:pPr>
              <w:spacing w:after="0"/>
              <w:rPr>
                <w:sz w:val="1"/>
                <w:szCs w:val="1"/>
                <w:color w:val="auto"/>
              </w:rPr>
            </w:pPr>
          </w:p>
        </w:tc>
      </w:tr>
      <w:tr>
        <w:trPr>
          <w:trHeight w:val="189"/>
        </w:trPr>
        <w:tc>
          <w:tcPr>
            <w:tcW w:w="5440" w:type="dxa"/>
            <w:vAlign w:val="bottom"/>
          </w:tcPr>
          <w:p>
            <w:pPr>
              <w:ind w:left="260"/>
              <w:spacing w:after="0"/>
              <w:rPr>
                <w:sz w:val="20"/>
                <w:szCs w:val="20"/>
                <w:color w:val="auto"/>
              </w:rPr>
            </w:pPr>
            <w:r>
              <w:rPr>
                <w:rFonts w:ascii="Arial" w:cs="Arial" w:eastAsia="Arial" w:hAnsi="Arial"/>
                <w:sz w:val="16"/>
                <w:szCs w:val="16"/>
                <w:color w:val="auto"/>
              </w:rPr>
              <w:t>case of a significant conflict of interest that cannot otherwise be</w:t>
            </w:r>
          </w:p>
        </w:tc>
        <w:tc>
          <w:tcPr>
            <w:tcW w:w="5500" w:type="dxa"/>
            <w:vAlign w:val="bottom"/>
          </w:tcPr>
          <w:p>
            <w:pPr>
              <w:ind w:left="440"/>
              <w:spacing w:after="0"/>
              <w:rPr>
                <w:sz w:val="20"/>
                <w:szCs w:val="20"/>
                <w:color w:val="auto"/>
              </w:rPr>
            </w:pPr>
            <w:r>
              <w:rPr>
                <w:rFonts w:ascii="Arial" w:cs="Arial" w:eastAsia="Arial" w:hAnsi="Arial"/>
                <w:sz w:val="16"/>
                <w:szCs w:val="16"/>
                <w:color w:val="auto"/>
              </w:rPr>
              <w:t>in which Board processes and effectiveness may be enhanced.</w:t>
            </w:r>
          </w:p>
        </w:tc>
        <w:tc>
          <w:tcPr>
            <w:tcW w:w="0" w:type="dxa"/>
            <w:vAlign w:val="bottom"/>
          </w:tcPr>
          <w:p>
            <w:pPr>
              <w:spacing w:after="0"/>
              <w:rPr>
                <w:sz w:val="1"/>
                <w:szCs w:val="1"/>
                <w:color w:val="auto"/>
              </w:rPr>
            </w:pPr>
          </w:p>
        </w:tc>
      </w:tr>
      <w:tr>
        <w:trPr>
          <w:trHeight w:val="189"/>
        </w:trPr>
        <w:tc>
          <w:tcPr>
            <w:tcW w:w="5440" w:type="dxa"/>
            <w:vAlign w:val="bottom"/>
          </w:tcPr>
          <w:p>
            <w:pPr>
              <w:ind w:left="260"/>
              <w:spacing w:after="0"/>
              <w:rPr>
                <w:sz w:val="20"/>
                <w:szCs w:val="20"/>
                <w:color w:val="auto"/>
              </w:rPr>
            </w:pPr>
            <w:r>
              <w:rPr>
                <w:rFonts w:ascii="Arial" w:cs="Arial" w:eastAsia="Arial" w:hAnsi="Arial"/>
                <w:sz w:val="16"/>
                <w:szCs w:val="16"/>
                <w:color w:val="auto"/>
              </w:rPr>
              <w:t>resolved. Our directors are also expected to offer their resignation to</w:t>
            </w:r>
          </w:p>
        </w:tc>
        <w:tc>
          <w:tcPr>
            <w:tcW w:w="5500" w:type="dxa"/>
            <w:vAlign w:val="bottom"/>
            <w:vMerge w:val="restart"/>
          </w:tcPr>
          <w:p>
            <w:pPr>
              <w:ind w:left="18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i w:val="1"/>
                <w:iCs w:val="1"/>
                <w:color w:val="427F3D"/>
              </w:rPr>
              <w:t>Director Orientation and Continuing Education.</w:t>
            </w:r>
            <w:r>
              <w:rPr>
                <w:rFonts w:ascii="Arial" w:cs="Arial" w:eastAsia="Arial" w:hAnsi="Arial"/>
                <w:sz w:val="16"/>
                <w:szCs w:val="16"/>
                <w:color w:val="1A6DBB"/>
              </w:rPr>
              <w:t xml:space="preserve"> </w:t>
            </w:r>
            <w:r>
              <w:rPr>
                <w:rFonts w:ascii="Arial" w:cs="Arial" w:eastAsia="Arial" w:hAnsi="Arial"/>
                <w:sz w:val="16"/>
                <w:szCs w:val="16"/>
                <w:color w:val="000000"/>
              </w:rPr>
              <w:t>We provide orientation</w:t>
            </w:r>
          </w:p>
        </w:tc>
        <w:tc>
          <w:tcPr>
            <w:tcW w:w="0" w:type="dxa"/>
            <w:vAlign w:val="bottom"/>
          </w:tcPr>
          <w:p>
            <w:pPr>
              <w:spacing w:after="0"/>
              <w:rPr>
                <w:sz w:val="1"/>
                <w:szCs w:val="1"/>
                <w:color w:val="auto"/>
              </w:rPr>
            </w:pPr>
          </w:p>
        </w:tc>
      </w:tr>
      <w:tr>
        <w:trPr>
          <w:trHeight w:val="122"/>
        </w:trPr>
        <w:tc>
          <w:tcPr>
            <w:tcW w:w="5440" w:type="dxa"/>
            <w:vAlign w:val="bottom"/>
            <w:vMerge w:val="restart"/>
          </w:tcPr>
          <w:p>
            <w:pPr>
              <w:ind w:left="260"/>
              <w:spacing w:after="0"/>
              <w:rPr>
                <w:sz w:val="20"/>
                <w:szCs w:val="20"/>
                <w:color w:val="auto"/>
              </w:rPr>
            </w:pPr>
            <w:r>
              <w:rPr>
                <w:rFonts w:ascii="Arial" w:cs="Arial" w:eastAsia="Arial" w:hAnsi="Arial"/>
                <w:sz w:val="16"/>
                <w:szCs w:val="16"/>
                <w:color w:val="auto"/>
              </w:rPr>
              <w:t>our Board of Directors effective at the annual meeting of stockholders</w:t>
            </w:r>
          </w:p>
        </w:tc>
        <w:tc>
          <w:tcPr>
            <w:tcW w:w="5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5440" w:type="dxa"/>
            <w:vAlign w:val="bottom"/>
            <w:vMerge w:val="continue"/>
          </w:tcPr>
          <w:p>
            <w:pPr>
              <w:spacing w:after="0"/>
              <w:rPr>
                <w:sz w:val="5"/>
                <w:szCs w:val="5"/>
                <w:color w:val="auto"/>
              </w:rPr>
            </w:pPr>
          </w:p>
        </w:tc>
        <w:tc>
          <w:tcPr>
            <w:tcW w:w="5500" w:type="dxa"/>
            <w:vAlign w:val="bottom"/>
            <w:vMerge w:val="restart"/>
          </w:tcPr>
          <w:p>
            <w:pPr>
              <w:ind w:left="440"/>
              <w:spacing w:after="0"/>
              <w:rPr>
                <w:sz w:val="20"/>
                <w:szCs w:val="20"/>
                <w:color w:val="auto"/>
              </w:rPr>
            </w:pPr>
            <w:r>
              <w:rPr>
                <w:rFonts w:ascii="Arial" w:cs="Arial" w:eastAsia="Arial" w:hAnsi="Arial"/>
                <w:sz w:val="16"/>
                <w:szCs w:val="16"/>
                <w:color w:val="auto"/>
              </w:rPr>
              <w:t>for new directors and provide directors with materials or briefing</w:t>
            </w:r>
          </w:p>
        </w:tc>
        <w:tc>
          <w:tcPr>
            <w:tcW w:w="0" w:type="dxa"/>
            <w:vAlign w:val="bottom"/>
          </w:tcPr>
          <w:p>
            <w:pPr>
              <w:spacing w:after="0"/>
              <w:rPr>
                <w:sz w:val="1"/>
                <w:szCs w:val="1"/>
                <w:color w:val="auto"/>
              </w:rPr>
            </w:pPr>
          </w:p>
        </w:tc>
      </w:tr>
      <w:tr>
        <w:trPr>
          <w:trHeight w:val="127"/>
        </w:trPr>
        <w:tc>
          <w:tcPr>
            <w:tcW w:w="5440" w:type="dxa"/>
            <w:vAlign w:val="bottom"/>
            <w:vMerge w:val="restart"/>
          </w:tcPr>
          <w:p>
            <w:pPr>
              <w:ind w:left="260"/>
              <w:spacing w:after="0" w:line="273" w:lineRule="exact"/>
              <w:rPr>
                <w:sz w:val="20"/>
                <w:szCs w:val="20"/>
                <w:color w:val="auto"/>
              </w:rPr>
            </w:pPr>
            <w:r>
              <w:rPr>
                <w:rFonts w:ascii="Arial" w:cs="Arial" w:eastAsia="Arial" w:hAnsi="Arial"/>
                <w:sz w:val="16"/>
                <w:szCs w:val="16"/>
                <w:color w:val="auto"/>
              </w:rPr>
              <w:t>in the year of their 75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birthday.</w:t>
            </w:r>
          </w:p>
        </w:tc>
        <w:tc>
          <w:tcPr>
            <w:tcW w:w="5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5440" w:type="dxa"/>
            <w:vAlign w:val="bottom"/>
            <w:vMerge w:val="continue"/>
          </w:tcPr>
          <w:p>
            <w:pPr>
              <w:spacing w:after="0"/>
              <w:rPr>
                <w:sz w:val="12"/>
                <w:szCs w:val="12"/>
                <w:color w:val="auto"/>
              </w:rPr>
            </w:pPr>
          </w:p>
        </w:tc>
        <w:tc>
          <w:tcPr>
            <w:tcW w:w="5500" w:type="dxa"/>
            <w:vAlign w:val="bottom"/>
            <w:vMerge w:val="restart"/>
          </w:tcPr>
          <w:p>
            <w:pPr>
              <w:ind w:left="440"/>
              <w:spacing w:after="0"/>
              <w:rPr>
                <w:sz w:val="20"/>
                <w:szCs w:val="20"/>
                <w:color w:val="auto"/>
              </w:rPr>
            </w:pPr>
            <w:r>
              <w:rPr>
                <w:rFonts w:ascii="Arial" w:cs="Arial" w:eastAsia="Arial" w:hAnsi="Arial"/>
                <w:sz w:val="16"/>
                <w:szCs w:val="16"/>
                <w:color w:val="auto"/>
              </w:rPr>
              <w:t>sessions on subjects that we believe will assist them in discharging</w:t>
            </w:r>
          </w:p>
        </w:tc>
        <w:tc>
          <w:tcPr>
            <w:tcW w:w="0" w:type="dxa"/>
            <w:vAlign w:val="bottom"/>
          </w:tcPr>
          <w:p>
            <w:pPr>
              <w:spacing w:after="0"/>
              <w:rPr>
                <w:sz w:val="1"/>
                <w:szCs w:val="1"/>
                <w:color w:val="auto"/>
              </w:rPr>
            </w:pPr>
          </w:p>
        </w:tc>
      </w:tr>
      <w:tr>
        <w:trPr>
          <w:trHeight w:val="42"/>
        </w:trPr>
        <w:tc>
          <w:tcPr>
            <w:tcW w:w="5440" w:type="dxa"/>
            <w:vAlign w:val="bottom"/>
            <w:vMerge w:val="restart"/>
          </w:tcPr>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i w:val="1"/>
                <w:iCs w:val="1"/>
                <w:color w:val="427F3D"/>
              </w:rPr>
              <w:t>Board and Committee Evaluations.</w:t>
            </w:r>
            <w:r>
              <w:rPr>
                <w:rFonts w:ascii="Arial" w:cs="Arial" w:eastAsia="Arial" w:hAnsi="Arial"/>
                <w:sz w:val="16"/>
                <w:szCs w:val="16"/>
                <w:color w:val="1A6DBB"/>
              </w:rPr>
              <w:t xml:space="preserve"> </w:t>
            </w:r>
            <w:r>
              <w:rPr>
                <w:rFonts w:ascii="Arial" w:cs="Arial" w:eastAsia="Arial" w:hAnsi="Arial"/>
                <w:sz w:val="16"/>
                <w:szCs w:val="16"/>
                <w:color w:val="000000"/>
              </w:rPr>
              <w:t>Regular evaluations are an</w:t>
            </w:r>
          </w:p>
        </w:tc>
        <w:tc>
          <w:tcPr>
            <w:tcW w:w="5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5440" w:type="dxa"/>
            <w:vAlign w:val="bottom"/>
            <w:vMerge w:val="continue"/>
          </w:tcPr>
          <w:p>
            <w:pPr>
              <w:spacing w:after="0"/>
              <w:rPr>
                <w:sz w:val="16"/>
                <w:szCs w:val="16"/>
                <w:color w:val="auto"/>
              </w:rPr>
            </w:pPr>
          </w:p>
        </w:tc>
        <w:tc>
          <w:tcPr>
            <w:tcW w:w="5500" w:type="dxa"/>
            <w:vAlign w:val="bottom"/>
          </w:tcPr>
          <w:p>
            <w:pPr>
              <w:ind w:left="440"/>
              <w:spacing w:after="0"/>
              <w:rPr>
                <w:sz w:val="20"/>
                <w:szCs w:val="20"/>
                <w:color w:val="auto"/>
              </w:rPr>
            </w:pPr>
            <w:r>
              <w:rPr>
                <w:rFonts w:ascii="Arial" w:cs="Arial" w:eastAsia="Arial" w:hAnsi="Arial"/>
                <w:sz w:val="16"/>
                <w:szCs w:val="16"/>
                <w:color w:val="auto"/>
              </w:rPr>
              <w:t>their duties. We also make director education program information</w:t>
            </w:r>
          </w:p>
        </w:tc>
        <w:tc>
          <w:tcPr>
            <w:tcW w:w="0" w:type="dxa"/>
            <w:vAlign w:val="bottom"/>
          </w:tcPr>
          <w:p>
            <w:pPr>
              <w:spacing w:after="0"/>
              <w:rPr>
                <w:sz w:val="1"/>
                <w:szCs w:val="1"/>
                <w:color w:val="auto"/>
              </w:rPr>
            </w:pPr>
          </w:p>
        </w:tc>
      </w:tr>
      <w:tr>
        <w:trPr>
          <w:trHeight w:val="189"/>
        </w:trPr>
        <w:tc>
          <w:tcPr>
            <w:tcW w:w="5440" w:type="dxa"/>
            <w:vAlign w:val="bottom"/>
          </w:tcPr>
          <w:p>
            <w:pPr>
              <w:ind w:left="260"/>
              <w:spacing w:after="0"/>
              <w:rPr>
                <w:sz w:val="20"/>
                <w:szCs w:val="20"/>
                <w:color w:val="auto"/>
              </w:rPr>
            </w:pPr>
            <w:r>
              <w:rPr>
                <w:rFonts w:ascii="Arial" w:cs="Arial" w:eastAsia="Arial" w:hAnsi="Arial"/>
                <w:sz w:val="16"/>
                <w:szCs w:val="16"/>
                <w:color w:val="auto"/>
              </w:rPr>
              <w:t>important determinant for continued tenure, and, to that end, our</w:t>
            </w:r>
          </w:p>
        </w:tc>
        <w:tc>
          <w:tcPr>
            <w:tcW w:w="5500" w:type="dxa"/>
            <w:vAlign w:val="bottom"/>
          </w:tcPr>
          <w:p>
            <w:pPr>
              <w:ind w:left="440"/>
              <w:spacing w:after="0"/>
              <w:rPr>
                <w:sz w:val="20"/>
                <w:szCs w:val="20"/>
                <w:color w:val="auto"/>
              </w:rPr>
            </w:pPr>
            <w:r>
              <w:rPr>
                <w:rFonts w:ascii="Arial" w:cs="Arial" w:eastAsia="Arial" w:hAnsi="Arial"/>
                <w:sz w:val="16"/>
                <w:szCs w:val="16"/>
                <w:color w:val="auto"/>
              </w:rPr>
              <w:t>available to directors on a regular basis and encourage directors to</w:t>
            </w:r>
          </w:p>
        </w:tc>
        <w:tc>
          <w:tcPr>
            <w:tcW w:w="0" w:type="dxa"/>
            <w:vAlign w:val="bottom"/>
          </w:tcPr>
          <w:p>
            <w:pPr>
              <w:spacing w:after="0"/>
              <w:rPr>
                <w:sz w:val="1"/>
                <w:szCs w:val="1"/>
                <w:color w:val="auto"/>
              </w:rPr>
            </w:pPr>
          </w:p>
        </w:tc>
      </w:tr>
      <w:tr>
        <w:trPr>
          <w:trHeight w:val="189"/>
        </w:trPr>
        <w:tc>
          <w:tcPr>
            <w:tcW w:w="5440" w:type="dxa"/>
            <w:vAlign w:val="bottom"/>
          </w:tcPr>
          <w:p>
            <w:pPr>
              <w:ind w:left="260"/>
              <w:spacing w:after="0"/>
              <w:rPr>
                <w:sz w:val="20"/>
                <w:szCs w:val="20"/>
                <w:color w:val="auto"/>
              </w:rPr>
            </w:pPr>
            <w:r>
              <w:rPr>
                <w:rFonts w:ascii="Arial" w:cs="Arial" w:eastAsia="Arial" w:hAnsi="Arial"/>
                <w:sz w:val="16"/>
                <w:szCs w:val="16"/>
                <w:color w:val="auto"/>
              </w:rPr>
              <w:t>Board of Directors and its committees perform a self-evaluation on an</w:t>
            </w:r>
          </w:p>
        </w:tc>
        <w:tc>
          <w:tcPr>
            <w:tcW w:w="5500" w:type="dxa"/>
            <w:vAlign w:val="bottom"/>
          </w:tcPr>
          <w:p>
            <w:pPr>
              <w:ind w:left="440"/>
              <w:spacing w:after="0"/>
              <w:rPr>
                <w:sz w:val="20"/>
                <w:szCs w:val="20"/>
                <w:color w:val="auto"/>
              </w:rPr>
            </w:pPr>
            <w:r>
              <w:rPr>
                <w:rFonts w:ascii="Arial" w:cs="Arial" w:eastAsia="Arial" w:hAnsi="Arial"/>
                <w:sz w:val="16"/>
                <w:szCs w:val="16"/>
                <w:color w:val="auto"/>
              </w:rPr>
              <w:t>attend director education programs and reimburse the costs of</w:t>
            </w:r>
          </w:p>
        </w:tc>
        <w:tc>
          <w:tcPr>
            <w:tcW w:w="0" w:type="dxa"/>
            <w:vAlign w:val="bottom"/>
          </w:tcPr>
          <w:p>
            <w:pPr>
              <w:spacing w:after="0"/>
              <w:rPr>
                <w:sz w:val="1"/>
                <w:szCs w:val="1"/>
                <w:color w:val="auto"/>
              </w:rPr>
            </w:pPr>
          </w:p>
        </w:tc>
      </w:tr>
      <w:tr>
        <w:trPr>
          <w:trHeight w:val="189"/>
        </w:trPr>
        <w:tc>
          <w:tcPr>
            <w:tcW w:w="5440" w:type="dxa"/>
            <w:vAlign w:val="bottom"/>
          </w:tcPr>
          <w:p>
            <w:pPr>
              <w:ind w:left="260"/>
              <w:spacing w:after="0"/>
              <w:rPr>
                <w:sz w:val="20"/>
                <w:szCs w:val="20"/>
                <w:color w:val="auto"/>
              </w:rPr>
            </w:pPr>
            <w:r>
              <w:rPr>
                <w:rFonts w:ascii="Arial" w:cs="Arial" w:eastAsia="Arial" w:hAnsi="Arial"/>
                <w:sz w:val="16"/>
                <w:szCs w:val="16"/>
                <w:color w:val="auto"/>
              </w:rPr>
              <w:t>annual basis that is intended to determine whether our Board, its</w:t>
            </w:r>
          </w:p>
        </w:tc>
        <w:tc>
          <w:tcPr>
            <w:tcW w:w="5500" w:type="dxa"/>
            <w:vAlign w:val="bottom"/>
          </w:tcPr>
          <w:p>
            <w:pPr>
              <w:ind w:left="440"/>
              <w:spacing w:after="0"/>
              <w:rPr>
                <w:sz w:val="20"/>
                <w:szCs w:val="20"/>
                <w:color w:val="auto"/>
              </w:rPr>
            </w:pPr>
            <w:r>
              <w:rPr>
                <w:rFonts w:ascii="Arial" w:cs="Arial" w:eastAsia="Arial" w:hAnsi="Arial"/>
                <w:sz w:val="16"/>
                <w:szCs w:val="16"/>
                <w:color w:val="auto"/>
              </w:rPr>
              <w:t>attending such programs.</w:t>
            </w:r>
          </w:p>
        </w:tc>
        <w:tc>
          <w:tcPr>
            <w:tcW w:w="0" w:type="dxa"/>
            <w:vAlign w:val="bottom"/>
          </w:tcPr>
          <w:p>
            <w:pPr>
              <w:spacing w:after="0"/>
              <w:rPr>
                <w:sz w:val="1"/>
                <w:szCs w:val="1"/>
                <w:color w:val="auto"/>
              </w:rPr>
            </w:pPr>
          </w:p>
        </w:tc>
      </w:tr>
      <w:tr>
        <w:trPr>
          <w:trHeight w:val="195"/>
        </w:trPr>
        <w:tc>
          <w:tcPr>
            <w:tcW w:w="5440" w:type="dxa"/>
            <w:vAlign w:val="bottom"/>
          </w:tcPr>
          <w:p>
            <w:pPr>
              <w:ind w:left="260"/>
              <w:spacing w:after="0"/>
              <w:rPr>
                <w:sz w:val="20"/>
                <w:szCs w:val="20"/>
                <w:color w:val="auto"/>
              </w:rPr>
            </w:pPr>
            <w:r>
              <w:rPr>
                <w:rFonts w:ascii="Arial" w:cs="Arial" w:eastAsia="Arial" w:hAnsi="Arial"/>
                <w:sz w:val="16"/>
                <w:szCs w:val="16"/>
                <w:color w:val="auto"/>
              </w:rPr>
              <w:t>committees and each member of our Board of Directors are function-</w:t>
            </w:r>
          </w:p>
        </w:tc>
        <w:tc>
          <w:tcPr>
            <w:tcW w:w="5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5440" w:type="dxa"/>
            <w:vAlign w:val="bottom"/>
          </w:tcPr>
          <w:p>
            <w:pPr>
              <w:ind w:left="160"/>
              <w:spacing w:after="0"/>
              <w:rPr>
                <w:sz w:val="20"/>
                <w:szCs w:val="20"/>
                <w:color w:val="auto"/>
              </w:rPr>
            </w:pPr>
            <w:r>
              <w:rPr>
                <w:rFonts w:ascii="Arial" w:cs="Arial" w:eastAsia="Arial" w:hAnsi="Arial"/>
                <w:sz w:val="12"/>
                <w:szCs w:val="12"/>
                <w:color w:val="1A6DBB"/>
              </w:rPr>
              <w:t>10</w:t>
            </w:r>
          </w:p>
        </w:tc>
        <w:tc>
          <w:tcPr>
            <w:tcW w:w="5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-114935</wp:posOffset>
            </wp:positionV>
            <wp:extent cx="685800"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0" cy="154305"/>
                    </a:xfrm>
                    <a:prstGeom prst="rect">
                      <a:avLst/>
                    </a:prstGeom>
                    <a:noFill/>
                  </pic:spPr>
                </pic:pic>
              </a:graphicData>
            </a:graphic>
          </wp:anchor>
        </w:drawing>
        <w:drawing>
          <wp:anchor simplePos="0" relativeHeight="251657728" behindDoc="1" locked="0" layoutInCell="0" allowOverlap="1">
            <wp:simplePos x="0" y="0"/>
            <wp:positionH relativeFrom="column">
              <wp:posOffset>7028815</wp:posOffset>
            </wp:positionH>
            <wp:positionV relativeFrom="paragraph">
              <wp:posOffset>-64135</wp:posOffset>
            </wp:positionV>
            <wp:extent cx="102870" cy="946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140"/>
          </w:cols>
          <w:pgMar w:left="240" w:top="459" w:right="5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23"/>
        </w:numPr>
        <w:rPr>
          <w:rFonts w:ascii="Arial" w:cs="Arial" w:eastAsia="Arial" w:hAnsi="Arial"/>
          <w:sz w:val="90"/>
          <w:szCs w:val="90"/>
          <w:color w:val="1A6DBB"/>
        </w:rPr>
      </w:pPr>
      <w:r>
        <w:rPr>
          <w:rFonts w:ascii="Arial" w:cs="Arial" w:eastAsia="Arial" w:hAnsi="Arial"/>
          <w:sz w:val="41"/>
          <w:szCs w:val="41"/>
          <w:color w:val="1A6DBB"/>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548640</wp:posOffset>
            </wp:positionV>
            <wp:extent cx="6997700" cy="4286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770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0"/>
        <w:spacing w:after="0"/>
        <w:rPr>
          <w:sz w:val="20"/>
          <w:szCs w:val="20"/>
          <w:color w:val="auto"/>
        </w:rPr>
      </w:pPr>
      <w:r>
        <w:rPr>
          <w:rFonts w:ascii="Arial" w:cs="Arial" w:eastAsia="Arial" w:hAnsi="Arial"/>
          <w:sz w:val="29"/>
          <w:szCs w:val="29"/>
          <w:color w:val="FFFFFF"/>
        </w:rPr>
        <w:t>Proposal 1 – Election of Directors</w:t>
      </w:r>
    </w:p>
    <w:p>
      <w:pPr>
        <w:spacing w:after="0" w:line="334" w:lineRule="exact"/>
        <w:rPr>
          <w:sz w:val="20"/>
          <w:szCs w:val="20"/>
          <w:color w:val="auto"/>
        </w:rPr>
      </w:pPr>
    </w:p>
    <w:p>
      <w:pPr>
        <w:ind w:left="200" w:right="580"/>
        <w:spacing w:after="0" w:line="260" w:lineRule="auto"/>
        <w:rPr>
          <w:sz w:val="20"/>
          <w:szCs w:val="20"/>
          <w:color w:val="auto"/>
        </w:rPr>
      </w:pPr>
      <w:r>
        <w:rPr>
          <w:rFonts w:ascii="Arial" w:cs="Arial" w:eastAsia="Arial" w:hAnsi="Arial"/>
          <w:sz w:val="16"/>
          <w:szCs w:val="16"/>
          <w:color w:val="auto"/>
        </w:rPr>
        <w:t>We are asking our stockholders to elect the 14 director nominees listed below to serve a one-year term extending until the 2020 annual meeting of stockholders and until their successors are duly elected and qualified, unless they resign or are removed:</w:t>
      </w:r>
    </w:p>
    <w:p>
      <w:pPr>
        <w:spacing w:after="0" w:line="223" w:lineRule="exact"/>
        <w:rPr>
          <w:sz w:val="20"/>
          <w:szCs w:val="20"/>
          <w:color w:val="auto"/>
        </w:rPr>
      </w:pPr>
    </w:p>
    <w:tbl>
      <w:tblPr>
        <w:tblLayout w:type="fixed"/>
        <w:tblInd w:w="1380" w:type="dxa"/>
        <w:tblCellMar>
          <w:top w:w="0" w:type="dxa"/>
          <w:left w:w="0" w:type="dxa"/>
          <w:bottom w:w="0" w:type="dxa"/>
          <w:right w:w="0" w:type="dxa"/>
        </w:tblCellMar>
      </w:tblPr>
      <w:tr>
        <w:trPr>
          <w:trHeight w:val="189"/>
        </w:trPr>
        <w:tc>
          <w:tcPr>
            <w:tcW w:w="2700" w:type="dxa"/>
            <w:vAlign w:val="bottom"/>
          </w:tcPr>
          <w:p>
            <w:pPr>
              <w:jc w:val="center"/>
              <w:ind w:right="1159"/>
              <w:spacing w:after="0"/>
              <w:rPr>
                <w:sz w:val="20"/>
                <w:szCs w:val="20"/>
                <w:color w:val="auto"/>
              </w:rPr>
            </w:pPr>
            <w:r>
              <w:rPr>
                <w:rFonts w:ascii="Arial" w:cs="Arial" w:eastAsia="Arial" w:hAnsi="Arial"/>
                <w:sz w:val="16"/>
                <w:szCs w:val="16"/>
                <w:color w:val="auto"/>
              </w:rPr>
              <w:t>John R. Chiminski</w:t>
            </w:r>
          </w:p>
        </w:tc>
        <w:tc>
          <w:tcPr>
            <w:tcW w:w="3800" w:type="dxa"/>
            <w:vAlign w:val="bottom"/>
          </w:tcPr>
          <w:p>
            <w:pPr>
              <w:jc w:val="center"/>
              <w:ind w:left="159"/>
              <w:spacing w:after="0"/>
              <w:rPr>
                <w:sz w:val="20"/>
                <w:szCs w:val="20"/>
                <w:color w:val="auto"/>
              </w:rPr>
            </w:pPr>
            <w:r>
              <w:rPr>
                <w:rFonts w:ascii="Arial" w:cs="Arial" w:eastAsia="Arial" w:hAnsi="Arial"/>
                <w:sz w:val="16"/>
                <w:szCs w:val="16"/>
                <w:color w:val="auto"/>
              </w:rPr>
              <w:t>Jesus B. Mantas</w:t>
            </w:r>
          </w:p>
        </w:tc>
        <w:tc>
          <w:tcPr>
            <w:tcW w:w="2420" w:type="dxa"/>
            <w:vAlign w:val="bottom"/>
          </w:tcPr>
          <w:p>
            <w:pPr>
              <w:jc w:val="center"/>
              <w:ind w:left="919"/>
              <w:spacing w:after="0"/>
              <w:rPr>
                <w:sz w:val="20"/>
                <w:szCs w:val="20"/>
                <w:color w:val="auto"/>
              </w:rPr>
            </w:pPr>
            <w:r>
              <w:rPr>
                <w:rFonts w:ascii="Arial" w:cs="Arial" w:eastAsia="Arial" w:hAnsi="Arial"/>
                <w:sz w:val="16"/>
                <w:szCs w:val="16"/>
                <w:color w:val="auto"/>
              </w:rPr>
              <w:t>Eric K. Rowinsky</w:t>
            </w:r>
          </w:p>
        </w:tc>
      </w:tr>
      <w:tr>
        <w:trPr>
          <w:trHeight w:val="189"/>
        </w:trPr>
        <w:tc>
          <w:tcPr>
            <w:tcW w:w="2700" w:type="dxa"/>
            <w:vAlign w:val="bottom"/>
          </w:tcPr>
          <w:p>
            <w:pPr>
              <w:jc w:val="center"/>
              <w:ind w:right="1139"/>
              <w:spacing w:after="0"/>
              <w:rPr>
                <w:sz w:val="20"/>
                <w:szCs w:val="20"/>
                <w:color w:val="auto"/>
              </w:rPr>
            </w:pPr>
            <w:r>
              <w:rPr>
                <w:rFonts w:ascii="Arial" w:cs="Arial" w:eastAsia="Arial" w:hAnsi="Arial"/>
                <w:sz w:val="16"/>
                <w:szCs w:val="16"/>
                <w:color w:val="auto"/>
              </w:rPr>
              <w:t>Alexander J. Denner</w:t>
            </w:r>
          </w:p>
        </w:tc>
        <w:tc>
          <w:tcPr>
            <w:tcW w:w="3800" w:type="dxa"/>
            <w:vAlign w:val="bottom"/>
          </w:tcPr>
          <w:p>
            <w:pPr>
              <w:jc w:val="center"/>
              <w:ind w:left="139"/>
              <w:spacing w:after="0"/>
              <w:rPr>
                <w:sz w:val="20"/>
                <w:szCs w:val="20"/>
                <w:color w:val="auto"/>
              </w:rPr>
            </w:pPr>
            <w:r>
              <w:rPr>
                <w:rFonts w:ascii="Arial" w:cs="Arial" w:eastAsia="Arial" w:hAnsi="Arial"/>
                <w:sz w:val="16"/>
                <w:szCs w:val="16"/>
                <w:color w:val="auto"/>
              </w:rPr>
              <w:t>Richard C. Mulligan</w:t>
            </w:r>
          </w:p>
        </w:tc>
        <w:tc>
          <w:tcPr>
            <w:tcW w:w="2420" w:type="dxa"/>
            <w:vAlign w:val="bottom"/>
          </w:tcPr>
          <w:p>
            <w:pPr>
              <w:jc w:val="center"/>
              <w:ind w:left="899"/>
              <w:spacing w:after="0"/>
              <w:rPr>
                <w:sz w:val="20"/>
                <w:szCs w:val="20"/>
                <w:color w:val="auto"/>
              </w:rPr>
            </w:pPr>
            <w:r>
              <w:rPr>
                <w:rFonts w:ascii="Arial" w:cs="Arial" w:eastAsia="Arial" w:hAnsi="Arial"/>
                <w:sz w:val="16"/>
                <w:szCs w:val="16"/>
                <w:color w:val="auto"/>
                <w:w w:val="99"/>
              </w:rPr>
              <w:t>Lynn Schenk</w:t>
            </w:r>
          </w:p>
        </w:tc>
      </w:tr>
      <w:tr>
        <w:trPr>
          <w:trHeight w:val="189"/>
        </w:trPr>
        <w:tc>
          <w:tcPr>
            <w:tcW w:w="2700" w:type="dxa"/>
            <w:vAlign w:val="bottom"/>
          </w:tcPr>
          <w:p>
            <w:pPr>
              <w:jc w:val="center"/>
              <w:ind w:right="1139"/>
              <w:spacing w:after="0"/>
              <w:rPr>
                <w:sz w:val="20"/>
                <w:szCs w:val="20"/>
                <w:color w:val="auto"/>
              </w:rPr>
            </w:pPr>
            <w:r>
              <w:rPr>
                <w:rFonts w:ascii="Arial" w:cs="Arial" w:eastAsia="Arial" w:hAnsi="Arial"/>
                <w:sz w:val="16"/>
                <w:szCs w:val="16"/>
                <w:color w:val="auto"/>
              </w:rPr>
              <w:t>Caroline D. Dorsa</w:t>
            </w:r>
          </w:p>
        </w:tc>
        <w:tc>
          <w:tcPr>
            <w:tcW w:w="3800" w:type="dxa"/>
            <w:vAlign w:val="bottom"/>
          </w:tcPr>
          <w:p>
            <w:pPr>
              <w:jc w:val="center"/>
              <w:ind w:left="139"/>
              <w:spacing w:after="0"/>
              <w:rPr>
                <w:sz w:val="20"/>
                <w:szCs w:val="20"/>
                <w:color w:val="auto"/>
              </w:rPr>
            </w:pPr>
            <w:r>
              <w:rPr>
                <w:rFonts w:ascii="Arial" w:cs="Arial" w:eastAsia="Arial" w:hAnsi="Arial"/>
                <w:sz w:val="16"/>
                <w:szCs w:val="16"/>
                <w:color w:val="auto"/>
                <w:w w:val="99"/>
              </w:rPr>
              <w:t>Robert W. Pangia</w:t>
            </w:r>
          </w:p>
        </w:tc>
        <w:tc>
          <w:tcPr>
            <w:tcW w:w="2420" w:type="dxa"/>
            <w:vAlign w:val="bottom"/>
          </w:tcPr>
          <w:p>
            <w:pPr>
              <w:jc w:val="center"/>
              <w:ind w:left="899"/>
              <w:spacing w:after="0"/>
              <w:rPr>
                <w:sz w:val="20"/>
                <w:szCs w:val="20"/>
                <w:color w:val="auto"/>
              </w:rPr>
            </w:pPr>
            <w:r>
              <w:rPr>
                <w:rFonts w:ascii="Arial" w:cs="Arial" w:eastAsia="Arial" w:hAnsi="Arial"/>
                <w:sz w:val="16"/>
                <w:szCs w:val="16"/>
                <w:color w:val="auto"/>
              </w:rPr>
              <w:t>Stephen A. Sherwin</w:t>
            </w:r>
          </w:p>
        </w:tc>
      </w:tr>
      <w:tr>
        <w:trPr>
          <w:trHeight w:val="189"/>
        </w:trPr>
        <w:tc>
          <w:tcPr>
            <w:tcW w:w="2700" w:type="dxa"/>
            <w:vAlign w:val="bottom"/>
          </w:tcPr>
          <w:p>
            <w:pPr>
              <w:jc w:val="center"/>
              <w:ind w:right="1159"/>
              <w:spacing w:after="0"/>
              <w:rPr>
                <w:sz w:val="20"/>
                <w:szCs w:val="20"/>
                <w:color w:val="auto"/>
              </w:rPr>
            </w:pPr>
            <w:r>
              <w:rPr>
                <w:rFonts w:ascii="Arial" w:cs="Arial" w:eastAsia="Arial" w:hAnsi="Arial"/>
                <w:sz w:val="16"/>
                <w:szCs w:val="16"/>
                <w:color w:val="auto"/>
              </w:rPr>
              <w:t>William A. Hawkins</w:t>
            </w:r>
          </w:p>
        </w:tc>
        <w:tc>
          <w:tcPr>
            <w:tcW w:w="3800" w:type="dxa"/>
            <w:vAlign w:val="bottom"/>
          </w:tcPr>
          <w:p>
            <w:pPr>
              <w:jc w:val="center"/>
              <w:ind w:left="139"/>
              <w:spacing w:after="0"/>
              <w:rPr>
                <w:sz w:val="20"/>
                <w:szCs w:val="20"/>
                <w:color w:val="auto"/>
              </w:rPr>
            </w:pPr>
            <w:r>
              <w:rPr>
                <w:rFonts w:ascii="Arial" w:cs="Arial" w:eastAsia="Arial" w:hAnsi="Arial"/>
                <w:sz w:val="16"/>
                <w:szCs w:val="16"/>
                <w:color w:val="auto"/>
              </w:rPr>
              <w:t>Stelios Papadopoulos</w:t>
            </w:r>
          </w:p>
        </w:tc>
        <w:tc>
          <w:tcPr>
            <w:tcW w:w="2420" w:type="dxa"/>
            <w:vAlign w:val="bottom"/>
          </w:tcPr>
          <w:p>
            <w:pPr>
              <w:jc w:val="center"/>
              <w:ind w:left="899"/>
              <w:spacing w:after="0"/>
              <w:rPr>
                <w:sz w:val="20"/>
                <w:szCs w:val="20"/>
                <w:color w:val="auto"/>
              </w:rPr>
            </w:pPr>
            <w:r>
              <w:rPr>
                <w:rFonts w:ascii="Arial" w:cs="Arial" w:eastAsia="Arial" w:hAnsi="Arial"/>
                <w:sz w:val="16"/>
                <w:szCs w:val="16"/>
                <w:color w:val="auto"/>
              </w:rPr>
              <w:t>Michel Vounatsos</w:t>
            </w:r>
          </w:p>
        </w:tc>
      </w:tr>
      <w:tr>
        <w:trPr>
          <w:trHeight w:val="195"/>
        </w:trPr>
        <w:tc>
          <w:tcPr>
            <w:tcW w:w="2700" w:type="dxa"/>
            <w:vAlign w:val="bottom"/>
          </w:tcPr>
          <w:p>
            <w:pPr>
              <w:jc w:val="center"/>
              <w:ind w:right="1159"/>
              <w:spacing w:after="0"/>
              <w:rPr>
                <w:sz w:val="20"/>
                <w:szCs w:val="20"/>
                <w:color w:val="auto"/>
              </w:rPr>
            </w:pPr>
            <w:r>
              <w:rPr>
                <w:rFonts w:ascii="Arial" w:cs="Arial" w:eastAsia="Arial" w:hAnsi="Arial"/>
                <w:sz w:val="16"/>
                <w:szCs w:val="16"/>
                <w:color w:val="auto"/>
              </w:rPr>
              <w:t>Nancy L. Leaming</w:t>
            </w:r>
          </w:p>
        </w:tc>
        <w:tc>
          <w:tcPr>
            <w:tcW w:w="3800" w:type="dxa"/>
            <w:vAlign w:val="bottom"/>
          </w:tcPr>
          <w:p>
            <w:pPr>
              <w:jc w:val="center"/>
              <w:ind w:left="139"/>
              <w:spacing w:after="0"/>
              <w:rPr>
                <w:sz w:val="20"/>
                <w:szCs w:val="20"/>
                <w:color w:val="auto"/>
              </w:rPr>
            </w:pPr>
            <w:r>
              <w:rPr>
                <w:rFonts w:ascii="Arial" w:cs="Arial" w:eastAsia="Arial" w:hAnsi="Arial"/>
                <w:sz w:val="16"/>
                <w:szCs w:val="16"/>
                <w:color w:val="auto"/>
              </w:rPr>
              <w:t>Brian S. Posner</w:t>
            </w:r>
          </w:p>
        </w:tc>
        <w:tc>
          <w:tcPr>
            <w:tcW w:w="2420" w:type="dxa"/>
            <w:vAlign w:val="bottom"/>
          </w:tcPr>
          <w:p>
            <w:pPr>
              <w:spacing w:after="0"/>
              <w:rPr>
                <w:sz w:val="16"/>
                <w:szCs w:val="16"/>
                <w:color w:val="auto"/>
              </w:rPr>
            </w:pPr>
          </w:p>
        </w:tc>
      </w:tr>
    </w:tbl>
    <w:p>
      <w:pPr>
        <w:spacing w:after="0" w:line="102" w:lineRule="exact"/>
        <w:rPr>
          <w:sz w:val="20"/>
          <w:szCs w:val="20"/>
          <w:color w:val="auto"/>
        </w:rPr>
      </w:pPr>
    </w:p>
    <w:p>
      <w:pPr>
        <w:ind w:left="200" w:right="200"/>
        <w:spacing w:after="0" w:line="253" w:lineRule="auto"/>
        <w:rPr>
          <w:sz w:val="20"/>
          <w:szCs w:val="20"/>
          <w:color w:val="auto"/>
        </w:rPr>
      </w:pPr>
      <w:r>
        <w:rPr>
          <w:rFonts w:ascii="Arial" w:cs="Arial" w:eastAsia="Arial" w:hAnsi="Arial"/>
          <w:sz w:val="16"/>
          <w:szCs w:val="16"/>
          <w:color w:val="auto"/>
        </w:rPr>
        <w:t>Our Board of Directors has nominated these 14 individuals based on its carefully considered judgment that the experience, qualifications, attributes and skills of our nominees qualify them to serve on our Board of Directors. As described in detail below, our nominees have considerable professional and business expertise. We know of no reason why any nominee would be unable to accept nomination or election.</w:t>
      </w:r>
    </w:p>
    <w:p>
      <w:pPr>
        <w:spacing w:after="0" w:line="93" w:lineRule="exact"/>
        <w:rPr>
          <w:sz w:val="20"/>
          <w:szCs w:val="20"/>
          <w:color w:val="auto"/>
        </w:rPr>
      </w:pPr>
    </w:p>
    <w:p>
      <w:pPr>
        <w:ind w:left="200" w:right="80"/>
        <w:spacing w:after="0" w:line="250" w:lineRule="auto"/>
        <w:rPr>
          <w:sz w:val="20"/>
          <w:szCs w:val="20"/>
          <w:color w:val="auto"/>
        </w:rPr>
      </w:pPr>
      <w:r>
        <w:rPr>
          <w:rFonts w:ascii="Arial" w:cs="Arial" w:eastAsia="Arial" w:hAnsi="Arial"/>
          <w:sz w:val="16"/>
          <w:szCs w:val="16"/>
          <w:color w:val="auto"/>
        </w:rPr>
        <w:t>If any nominee is unable to serve on our Board of Directors, the shares represented by your proxy will be voted for the election of such other person as may be nominated by our Board of Directors. In addition, in compliance with all applicable state and federal laws and regulations, we will file an amended proxy statement and proxy card that, as applicable, (1) identifies the alternate nominee(s), (2) discloses that such nominees have consented to being named in the revised proxy statement and to serve if elected and (3) includes the disclosure required by Item 7 of Schedule 14A with respect to such nominees. All nominees have consented to be named in this Proxy Statement and to serve if elected.</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1A6DBB"/>
        </w:rPr>
        <w:t>Director Skills and Qualifications</w:t>
      </w:r>
    </w:p>
    <w:p>
      <w:pPr>
        <w:spacing w:after="0" w:line="128" w:lineRule="exact"/>
        <w:rPr>
          <w:sz w:val="20"/>
          <w:szCs w:val="20"/>
          <w:color w:val="auto"/>
        </w:rPr>
      </w:pPr>
    </w:p>
    <w:p>
      <w:pPr>
        <w:ind w:left="200" w:right="160"/>
        <w:spacing w:after="0" w:line="260" w:lineRule="auto"/>
        <w:rPr>
          <w:sz w:val="20"/>
          <w:szCs w:val="20"/>
          <w:color w:val="auto"/>
        </w:rPr>
      </w:pPr>
      <w:r>
        <w:rPr>
          <w:rFonts w:ascii="Arial" w:cs="Arial" w:eastAsia="Arial" w:hAnsi="Arial"/>
          <w:sz w:val="16"/>
          <w:szCs w:val="16"/>
          <w:color w:val="auto"/>
        </w:rPr>
        <w:t>The Corporate Governance Committee believes that the 14 director nominees collectively have the skills, experience, diversity and character to execute the Board’s responsibilities. The following is a summary of those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140335</wp:posOffset>
            </wp:positionV>
            <wp:extent cx="7006590" cy="27787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006590" cy="2778760"/>
                    </a:xfrm>
                    <a:prstGeom prst="rect">
                      <a:avLst/>
                    </a:prstGeom>
                    <a:noFill/>
                  </pic:spPr>
                </pic:pic>
              </a:graphicData>
            </a:graphic>
          </wp:anchor>
        </w:drawing>
      </w:r>
    </w:p>
    <w:p>
      <w:pPr>
        <w:spacing w:after="0" w:line="181" w:lineRule="exact"/>
        <w:rPr>
          <w:sz w:val="20"/>
          <w:szCs w:val="20"/>
          <w:color w:val="auto"/>
        </w:rPr>
      </w:pPr>
    </w:p>
    <w:tbl>
      <w:tblPr>
        <w:tblLayout w:type="fixed"/>
        <w:tblInd w:w="220" w:type="dxa"/>
        <w:tblCellMar>
          <w:top w:w="0" w:type="dxa"/>
          <w:left w:w="0" w:type="dxa"/>
          <w:bottom w:w="0" w:type="dxa"/>
          <w:right w:w="0" w:type="dxa"/>
        </w:tblCellMar>
      </w:tblPr>
      <w:tr>
        <w:trPr>
          <w:trHeight w:val="1540"/>
        </w:trPr>
        <w:tc>
          <w:tcPr>
            <w:tcW w:w="3820" w:type="dxa"/>
            <w:vAlign w:val="bottom"/>
            <w:tcBorders>
              <w:top w:val="single" w:sz="8" w:color="1A6DBB"/>
            </w:tcBorders>
            <w:shd w:val="clear" w:color="auto" w:fill="1A6DBB"/>
          </w:tcPr>
          <w:p>
            <w:pPr>
              <w:ind w:left="60"/>
              <w:spacing w:after="0"/>
              <w:rPr>
                <w:sz w:val="20"/>
                <w:szCs w:val="20"/>
                <w:color w:val="auto"/>
              </w:rPr>
            </w:pPr>
            <w:r>
              <w:rPr>
                <w:rFonts w:ascii="Arial" w:cs="Arial" w:eastAsia="Arial" w:hAnsi="Arial"/>
                <w:sz w:val="14"/>
                <w:szCs w:val="14"/>
                <w:b w:val="1"/>
                <w:bCs w:val="1"/>
                <w:color w:val="FFFFFF"/>
              </w:rPr>
              <w:t>Attributes, Experience and Skills</w:t>
            </w:r>
          </w:p>
        </w:tc>
        <w:tc>
          <w:tcPr>
            <w:tcW w:w="520" w:type="dxa"/>
            <w:vAlign w:val="bottom"/>
            <w:tcBorders>
              <w:top w:val="single" w:sz="8" w:color="1A6DBB"/>
              <w:right w:val="single" w:sz="8" w:color="FCFCFC"/>
            </w:tcBorders>
            <w:shd w:val="clear" w:color="auto" w:fill="1A6DBB"/>
          </w:tcPr>
          <w:p>
            <w:pPr>
              <w:spacing w:after="0"/>
              <w:rPr>
                <w:sz w:val="24"/>
                <w:szCs w:val="24"/>
                <w:color w:val="auto"/>
              </w:rPr>
            </w:pPr>
          </w:p>
        </w:tc>
        <w:tc>
          <w:tcPr>
            <w:tcW w:w="520" w:type="dxa"/>
            <w:vAlign w:val="bottom"/>
            <w:tcBorders>
              <w:top w:val="single" w:sz="8" w:color="1A6DBB"/>
              <w:right w:val="single" w:sz="8" w:color="FCFCFC"/>
            </w:tcBorders>
            <w:shd w:val="clear" w:color="auto" w:fill="1A6DBB"/>
          </w:tcPr>
          <w:p>
            <w:pPr>
              <w:spacing w:after="0"/>
              <w:rPr>
                <w:sz w:val="24"/>
                <w:szCs w:val="24"/>
                <w:color w:val="auto"/>
              </w:rPr>
            </w:pPr>
          </w:p>
        </w:tc>
        <w:tc>
          <w:tcPr>
            <w:tcW w:w="500" w:type="dxa"/>
            <w:vAlign w:val="bottom"/>
            <w:tcBorders>
              <w:top w:val="single" w:sz="8" w:color="1A6DBB"/>
            </w:tcBorders>
            <w:shd w:val="clear" w:color="auto" w:fill="1A6DBB"/>
          </w:tcPr>
          <w:p>
            <w:pPr>
              <w:spacing w:after="0"/>
              <w:rPr>
                <w:sz w:val="24"/>
                <w:szCs w:val="24"/>
                <w:color w:val="auto"/>
              </w:rPr>
            </w:pPr>
          </w:p>
        </w:tc>
        <w:tc>
          <w:tcPr>
            <w:tcW w:w="520" w:type="dxa"/>
            <w:vAlign w:val="bottom"/>
            <w:tcBorders>
              <w:top w:val="single" w:sz="8" w:color="1A6DBB"/>
              <w:right w:val="single" w:sz="8" w:color="FCFCFC"/>
            </w:tcBorders>
            <w:shd w:val="clear" w:color="auto" w:fill="1A6DBB"/>
          </w:tcPr>
          <w:p>
            <w:pPr>
              <w:spacing w:after="0"/>
              <w:rPr>
                <w:sz w:val="24"/>
                <w:szCs w:val="24"/>
                <w:color w:val="auto"/>
              </w:rPr>
            </w:pPr>
          </w:p>
        </w:tc>
        <w:tc>
          <w:tcPr>
            <w:tcW w:w="480" w:type="dxa"/>
            <w:vAlign w:val="bottom"/>
            <w:tcBorders>
              <w:top w:val="single" w:sz="8" w:color="1A6DBB"/>
            </w:tcBorders>
            <w:shd w:val="clear" w:color="auto" w:fill="1A6DBB"/>
          </w:tcPr>
          <w:p>
            <w:pPr>
              <w:spacing w:after="0"/>
              <w:rPr>
                <w:sz w:val="24"/>
                <w:szCs w:val="24"/>
                <w:color w:val="auto"/>
              </w:rPr>
            </w:pPr>
          </w:p>
        </w:tc>
        <w:tc>
          <w:tcPr>
            <w:tcW w:w="520" w:type="dxa"/>
            <w:vAlign w:val="bottom"/>
            <w:tcBorders>
              <w:top w:val="single" w:sz="8" w:color="1A6DBB"/>
            </w:tcBorders>
            <w:shd w:val="clear" w:color="auto" w:fill="1A6DBB"/>
          </w:tcPr>
          <w:p>
            <w:pPr>
              <w:spacing w:after="0"/>
              <w:rPr>
                <w:sz w:val="24"/>
                <w:szCs w:val="24"/>
                <w:color w:val="auto"/>
              </w:rPr>
            </w:pPr>
          </w:p>
        </w:tc>
        <w:tc>
          <w:tcPr>
            <w:tcW w:w="520" w:type="dxa"/>
            <w:vAlign w:val="bottom"/>
            <w:tcBorders>
              <w:top w:val="single" w:sz="8" w:color="1A6DBB"/>
            </w:tcBorders>
            <w:shd w:val="clear" w:color="auto" w:fill="1A6DBB"/>
          </w:tcPr>
          <w:p>
            <w:pPr>
              <w:spacing w:after="0"/>
              <w:rPr>
                <w:sz w:val="24"/>
                <w:szCs w:val="24"/>
                <w:color w:val="auto"/>
              </w:rPr>
            </w:pPr>
          </w:p>
        </w:tc>
        <w:tc>
          <w:tcPr>
            <w:tcW w:w="500" w:type="dxa"/>
            <w:vAlign w:val="bottom"/>
            <w:tcBorders>
              <w:top w:val="single" w:sz="8" w:color="1A6DBB"/>
            </w:tcBorders>
            <w:shd w:val="clear" w:color="auto" w:fill="1A6DBB"/>
          </w:tcPr>
          <w:p>
            <w:pPr>
              <w:spacing w:after="0"/>
              <w:rPr>
                <w:sz w:val="24"/>
                <w:szCs w:val="24"/>
                <w:color w:val="auto"/>
              </w:rPr>
            </w:pPr>
          </w:p>
        </w:tc>
        <w:tc>
          <w:tcPr>
            <w:tcW w:w="520" w:type="dxa"/>
            <w:vAlign w:val="bottom"/>
            <w:tcBorders>
              <w:top w:val="single" w:sz="8" w:color="1A6DBB"/>
            </w:tcBorders>
            <w:shd w:val="clear" w:color="auto" w:fill="1A6DBB"/>
          </w:tcPr>
          <w:p>
            <w:pPr>
              <w:spacing w:after="0"/>
              <w:rPr>
                <w:sz w:val="24"/>
                <w:szCs w:val="24"/>
                <w:color w:val="auto"/>
              </w:rPr>
            </w:pPr>
          </w:p>
        </w:tc>
        <w:tc>
          <w:tcPr>
            <w:tcW w:w="520" w:type="dxa"/>
            <w:vAlign w:val="bottom"/>
            <w:tcBorders>
              <w:top w:val="single" w:sz="8" w:color="1A6DBB"/>
            </w:tcBorders>
            <w:shd w:val="clear" w:color="auto" w:fill="1A6DBB"/>
          </w:tcPr>
          <w:p>
            <w:pPr>
              <w:spacing w:after="0"/>
              <w:rPr>
                <w:sz w:val="24"/>
                <w:szCs w:val="24"/>
                <w:color w:val="auto"/>
              </w:rPr>
            </w:pPr>
          </w:p>
        </w:tc>
        <w:tc>
          <w:tcPr>
            <w:tcW w:w="500" w:type="dxa"/>
            <w:vAlign w:val="bottom"/>
            <w:tcBorders>
              <w:top w:val="single" w:sz="8" w:color="1A6DBB"/>
            </w:tcBorders>
            <w:shd w:val="clear" w:color="auto" w:fill="1A6DBB"/>
          </w:tcPr>
          <w:p>
            <w:pPr>
              <w:spacing w:after="0"/>
              <w:rPr>
                <w:sz w:val="24"/>
                <w:szCs w:val="24"/>
                <w:color w:val="auto"/>
              </w:rPr>
            </w:pPr>
          </w:p>
        </w:tc>
        <w:tc>
          <w:tcPr>
            <w:tcW w:w="520" w:type="dxa"/>
            <w:vAlign w:val="bottom"/>
            <w:tcBorders>
              <w:top w:val="single" w:sz="8" w:color="1A6DBB"/>
            </w:tcBorders>
            <w:shd w:val="clear" w:color="auto" w:fill="1A6DBB"/>
          </w:tcPr>
          <w:p>
            <w:pPr>
              <w:spacing w:after="0"/>
              <w:rPr>
                <w:sz w:val="24"/>
                <w:szCs w:val="24"/>
                <w:color w:val="auto"/>
              </w:rPr>
            </w:pPr>
          </w:p>
        </w:tc>
        <w:tc>
          <w:tcPr>
            <w:tcW w:w="520" w:type="dxa"/>
            <w:vAlign w:val="bottom"/>
            <w:tcBorders>
              <w:top w:val="single" w:sz="8" w:color="1A6DBB"/>
            </w:tcBorders>
            <w:shd w:val="clear" w:color="auto" w:fill="1A6DBB"/>
          </w:tcPr>
          <w:p>
            <w:pPr>
              <w:spacing w:after="0"/>
              <w:rPr>
                <w:sz w:val="24"/>
                <w:szCs w:val="24"/>
                <w:color w:val="auto"/>
              </w:rPr>
            </w:pPr>
          </w:p>
        </w:tc>
        <w:tc>
          <w:tcPr>
            <w:tcW w:w="540" w:type="dxa"/>
            <w:vAlign w:val="bottom"/>
            <w:tcBorders>
              <w:top w:val="single" w:sz="8" w:color="1A6DBB"/>
            </w:tcBorders>
            <w:shd w:val="clear" w:color="auto" w:fill="1A6DBB"/>
          </w:tcPr>
          <w:p>
            <w:pPr>
              <w:spacing w:after="0"/>
              <w:rPr>
                <w:sz w:val="24"/>
                <w:szCs w:val="24"/>
                <w:color w:val="auto"/>
              </w:rPr>
            </w:pPr>
          </w:p>
        </w:tc>
      </w:tr>
      <w:tr>
        <w:trPr>
          <w:trHeight w:val="263"/>
        </w:trPr>
        <w:tc>
          <w:tcPr>
            <w:tcW w:w="3820" w:type="dxa"/>
            <w:vAlign w:val="bottom"/>
            <w:shd w:val="clear" w:color="auto" w:fill="E8F0F8"/>
          </w:tcPr>
          <w:p>
            <w:pPr>
              <w:ind w:left="80"/>
              <w:spacing w:after="0"/>
              <w:rPr>
                <w:sz w:val="20"/>
                <w:szCs w:val="20"/>
                <w:color w:val="auto"/>
              </w:rPr>
            </w:pPr>
            <w:r>
              <w:rPr>
                <w:rFonts w:ascii="Arial" w:cs="Arial" w:eastAsia="Arial" w:hAnsi="Arial"/>
                <w:sz w:val="16"/>
                <w:szCs w:val="16"/>
                <w:color w:val="auto"/>
              </w:rPr>
              <w:t>General Management Experience</w:t>
            </w:r>
          </w:p>
        </w:tc>
        <w:tc>
          <w:tcPr>
            <w:tcW w:w="520" w:type="dxa"/>
            <w:vAlign w:val="bottom"/>
            <w:tcBorders>
              <w:right w:val="single" w:sz="8" w:color="FCFCFC"/>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E8F0F8"/>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480" w:type="dxa"/>
            <w:vAlign w:val="bottom"/>
            <w:shd w:val="clear" w:color="auto" w:fill="E8F0F8"/>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r>
      <w:tr>
        <w:trPr>
          <w:trHeight w:val="264"/>
        </w:trPr>
        <w:tc>
          <w:tcPr>
            <w:tcW w:w="3820" w:type="dxa"/>
            <w:vAlign w:val="bottom"/>
            <w:shd w:val="clear" w:color="auto" w:fill="BAD3EA"/>
          </w:tcPr>
          <w:p>
            <w:pPr>
              <w:ind w:left="80"/>
              <w:spacing w:after="0"/>
              <w:rPr>
                <w:sz w:val="20"/>
                <w:szCs w:val="20"/>
                <w:color w:val="auto"/>
              </w:rPr>
            </w:pPr>
            <w:r>
              <w:rPr>
                <w:rFonts w:ascii="Arial" w:cs="Arial" w:eastAsia="Arial" w:hAnsi="Arial"/>
                <w:sz w:val="16"/>
                <w:szCs w:val="16"/>
                <w:color w:val="auto"/>
              </w:rPr>
              <w:t>Financial Experience</w:t>
            </w:r>
          </w:p>
        </w:tc>
        <w:tc>
          <w:tcPr>
            <w:tcW w:w="520" w:type="dxa"/>
            <w:vAlign w:val="bottom"/>
            <w:tcBorders>
              <w:right w:val="single" w:sz="8" w:color="FCFCFC"/>
            </w:tcBorders>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BAD3EA"/>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BAD3EA"/>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BAD3EA"/>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480" w:type="dxa"/>
            <w:vAlign w:val="bottom"/>
            <w:shd w:val="clear" w:color="auto" w:fill="BAD3EA"/>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BAD3EA"/>
          </w:tcPr>
          <w:p>
            <w:pPr>
              <w:spacing w:after="0"/>
              <w:rPr>
                <w:sz w:val="22"/>
                <w:szCs w:val="22"/>
                <w:color w:val="auto"/>
              </w:rPr>
            </w:pPr>
          </w:p>
        </w:tc>
        <w:tc>
          <w:tcPr>
            <w:tcW w:w="50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BAD3EA"/>
          </w:tcPr>
          <w:p>
            <w:pPr>
              <w:spacing w:after="0"/>
              <w:rPr>
                <w:sz w:val="22"/>
                <w:szCs w:val="22"/>
                <w:color w:val="auto"/>
              </w:rPr>
            </w:pPr>
          </w:p>
        </w:tc>
        <w:tc>
          <w:tcPr>
            <w:tcW w:w="52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r>
      <w:tr>
        <w:trPr>
          <w:trHeight w:val="257"/>
        </w:trPr>
        <w:tc>
          <w:tcPr>
            <w:tcW w:w="3820" w:type="dxa"/>
            <w:vAlign w:val="bottom"/>
            <w:shd w:val="clear" w:color="auto" w:fill="E8F0F8"/>
          </w:tcPr>
          <w:p>
            <w:pPr>
              <w:ind w:left="60"/>
              <w:spacing w:after="0"/>
              <w:rPr>
                <w:sz w:val="20"/>
                <w:szCs w:val="20"/>
                <w:color w:val="auto"/>
              </w:rPr>
            </w:pPr>
            <w:r>
              <w:rPr>
                <w:rFonts w:ascii="Arial" w:cs="Arial" w:eastAsia="Arial" w:hAnsi="Arial"/>
                <w:sz w:val="16"/>
                <w:szCs w:val="16"/>
                <w:color w:val="auto"/>
              </w:rPr>
              <w:t>Audit Committee Financial Expertise</w:t>
            </w:r>
          </w:p>
        </w:tc>
        <w:tc>
          <w:tcPr>
            <w:tcW w:w="520" w:type="dxa"/>
            <w:vAlign w:val="bottom"/>
            <w:tcBorders>
              <w:right w:val="single" w:sz="8" w:color="FCFCFC"/>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E8F0F8"/>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spacing w:after="0"/>
              <w:rPr>
                <w:sz w:val="22"/>
                <w:szCs w:val="22"/>
                <w:color w:val="auto"/>
              </w:rPr>
            </w:pPr>
          </w:p>
        </w:tc>
        <w:tc>
          <w:tcPr>
            <w:tcW w:w="480" w:type="dxa"/>
            <w:vAlign w:val="bottom"/>
            <w:shd w:val="clear" w:color="auto" w:fill="E8F0F8"/>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spacing w:after="0"/>
              <w:rPr>
                <w:sz w:val="22"/>
                <w:szCs w:val="22"/>
                <w:color w:val="auto"/>
              </w:rPr>
            </w:pPr>
          </w:p>
        </w:tc>
        <w:tc>
          <w:tcPr>
            <w:tcW w:w="520" w:type="dxa"/>
            <w:vAlign w:val="bottom"/>
            <w:shd w:val="clear" w:color="auto" w:fill="E8F0F8"/>
          </w:tcPr>
          <w:p>
            <w:pPr>
              <w:spacing w:after="0"/>
              <w:rPr>
                <w:sz w:val="22"/>
                <w:szCs w:val="22"/>
                <w:color w:val="auto"/>
              </w:rPr>
            </w:pPr>
          </w:p>
        </w:tc>
        <w:tc>
          <w:tcPr>
            <w:tcW w:w="50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spacing w:after="0"/>
              <w:rPr>
                <w:sz w:val="22"/>
                <w:szCs w:val="22"/>
                <w:color w:val="auto"/>
              </w:rPr>
            </w:pPr>
          </w:p>
        </w:tc>
        <w:tc>
          <w:tcPr>
            <w:tcW w:w="52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E8F0F8"/>
          </w:tcPr>
          <w:p>
            <w:pPr>
              <w:spacing w:after="0"/>
              <w:rPr>
                <w:sz w:val="22"/>
                <w:szCs w:val="22"/>
                <w:color w:val="auto"/>
              </w:rPr>
            </w:pPr>
          </w:p>
        </w:tc>
        <w:tc>
          <w:tcPr>
            <w:tcW w:w="52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E8F0F8"/>
          </w:tcPr>
          <w:p>
            <w:pPr>
              <w:spacing w:after="0"/>
              <w:rPr>
                <w:sz w:val="22"/>
                <w:szCs w:val="22"/>
                <w:color w:val="auto"/>
              </w:rPr>
            </w:pPr>
          </w:p>
        </w:tc>
      </w:tr>
      <w:tr>
        <w:trPr>
          <w:trHeight w:val="257"/>
        </w:trPr>
        <w:tc>
          <w:tcPr>
            <w:tcW w:w="3820" w:type="dxa"/>
            <w:vAlign w:val="bottom"/>
            <w:shd w:val="clear" w:color="auto" w:fill="BAD3EA"/>
          </w:tcPr>
          <w:p>
            <w:pPr>
              <w:ind w:left="80"/>
              <w:spacing w:after="0"/>
              <w:rPr>
                <w:sz w:val="20"/>
                <w:szCs w:val="20"/>
                <w:color w:val="auto"/>
              </w:rPr>
            </w:pPr>
            <w:r>
              <w:rPr>
                <w:rFonts w:ascii="Arial" w:cs="Arial" w:eastAsia="Arial" w:hAnsi="Arial"/>
                <w:sz w:val="16"/>
                <w:szCs w:val="16"/>
                <w:color w:val="auto"/>
              </w:rPr>
              <w:t>Mergers &amp; Acquisitions Experience</w:t>
            </w:r>
          </w:p>
        </w:tc>
        <w:tc>
          <w:tcPr>
            <w:tcW w:w="520" w:type="dxa"/>
            <w:vAlign w:val="bottom"/>
            <w:tcBorders>
              <w:right w:val="single" w:sz="8" w:color="FCFCFC"/>
            </w:tcBorders>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BAD3EA"/>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BAD3EA"/>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BAD3EA"/>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480" w:type="dxa"/>
            <w:vAlign w:val="bottom"/>
            <w:shd w:val="clear" w:color="auto" w:fill="BAD3EA"/>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BAD3EA"/>
          </w:tcPr>
          <w:p>
            <w:pPr>
              <w:spacing w:after="0"/>
              <w:rPr>
                <w:sz w:val="22"/>
                <w:szCs w:val="22"/>
                <w:color w:val="auto"/>
              </w:rPr>
            </w:pPr>
          </w:p>
        </w:tc>
        <w:tc>
          <w:tcPr>
            <w:tcW w:w="50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r>
      <w:tr>
        <w:trPr>
          <w:trHeight w:val="255"/>
        </w:trPr>
        <w:tc>
          <w:tcPr>
            <w:tcW w:w="3820" w:type="dxa"/>
            <w:vAlign w:val="bottom"/>
            <w:shd w:val="clear" w:color="auto" w:fill="E8F0F8"/>
          </w:tcPr>
          <w:p>
            <w:pPr>
              <w:ind w:left="80"/>
              <w:spacing w:after="0"/>
              <w:rPr>
                <w:sz w:val="20"/>
                <w:szCs w:val="20"/>
                <w:color w:val="auto"/>
              </w:rPr>
            </w:pPr>
            <w:r>
              <w:rPr>
                <w:rFonts w:ascii="Arial" w:cs="Arial" w:eastAsia="Arial" w:hAnsi="Arial"/>
                <w:sz w:val="16"/>
                <w:szCs w:val="16"/>
                <w:color w:val="auto"/>
              </w:rPr>
              <w:t>Scientific Research Experience</w:t>
            </w:r>
          </w:p>
        </w:tc>
        <w:tc>
          <w:tcPr>
            <w:tcW w:w="520" w:type="dxa"/>
            <w:vAlign w:val="bottom"/>
            <w:tcBorders>
              <w:right w:val="single" w:sz="8" w:color="FCFCFC"/>
            </w:tcBorders>
            <w:shd w:val="clear" w:color="auto" w:fill="E8F0F8"/>
          </w:tcPr>
          <w:p>
            <w:pPr>
              <w:spacing w:after="0"/>
              <w:rPr>
                <w:sz w:val="22"/>
                <w:szCs w:val="22"/>
                <w:color w:val="auto"/>
              </w:rPr>
            </w:pPr>
          </w:p>
        </w:tc>
        <w:tc>
          <w:tcPr>
            <w:tcW w:w="520" w:type="dxa"/>
            <w:vAlign w:val="bottom"/>
            <w:tcBorders>
              <w:right w:val="single" w:sz="8" w:color="FCFCFC"/>
            </w:tcBorders>
            <w:shd w:val="clear" w:color="auto" w:fill="E8F0F8"/>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E8F0F8"/>
          </w:tcPr>
          <w:p>
            <w:pPr>
              <w:spacing w:after="0"/>
              <w:rPr>
                <w:sz w:val="22"/>
                <w:szCs w:val="22"/>
                <w:color w:val="auto"/>
              </w:rPr>
            </w:pPr>
          </w:p>
        </w:tc>
        <w:tc>
          <w:tcPr>
            <w:tcW w:w="520" w:type="dxa"/>
            <w:vAlign w:val="bottom"/>
            <w:tcBorders>
              <w:right w:val="single" w:sz="8" w:color="FCFCFC"/>
            </w:tcBorders>
            <w:shd w:val="clear" w:color="auto" w:fill="E8F0F8"/>
          </w:tcPr>
          <w:p>
            <w:pPr>
              <w:spacing w:after="0"/>
              <w:rPr>
                <w:sz w:val="22"/>
                <w:szCs w:val="22"/>
                <w:color w:val="auto"/>
              </w:rPr>
            </w:pPr>
          </w:p>
        </w:tc>
        <w:tc>
          <w:tcPr>
            <w:tcW w:w="480" w:type="dxa"/>
            <w:vAlign w:val="bottom"/>
            <w:shd w:val="clear" w:color="auto" w:fill="E8F0F8"/>
          </w:tcPr>
          <w:p>
            <w:pPr>
              <w:spacing w:after="0"/>
              <w:rPr>
                <w:sz w:val="22"/>
                <w:szCs w:val="22"/>
                <w:color w:val="auto"/>
              </w:rPr>
            </w:pPr>
          </w:p>
        </w:tc>
        <w:tc>
          <w:tcPr>
            <w:tcW w:w="520" w:type="dxa"/>
            <w:vAlign w:val="bottom"/>
            <w:shd w:val="clear" w:color="auto" w:fill="E8F0F8"/>
          </w:tcPr>
          <w:p>
            <w:pPr>
              <w:spacing w:after="0"/>
              <w:rPr>
                <w:sz w:val="22"/>
                <w:szCs w:val="22"/>
                <w:color w:val="auto"/>
              </w:rPr>
            </w:pPr>
          </w:p>
        </w:tc>
        <w:tc>
          <w:tcPr>
            <w:tcW w:w="52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E8F0F8"/>
          </w:tcPr>
          <w:p>
            <w:pPr>
              <w:spacing w:after="0"/>
              <w:rPr>
                <w:sz w:val="22"/>
                <w:szCs w:val="22"/>
                <w:color w:val="auto"/>
              </w:rPr>
            </w:pPr>
          </w:p>
        </w:tc>
        <w:tc>
          <w:tcPr>
            <w:tcW w:w="52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spacing w:after="0"/>
              <w:rPr>
                <w:sz w:val="22"/>
                <w:szCs w:val="22"/>
                <w:color w:val="auto"/>
              </w:rPr>
            </w:pPr>
          </w:p>
        </w:tc>
        <w:tc>
          <w:tcPr>
            <w:tcW w:w="50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spacing w:after="0"/>
              <w:rPr>
                <w:sz w:val="22"/>
                <w:szCs w:val="22"/>
                <w:color w:val="auto"/>
              </w:rPr>
            </w:pPr>
          </w:p>
        </w:tc>
        <w:tc>
          <w:tcPr>
            <w:tcW w:w="52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E8F0F8"/>
          </w:tcPr>
          <w:p>
            <w:pPr>
              <w:spacing w:after="0"/>
              <w:rPr>
                <w:sz w:val="22"/>
                <w:szCs w:val="22"/>
                <w:color w:val="auto"/>
              </w:rPr>
            </w:pPr>
          </w:p>
        </w:tc>
      </w:tr>
      <w:tr>
        <w:trPr>
          <w:trHeight w:val="258"/>
        </w:trPr>
        <w:tc>
          <w:tcPr>
            <w:tcW w:w="3820" w:type="dxa"/>
            <w:vAlign w:val="bottom"/>
            <w:shd w:val="clear" w:color="auto" w:fill="BAD3EA"/>
          </w:tcPr>
          <w:p>
            <w:pPr>
              <w:ind w:left="80"/>
              <w:spacing w:after="0"/>
              <w:rPr>
                <w:sz w:val="20"/>
                <w:szCs w:val="20"/>
                <w:color w:val="auto"/>
              </w:rPr>
            </w:pPr>
            <w:r>
              <w:rPr>
                <w:rFonts w:ascii="Arial" w:cs="Arial" w:eastAsia="Arial" w:hAnsi="Arial"/>
                <w:sz w:val="16"/>
                <w:szCs w:val="16"/>
                <w:color w:val="auto"/>
              </w:rPr>
              <w:t>Drug Development Experience</w:t>
            </w:r>
          </w:p>
        </w:tc>
        <w:tc>
          <w:tcPr>
            <w:tcW w:w="520" w:type="dxa"/>
            <w:vAlign w:val="bottom"/>
            <w:tcBorders>
              <w:right w:val="single" w:sz="8" w:color="FCFCFC"/>
            </w:tcBorders>
            <w:shd w:val="clear" w:color="auto" w:fill="BAD3EA"/>
          </w:tcPr>
          <w:p>
            <w:pPr>
              <w:spacing w:after="0"/>
              <w:rPr>
                <w:sz w:val="22"/>
                <w:szCs w:val="22"/>
                <w:color w:val="auto"/>
              </w:rPr>
            </w:pPr>
          </w:p>
        </w:tc>
        <w:tc>
          <w:tcPr>
            <w:tcW w:w="520" w:type="dxa"/>
            <w:vAlign w:val="bottom"/>
            <w:tcBorders>
              <w:right w:val="single" w:sz="8" w:color="FCFCFC"/>
            </w:tcBorders>
            <w:shd w:val="clear" w:color="auto" w:fill="BAD3EA"/>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BAD3EA"/>
          </w:tcPr>
          <w:p>
            <w:pPr>
              <w:spacing w:after="0"/>
              <w:rPr>
                <w:sz w:val="22"/>
                <w:szCs w:val="22"/>
                <w:color w:val="auto"/>
              </w:rPr>
            </w:pPr>
          </w:p>
        </w:tc>
        <w:tc>
          <w:tcPr>
            <w:tcW w:w="520" w:type="dxa"/>
            <w:vAlign w:val="bottom"/>
            <w:tcBorders>
              <w:right w:val="single" w:sz="8" w:color="FCFCFC"/>
            </w:tcBorders>
            <w:shd w:val="clear" w:color="auto" w:fill="BAD3EA"/>
          </w:tcPr>
          <w:p>
            <w:pPr>
              <w:spacing w:after="0"/>
              <w:rPr>
                <w:sz w:val="22"/>
                <w:szCs w:val="22"/>
                <w:color w:val="auto"/>
              </w:rPr>
            </w:pPr>
          </w:p>
        </w:tc>
        <w:tc>
          <w:tcPr>
            <w:tcW w:w="480" w:type="dxa"/>
            <w:vAlign w:val="bottom"/>
            <w:shd w:val="clear" w:color="auto" w:fill="BAD3EA"/>
          </w:tcPr>
          <w:p>
            <w:pPr>
              <w:spacing w:after="0"/>
              <w:rPr>
                <w:sz w:val="22"/>
                <w:szCs w:val="22"/>
                <w:color w:val="auto"/>
              </w:rPr>
            </w:pPr>
          </w:p>
        </w:tc>
        <w:tc>
          <w:tcPr>
            <w:tcW w:w="520" w:type="dxa"/>
            <w:vAlign w:val="bottom"/>
            <w:shd w:val="clear" w:color="auto" w:fill="BAD3EA"/>
          </w:tcPr>
          <w:p>
            <w:pPr>
              <w:spacing w:after="0"/>
              <w:rPr>
                <w:sz w:val="22"/>
                <w:szCs w:val="22"/>
                <w:color w:val="auto"/>
              </w:rPr>
            </w:pPr>
          </w:p>
        </w:tc>
        <w:tc>
          <w:tcPr>
            <w:tcW w:w="52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BAD3EA"/>
          </w:tcPr>
          <w:p>
            <w:pPr>
              <w:spacing w:after="0"/>
              <w:rPr>
                <w:sz w:val="22"/>
                <w:szCs w:val="22"/>
                <w:color w:val="auto"/>
              </w:rPr>
            </w:pPr>
          </w:p>
        </w:tc>
        <w:tc>
          <w:tcPr>
            <w:tcW w:w="52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BAD3EA"/>
          </w:tcPr>
          <w:p>
            <w:pPr>
              <w:spacing w:after="0"/>
              <w:rPr>
                <w:sz w:val="22"/>
                <w:szCs w:val="22"/>
                <w:color w:val="auto"/>
              </w:rPr>
            </w:pPr>
          </w:p>
        </w:tc>
        <w:tc>
          <w:tcPr>
            <w:tcW w:w="50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BAD3EA"/>
          </w:tcPr>
          <w:p>
            <w:pPr>
              <w:spacing w:after="0"/>
              <w:rPr>
                <w:sz w:val="22"/>
                <w:szCs w:val="22"/>
                <w:color w:val="auto"/>
              </w:rPr>
            </w:pPr>
          </w:p>
        </w:tc>
        <w:tc>
          <w:tcPr>
            <w:tcW w:w="52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r>
      <w:tr>
        <w:trPr>
          <w:trHeight w:val="255"/>
        </w:trPr>
        <w:tc>
          <w:tcPr>
            <w:tcW w:w="3820" w:type="dxa"/>
            <w:vAlign w:val="bottom"/>
            <w:shd w:val="clear" w:color="auto" w:fill="E8F0F8"/>
          </w:tcPr>
          <w:p>
            <w:pPr>
              <w:ind w:left="80"/>
              <w:spacing w:after="0"/>
              <w:rPr>
                <w:sz w:val="20"/>
                <w:szCs w:val="20"/>
                <w:color w:val="auto"/>
              </w:rPr>
            </w:pPr>
            <w:r>
              <w:rPr>
                <w:rFonts w:ascii="Arial" w:cs="Arial" w:eastAsia="Arial" w:hAnsi="Arial"/>
                <w:sz w:val="16"/>
                <w:szCs w:val="16"/>
                <w:color w:val="auto"/>
              </w:rPr>
              <w:t>Commercial Experience</w:t>
            </w:r>
          </w:p>
        </w:tc>
        <w:tc>
          <w:tcPr>
            <w:tcW w:w="520" w:type="dxa"/>
            <w:vAlign w:val="bottom"/>
            <w:tcBorders>
              <w:right w:val="single" w:sz="8" w:color="FCFCFC"/>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E8F0F8"/>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480" w:type="dxa"/>
            <w:vAlign w:val="bottom"/>
            <w:shd w:val="clear" w:color="auto" w:fill="E8F0F8"/>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E8F0F8"/>
          </w:tcPr>
          <w:p>
            <w:pPr>
              <w:spacing w:after="0"/>
              <w:rPr>
                <w:sz w:val="22"/>
                <w:szCs w:val="22"/>
                <w:color w:val="auto"/>
              </w:rPr>
            </w:pPr>
          </w:p>
        </w:tc>
        <w:tc>
          <w:tcPr>
            <w:tcW w:w="52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spacing w:after="0"/>
              <w:rPr>
                <w:sz w:val="22"/>
                <w:szCs w:val="22"/>
                <w:color w:val="auto"/>
              </w:rPr>
            </w:pPr>
          </w:p>
        </w:tc>
        <w:tc>
          <w:tcPr>
            <w:tcW w:w="500" w:type="dxa"/>
            <w:vAlign w:val="bottom"/>
            <w:shd w:val="clear" w:color="auto" w:fill="E8F0F8"/>
          </w:tcPr>
          <w:p>
            <w:pPr>
              <w:spacing w:after="0"/>
              <w:rPr>
                <w:sz w:val="22"/>
                <w:szCs w:val="22"/>
                <w:color w:val="auto"/>
              </w:rPr>
            </w:pPr>
          </w:p>
        </w:tc>
        <w:tc>
          <w:tcPr>
            <w:tcW w:w="520" w:type="dxa"/>
            <w:vAlign w:val="bottom"/>
            <w:shd w:val="clear" w:color="auto" w:fill="E8F0F8"/>
          </w:tcPr>
          <w:p>
            <w:pPr>
              <w:spacing w:after="0"/>
              <w:rPr>
                <w:sz w:val="22"/>
                <w:szCs w:val="22"/>
                <w:color w:val="auto"/>
              </w:rPr>
            </w:pPr>
          </w:p>
        </w:tc>
        <w:tc>
          <w:tcPr>
            <w:tcW w:w="520" w:type="dxa"/>
            <w:vAlign w:val="bottom"/>
            <w:shd w:val="clear" w:color="auto" w:fill="E8F0F8"/>
          </w:tcPr>
          <w:p>
            <w:pPr>
              <w:spacing w:after="0"/>
              <w:rPr>
                <w:sz w:val="22"/>
                <w:szCs w:val="22"/>
                <w:color w:val="auto"/>
              </w:rPr>
            </w:pPr>
          </w:p>
        </w:tc>
        <w:tc>
          <w:tcPr>
            <w:tcW w:w="54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r>
      <w:tr>
        <w:trPr>
          <w:trHeight w:val="258"/>
        </w:trPr>
        <w:tc>
          <w:tcPr>
            <w:tcW w:w="3820" w:type="dxa"/>
            <w:vAlign w:val="bottom"/>
            <w:shd w:val="clear" w:color="auto" w:fill="BAD3EA"/>
          </w:tcPr>
          <w:p>
            <w:pPr>
              <w:ind w:left="80"/>
              <w:spacing w:after="0"/>
              <w:rPr>
                <w:sz w:val="20"/>
                <w:szCs w:val="20"/>
                <w:color w:val="auto"/>
              </w:rPr>
            </w:pPr>
            <w:r>
              <w:rPr>
                <w:rFonts w:ascii="Arial" w:cs="Arial" w:eastAsia="Arial" w:hAnsi="Arial"/>
                <w:sz w:val="16"/>
                <w:szCs w:val="16"/>
                <w:color w:val="auto"/>
              </w:rPr>
              <w:t>International Business Experience</w:t>
            </w:r>
          </w:p>
        </w:tc>
        <w:tc>
          <w:tcPr>
            <w:tcW w:w="520" w:type="dxa"/>
            <w:vAlign w:val="bottom"/>
            <w:tcBorders>
              <w:right w:val="single" w:sz="8" w:color="FCFCFC"/>
            </w:tcBorders>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BAD3EA"/>
          </w:tcPr>
          <w:p>
            <w:pPr>
              <w:spacing w:after="0"/>
              <w:rPr>
                <w:sz w:val="22"/>
                <w:szCs w:val="22"/>
                <w:color w:val="auto"/>
              </w:rPr>
            </w:pPr>
          </w:p>
        </w:tc>
        <w:tc>
          <w:tcPr>
            <w:tcW w:w="500" w:type="dxa"/>
            <w:vAlign w:val="bottom"/>
            <w:shd w:val="clear" w:color="auto" w:fill="BAD3EA"/>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BAD3EA"/>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480" w:type="dxa"/>
            <w:vAlign w:val="bottom"/>
            <w:shd w:val="clear" w:color="auto" w:fill="BAD3EA"/>
          </w:tcPr>
          <w:p>
            <w:pPr>
              <w:spacing w:after="0"/>
              <w:rPr>
                <w:sz w:val="22"/>
                <w:szCs w:val="22"/>
                <w:color w:val="auto"/>
              </w:rPr>
            </w:pPr>
          </w:p>
        </w:tc>
        <w:tc>
          <w:tcPr>
            <w:tcW w:w="52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BAD3EA"/>
          </w:tcPr>
          <w:p>
            <w:pPr>
              <w:spacing w:after="0"/>
              <w:rPr>
                <w:sz w:val="22"/>
                <w:szCs w:val="22"/>
                <w:color w:val="auto"/>
              </w:rPr>
            </w:pPr>
          </w:p>
        </w:tc>
        <w:tc>
          <w:tcPr>
            <w:tcW w:w="500" w:type="dxa"/>
            <w:vAlign w:val="bottom"/>
            <w:shd w:val="clear" w:color="auto" w:fill="BAD3EA"/>
          </w:tcPr>
          <w:p>
            <w:pPr>
              <w:spacing w:after="0"/>
              <w:rPr>
                <w:sz w:val="22"/>
                <w:szCs w:val="22"/>
                <w:color w:val="auto"/>
              </w:rPr>
            </w:pPr>
          </w:p>
        </w:tc>
        <w:tc>
          <w:tcPr>
            <w:tcW w:w="520" w:type="dxa"/>
            <w:vAlign w:val="bottom"/>
            <w:shd w:val="clear" w:color="auto" w:fill="BAD3EA"/>
          </w:tcPr>
          <w:p>
            <w:pPr>
              <w:spacing w:after="0"/>
              <w:rPr>
                <w:sz w:val="22"/>
                <w:szCs w:val="22"/>
                <w:color w:val="auto"/>
              </w:rPr>
            </w:pPr>
          </w:p>
        </w:tc>
        <w:tc>
          <w:tcPr>
            <w:tcW w:w="520" w:type="dxa"/>
            <w:vAlign w:val="bottom"/>
            <w:shd w:val="clear" w:color="auto" w:fill="BAD3EA"/>
          </w:tcPr>
          <w:p>
            <w:pPr>
              <w:spacing w:after="0"/>
              <w:rPr>
                <w:sz w:val="22"/>
                <w:szCs w:val="22"/>
                <w:color w:val="auto"/>
              </w:rPr>
            </w:pPr>
          </w:p>
        </w:tc>
        <w:tc>
          <w:tcPr>
            <w:tcW w:w="500" w:type="dxa"/>
            <w:vAlign w:val="bottom"/>
            <w:shd w:val="clear" w:color="auto" w:fill="BAD3EA"/>
          </w:tcPr>
          <w:p>
            <w:pPr>
              <w:spacing w:after="0"/>
              <w:rPr>
                <w:sz w:val="22"/>
                <w:szCs w:val="22"/>
                <w:color w:val="auto"/>
              </w:rPr>
            </w:pPr>
          </w:p>
        </w:tc>
        <w:tc>
          <w:tcPr>
            <w:tcW w:w="520" w:type="dxa"/>
            <w:vAlign w:val="bottom"/>
            <w:shd w:val="clear" w:color="auto" w:fill="BAD3EA"/>
          </w:tcPr>
          <w:p>
            <w:pPr>
              <w:spacing w:after="0"/>
              <w:rPr>
                <w:sz w:val="22"/>
                <w:szCs w:val="22"/>
                <w:color w:val="auto"/>
              </w:rPr>
            </w:pPr>
          </w:p>
        </w:tc>
        <w:tc>
          <w:tcPr>
            <w:tcW w:w="520" w:type="dxa"/>
            <w:vAlign w:val="bottom"/>
            <w:shd w:val="clear" w:color="auto" w:fill="BAD3EA"/>
          </w:tcPr>
          <w:p>
            <w:pPr>
              <w:spacing w:after="0"/>
              <w:rPr>
                <w:sz w:val="22"/>
                <w:szCs w:val="22"/>
                <w:color w:val="auto"/>
              </w:rPr>
            </w:pPr>
          </w:p>
        </w:tc>
        <w:tc>
          <w:tcPr>
            <w:tcW w:w="54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r>
      <w:tr>
        <w:trPr>
          <w:trHeight w:val="255"/>
        </w:trPr>
        <w:tc>
          <w:tcPr>
            <w:tcW w:w="3820" w:type="dxa"/>
            <w:vAlign w:val="bottom"/>
            <w:shd w:val="clear" w:color="auto" w:fill="E8F0F8"/>
          </w:tcPr>
          <w:p>
            <w:pPr>
              <w:ind w:left="80"/>
              <w:spacing w:after="0"/>
              <w:rPr>
                <w:sz w:val="20"/>
                <w:szCs w:val="20"/>
                <w:color w:val="auto"/>
              </w:rPr>
            </w:pPr>
            <w:r>
              <w:rPr>
                <w:rFonts w:ascii="Arial" w:cs="Arial" w:eastAsia="Arial" w:hAnsi="Arial"/>
                <w:sz w:val="16"/>
                <w:szCs w:val="16"/>
                <w:color w:val="auto"/>
              </w:rPr>
              <w:t>Public Policy Experience</w:t>
            </w:r>
          </w:p>
        </w:tc>
        <w:tc>
          <w:tcPr>
            <w:tcW w:w="520" w:type="dxa"/>
            <w:vAlign w:val="bottom"/>
            <w:tcBorders>
              <w:right w:val="single" w:sz="8" w:color="FCFCFC"/>
            </w:tcBorders>
            <w:shd w:val="clear" w:color="auto" w:fill="E8F0F8"/>
          </w:tcPr>
          <w:p>
            <w:pPr>
              <w:spacing w:after="0"/>
              <w:rPr>
                <w:sz w:val="22"/>
                <w:szCs w:val="22"/>
                <w:color w:val="auto"/>
              </w:rPr>
            </w:pPr>
          </w:p>
        </w:tc>
        <w:tc>
          <w:tcPr>
            <w:tcW w:w="520" w:type="dxa"/>
            <w:vAlign w:val="bottom"/>
            <w:tcBorders>
              <w:right w:val="single" w:sz="8" w:color="FCFCFC"/>
            </w:tcBorders>
            <w:shd w:val="clear" w:color="auto" w:fill="E8F0F8"/>
          </w:tcPr>
          <w:p>
            <w:pPr>
              <w:spacing w:after="0"/>
              <w:rPr>
                <w:sz w:val="22"/>
                <w:szCs w:val="22"/>
                <w:color w:val="auto"/>
              </w:rPr>
            </w:pPr>
          </w:p>
        </w:tc>
        <w:tc>
          <w:tcPr>
            <w:tcW w:w="500" w:type="dxa"/>
            <w:vAlign w:val="bottom"/>
            <w:shd w:val="clear" w:color="auto" w:fill="E8F0F8"/>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480" w:type="dxa"/>
            <w:vAlign w:val="bottom"/>
            <w:shd w:val="clear" w:color="auto" w:fill="E8F0F8"/>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spacing w:after="0"/>
              <w:rPr>
                <w:sz w:val="22"/>
                <w:szCs w:val="22"/>
                <w:color w:val="auto"/>
              </w:rPr>
            </w:pPr>
          </w:p>
        </w:tc>
        <w:tc>
          <w:tcPr>
            <w:tcW w:w="520" w:type="dxa"/>
            <w:vAlign w:val="bottom"/>
            <w:shd w:val="clear" w:color="auto" w:fill="E8F0F8"/>
          </w:tcPr>
          <w:p>
            <w:pPr>
              <w:spacing w:after="0"/>
              <w:rPr>
                <w:sz w:val="22"/>
                <w:szCs w:val="22"/>
                <w:color w:val="auto"/>
              </w:rPr>
            </w:pPr>
          </w:p>
        </w:tc>
        <w:tc>
          <w:tcPr>
            <w:tcW w:w="500" w:type="dxa"/>
            <w:vAlign w:val="bottom"/>
            <w:shd w:val="clear" w:color="auto" w:fill="E8F0F8"/>
          </w:tcPr>
          <w:p>
            <w:pPr>
              <w:spacing w:after="0"/>
              <w:rPr>
                <w:sz w:val="22"/>
                <w:szCs w:val="22"/>
                <w:color w:val="auto"/>
              </w:rPr>
            </w:pPr>
          </w:p>
        </w:tc>
        <w:tc>
          <w:tcPr>
            <w:tcW w:w="520" w:type="dxa"/>
            <w:vAlign w:val="bottom"/>
            <w:shd w:val="clear" w:color="auto" w:fill="E8F0F8"/>
          </w:tcPr>
          <w:p>
            <w:pPr>
              <w:spacing w:after="0"/>
              <w:rPr>
                <w:sz w:val="22"/>
                <w:szCs w:val="22"/>
                <w:color w:val="auto"/>
              </w:rPr>
            </w:pPr>
          </w:p>
        </w:tc>
        <w:tc>
          <w:tcPr>
            <w:tcW w:w="520" w:type="dxa"/>
            <w:vAlign w:val="bottom"/>
            <w:shd w:val="clear" w:color="auto" w:fill="E8F0F8"/>
          </w:tcPr>
          <w:p>
            <w:pPr>
              <w:spacing w:after="0"/>
              <w:rPr>
                <w:sz w:val="22"/>
                <w:szCs w:val="22"/>
                <w:color w:val="auto"/>
              </w:rPr>
            </w:pPr>
          </w:p>
        </w:tc>
        <w:tc>
          <w:tcPr>
            <w:tcW w:w="500" w:type="dxa"/>
            <w:vAlign w:val="bottom"/>
            <w:shd w:val="clear" w:color="auto" w:fill="E8F0F8"/>
          </w:tcPr>
          <w:p>
            <w:pPr>
              <w:spacing w:after="0"/>
              <w:rPr>
                <w:sz w:val="22"/>
                <w:szCs w:val="22"/>
                <w:color w:val="auto"/>
              </w:rPr>
            </w:pPr>
          </w:p>
        </w:tc>
        <w:tc>
          <w:tcPr>
            <w:tcW w:w="52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r>
      <w:tr>
        <w:trPr>
          <w:trHeight w:val="258"/>
        </w:trPr>
        <w:tc>
          <w:tcPr>
            <w:tcW w:w="3820" w:type="dxa"/>
            <w:vAlign w:val="bottom"/>
            <w:shd w:val="clear" w:color="auto" w:fill="BAD3EA"/>
          </w:tcPr>
          <w:p>
            <w:pPr>
              <w:ind w:left="80"/>
              <w:spacing w:after="0"/>
              <w:rPr>
                <w:sz w:val="20"/>
                <w:szCs w:val="20"/>
                <w:color w:val="auto"/>
              </w:rPr>
            </w:pPr>
            <w:r>
              <w:rPr>
                <w:rFonts w:ascii="Arial" w:cs="Arial" w:eastAsia="Arial" w:hAnsi="Arial"/>
                <w:sz w:val="16"/>
                <w:szCs w:val="16"/>
                <w:color w:val="auto"/>
              </w:rPr>
              <w:t>Operations Experience</w:t>
            </w:r>
          </w:p>
        </w:tc>
        <w:tc>
          <w:tcPr>
            <w:tcW w:w="520" w:type="dxa"/>
            <w:vAlign w:val="bottom"/>
            <w:tcBorders>
              <w:right w:val="single" w:sz="8" w:color="FCFCFC"/>
            </w:tcBorders>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BAD3EA"/>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BAD3EA"/>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BAD3EA"/>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480" w:type="dxa"/>
            <w:vAlign w:val="bottom"/>
            <w:shd w:val="clear" w:color="auto" w:fill="BAD3EA"/>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BAD3EA"/>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BAD3EA"/>
          </w:tcPr>
          <w:p>
            <w:pPr>
              <w:spacing w:after="0"/>
              <w:rPr>
                <w:sz w:val="22"/>
                <w:szCs w:val="22"/>
                <w:color w:val="auto"/>
              </w:rPr>
            </w:pPr>
          </w:p>
        </w:tc>
        <w:tc>
          <w:tcPr>
            <w:tcW w:w="520" w:type="dxa"/>
            <w:vAlign w:val="bottom"/>
            <w:shd w:val="clear" w:color="auto" w:fill="BAD3EA"/>
          </w:tcPr>
          <w:p>
            <w:pPr>
              <w:spacing w:after="0"/>
              <w:rPr>
                <w:sz w:val="22"/>
                <w:szCs w:val="22"/>
                <w:color w:val="auto"/>
              </w:rPr>
            </w:pPr>
          </w:p>
        </w:tc>
        <w:tc>
          <w:tcPr>
            <w:tcW w:w="52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BAD3EA"/>
          </w:tcPr>
          <w:p>
            <w:pPr>
              <w:spacing w:after="0"/>
              <w:rPr>
                <w:sz w:val="22"/>
                <w:szCs w:val="22"/>
                <w:color w:val="auto"/>
              </w:rPr>
            </w:pPr>
          </w:p>
        </w:tc>
        <w:tc>
          <w:tcPr>
            <w:tcW w:w="52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BAD3EA"/>
          </w:tcPr>
          <w:p>
            <w:pPr>
              <w:ind w:left="180"/>
              <w:spacing w:after="0" w:line="161" w:lineRule="exact"/>
              <w:rPr>
                <w:sz w:val="20"/>
                <w:szCs w:val="20"/>
                <w:color w:val="auto"/>
              </w:rPr>
            </w:pPr>
            <w:r>
              <w:rPr>
                <w:rFonts w:ascii="MS PGothic" w:cs="MS PGothic" w:eastAsia="MS PGothic" w:hAnsi="MS PGothic"/>
                <w:sz w:val="16"/>
                <w:szCs w:val="16"/>
                <w:color w:val="auto"/>
              </w:rPr>
              <w:t>✓</w:t>
            </w:r>
          </w:p>
        </w:tc>
      </w:tr>
      <w:tr>
        <w:trPr>
          <w:trHeight w:val="257"/>
        </w:trPr>
        <w:tc>
          <w:tcPr>
            <w:tcW w:w="3820" w:type="dxa"/>
            <w:vAlign w:val="bottom"/>
            <w:shd w:val="clear" w:color="auto" w:fill="E8F0F8"/>
          </w:tcPr>
          <w:p>
            <w:pPr>
              <w:ind w:left="80"/>
              <w:spacing w:after="0"/>
              <w:rPr>
                <w:sz w:val="20"/>
                <w:szCs w:val="20"/>
                <w:color w:val="auto"/>
              </w:rPr>
            </w:pPr>
            <w:r>
              <w:rPr>
                <w:rFonts w:ascii="Arial" w:cs="Arial" w:eastAsia="Arial" w:hAnsi="Arial"/>
                <w:sz w:val="16"/>
                <w:szCs w:val="16"/>
                <w:color w:val="auto"/>
              </w:rPr>
              <w:t>Other Public Company Board Service</w:t>
            </w:r>
          </w:p>
        </w:tc>
        <w:tc>
          <w:tcPr>
            <w:tcW w:w="520" w:type="dxa"/>
            <w:vAlign w:val="bottom"/>
            <w:tcBorders>
              <w:right w:val="single" w:sz="8" w:color="FCFCFC"/>
            </w:tcBorders>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E8F0F8"/>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Borders>
              <w:right w:val="single" w:sz="8" w:color="FCFCFC"/>
            </w:tcBorders>
            <w:shd w:val="clear" w:color="auto" w:fill="E8F0F8"/>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480" w:type="dxa"/>
            <w:vAlign w:val="bottom"/>
            <w:shd w:val="clear" w:color="auto" w:fill="E8F0F8"/>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spacing w:after="0"/>
              <w:rPr>
                <w:sz w:val="22"/>
                <w:szCs w:val="22"/>
                <w:color w:val="auto"/>
              </w:rPr>
            </w:pPr>
          </w:p>
        </w:tc>
        <w:tc>
          <w:tcPr>
            <w:tcW w:w="52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shd w:val="clear" w:color="auto" w:fill="E8F0F8"/>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shd w:val="clear" w:color="auto" w:fill="E8F0F8"/>
          </w:tcPr>
          <w:p>
            <w:pPr>
              <w:spacing w:after="0"/>
              <w:rPr>
                <w:sz w:val="22"/>
                <w:szCs w:val="22"/>
                <w:color w:val="auto"/>
              </w:rPr>
            </w:pP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345"/>
        </w:trPr>
        <w:tc>
          <w:tcPr>
            <w:tcW w:w="3820" w:type="dxa"/>
            <w:vAlign w:val="bottom"/>
          </w:tcPr>
          <w:p>
            <w:pPr>
              <w:ind w:left="140"/>
              <w:spacing w:after="0"/>
              <w:rPr>
                <w:sz w:val="20"/>
                <w:szCs w:val="20"/>
                <w:color w:val="auto"/>
              </w:rPr>
            </w:pPr>
            <w:r>
              <w:rPr>
                <w:rFonts w:ascii="Arial" w:cs="Arial" w:eastAsia="Arial" w:hAnsi="Arial"/>
                <w:sz w:val="12"/>
                <w:szCs w:val="12"/>
                <w:color w:val="1A6DBB"/>
              </w:rPr>
              <w:t>11</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-114935</wp:posOffset>
            </wp:positionV>
            <wp:extent cx="685800" cy="154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0" cy="154305"/>
                    </a:xfrm>
                    <a:prstGeom prst="rect">
                      <a:avLst/>
                    </a:prstGeom>
                    <a:noFill/>
                  </pic:spPr>
                </pic:pic>
              </a:graphicData>
            </a:graphic>
          </wp:anchor>
        </w:drawing>
        <w:drawing>
          <wp:anchor simplePos="0" relativeHeight="251657728" behindDoc="1" locked="0" layoutInCell="0" allowOverlap="1">
            <wp:simplePos x="0" y="0"/>
            <wp:positionH relativeFrom="column">
              <wp:posOffset>7028815</wp:posOffset>
            </wp:positionH>
            <wp:positionV relativeFrom="paragraph">
              <wp:posOffset>-64135</wp:posOffset>
            </wp:positionV>
            <wp:extent cx="102870" cy="946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24"/>
        </w:numPr>
        <w:rPr>
          <w:rFonts w:ascii="Arial" w:cs="Arial" w:eastAsia="Arial" w:hAnsi="Arial"/>
          <w:sz w:val="90"/>
          <w:szCs w:val="90"/>
          <w:color w:val="1A6DBB"/>
        </w:rPr>
      </w:pPr>
      <w:r>
        <w:rPr>
          <w:rFonts w:ascii="Arial" w:cs="Arial" w:eastAsia="Arial" w:hAnsi="Arial"/>
          <w:sz w:val="41"/>
          <w:szCs w:val="41"/>
          <w:color w:val="1A6DBB"/>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1A6DBB"/>
        </w:rPr>
        <w:t>Our Nominees for Director</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(Information is as of April 22, 2019)</w:t>
      </w:r>
    </w:p>
    <w:p>
      <w:pPr>
        <w:spacing w:after="0" w:line="300" w:lineRule="exact"/>
        <w:rPr>
          <w:sz w:val="20"/>
          <w:szCs w:val="20"/>
          <w:color w:val="auto"/>
        </w:rPr>
      </w:pPr>
    </w:p>
    <w:tbl>
      <w:tblPr>
        <w:tblLayout w:type="fixed"/>
        <w:tblInd w:w="220" w:type="dxa"/>
        <w:tblCellMar>
          <w:top w:w="0" w:type="dxa"/>
          <w:left w:w="0" w:type="dxa"/>
          <w:bottom w:w="0" w:type="dxa"/>
          <w:right w:w="0" w:type="dxa"/>
        </w:tblCellMar>
      </w:tblPr>
      <w:tr>
        <w:trPr>
          <w:trHeight w:val="297"/>
        </w:trPr>
        <w:tc>
          <w:tcPr>
            <w:tcW w:w="5280" w:type="dxa"/>
            <w:vAlign w:val="bottom"/>
            <w:shd w:val="clear" w:color="auto" w:fill="1A6DBB"/>
          </w:tcPr>
          <w:p>
            <w:pPr>
              <w:ind w:left="140"/>
              <w:spacing w:after="0"/>
              <w:rPr>
                <w:sz w:val="20"/>
                <w:szCs w:val="20"/>
                <w:color w:val="auto"/>
              </w:rPr>
            </w:pPr>
            <w:r>
              <w:rPr>
                <w:rFonts w:ascii="Arial" w:cs="Arial" w:eastAsia="Arial" w:hAnsi="Arial"/>
                <w:sz w:val="18"/>
                <w:szCs w:val="18"/>
                <w:b w:val="1"/>
                <w:bCs w:val="1"/>
                <w:color w:val="FFFFFF"/>
              </w:rPr>
              <w:t>John R. Chiminski</w:t>
            </w:r>
          </w:p>
        </w:tc>
        <w:tc>
          <w:tcPr>
            <w:tcW w:w="320" w:type="dxa"/>
            <w:vAlign w:val="bottom"/>
          </w:tcPr>
          <w:p>
            <w:pPr>
              <w:spacing w:after="0"/>
              <w:rPr>
                <w:sz w:val="24"/>
                <w:szCs w:val="24"/>
                <w:color w:val="auto"/>
              </w:rPr>
            </w:pPr>
          </w:p>
        </w:tc>
        <w:tc>
          <w:tcPr>
            <w:tcW w:w="5400" w:type="dxa"/>
            <w:vAlign w:val="bottom"/>
            <w:shd w:val="clear" w:color="auto" w:fill="1A6DBB"/>
          </w:tcPr>
          <w:p>
            <w:pPr>
              <w:ind w:left="180"/>
              <w:spacing w:after="0"/>
              <w:rPr>
                <w:sz w:val="20"/>
                <w:szCs w:val="20"/>
                <w:color w:val="auto"/>
              </w:rPr>
            </w:pPr>
            <w:r>
              <w:rPr>
                <w:rFonts w:ascii="Arial" w:cs="Arial" w:eastAsia="Arial" w:hAnsi="Arial"/>
                <w:sz w:val="18"/>
                <w:szCs w:val="18"/>
                <w:b w:val="1"/>
                <w:bCs w:val="1"/>
                <w:color w:val="FFFFFF"/>
              </w:rPr>
              <w:t>Alexander J. Denner, Ph.D.</w:t>
            </w:r>
          </w:p>
        </w:tc>
      </w:tr>
      <w:tr>
        <w:trPr>
          <w:trHeight w:val="333"/>
        </w:trPr>
        <w:tc>
          <w:tcPr>
            <w:tcW w:w="5280" w:type="dxa"/>
            <w:vAlign w:val="bottom"/>
          </w:tcPr>
          <w:p>
            <w:pPr>
              <w:ind w:left="1980"/>
              <w:spacing w:after="0"/>
              <w:rPr>
                <w:sz w:val="20"/>
                <w:szCs w:val="20"/>
                <w:color w:val="auto"/>
              </w:rPr>
            </w:pPr>
            <w:r>
              <w:rPr>
                <w:rFonts w:ascii="Arial" w:cs="Arial" w:eastAsia="Arial" w:hAnsi="Arial"/>
                <w:sz w:val="16"/>
                <w:szCs w:val="16"/>
                <w:b w:val="1"/>
                <w:bCs w:val="1"/>
                <w:color w:val="1A6DBB"/>
              </w:rPr>
              <w:t xml:space="preserve">Director Since: </w:t>
            </w:r>
            <w:r>
              <w:rPr>
                <w:rFonts w:ascii="Arial" w:cs="Arial" w:eastAsia="Arial" w:hAnsi="Arial"/>
                <w:sz w:val="16"/>
                <w:szCs w:val="16"/>
                <w:color w:val="000000"/>
              </w:rPr>
              <w:t>New Nominee</w:t>
            </w:r>
          </w:p>
        </w:tc>
        <w:tc>
          <w:tcPr>
            <w:tcW w:w="320" w:type="dxa"/>
            <w:vAlign w:val="bottom"/>
          </w:tcPr>
          <w:p>
            <w:pPr>
              <w:spacing w:after="0"/>
              <w:rPr>
                <w:sz w:val="24"/>
                <w:szCs w:val="24"/>
                <w:color w:val="auto"/>
              </w:rPr>
            </w:pPr>
          </w:p>
        </w:tc>
        <w:tc>
          <w:tcPr>
            <w:tcW w:w="5400" w:type="dxa"/>
            <w:vAlign w:val="bottom"/>
          </w:tcPr>
          <w:p>
            <w:pPr>
              <w:ind w:left="2040"/>
              <w:spacing w:after="0"/>
              <w:rPr>
                <w:sz w:val="20"/>
                <w:szCs w:val="20"/>
                <w:color w:val="auto"/>
              </w:rPr>
            </w:pPr>
            <w:r>
              <w:rPr>
                <w:rFonts w:ascii="Arial" w:cs="Arial" w:eastAsia="Arial" w:hAnsi="Arial"/>
                <w:sz w:val="16"/>
                <w:szCs w:val="16"/>
                <w:b w:val="1"/>
                <w:bCs w:val="1"/>
                <w:color w:val="1A6DBB"/>
              </w:rPr>
              <w:t xml:space="preserve">Director Since: </w:t>
            </w:r>
            <w:r>
              <w:rPr>
                <w:rFonts w:ascii="Arial" w:cs="Arial" w:eastAsia="Arial" w:hAnsi="Arial"/>
                <w:sz w:val="16"/>
                <w:szCs w:val="16"/>
                <w:color w:val="000000"/>
              </w:rPr>
              <w:t>2009</w:t>
            </w:r>
          </w:p>
        </w:tc>
      </w:tr>
      <w:tr>
        <w:trPr>
          <w:trHeight w:val="189"/>
        </w:trPr>
        <w:tc>
          <w:tcPr>
            <w:tcW w:w="5280" w:type="dxa"/>
            <w:vAlign w:val="bottom"/>
          </w:tcPr>
          <w:p>
            <w:pPr>
              <w:ind w:left="1980"/>
              <w:spacing w:after="0"/>
              <w:rPr>
                <w:sz w:val="20"/>
                <w:szCs w:val="20"/>
                <w:color w:val="auto"/>
              </w:rPr>
            </w:pPr>
            <w:r>
              <w:rPr>
                <w:rFonts w:ascii="Arial" w:cs="Arial" w:eastAsia="Arial" w:hAnsi="Arial"/>
                <w:sz w:val="16"/>
                <w:szCs w:val="16"/>
                <w:b w:val="1"/>
                <w:bCs w:val="1"/>
                <w:color w:val="1A6DBB"/>
              </w:rPr>
              <w:t xml:space="preserve">Age: </w:t>
            </w:r>
            <w:r>
              <w:rPr>
                <w:rFonts w:ascii="Arial" w:cs="Arial" w:eastAsia="Arial" w:hAnsi="Arial"/>
                <w:sz w:val="16"/>
                <w:szCs w:val="16"/>
                <w:color w:val="000000"/>
              </w:rPr>
              <w:t>55</w:t>
            </w:r>
          </w:p>
        </w:tc>
        <w:tc>
          <w:tcPr>
            <w:tcW w:w="320" w:type="dxa"/>
            <w:vAlign w:val="bottom"/>
          </w:tcPr>
          <w:p>
            <w:pPr>
              <w:spacing w:after="0"/>
              <w:rPr>
                <w:sz w:val="16"/>
                <w:szCs w:val="16"/>
                <w:color w:val="auto"/>
              </w:rPr>
            </w:pPr>
          </w:p>
        </w:tc>
        <w:tc>
          <w:tcPr>
            <w:tcW w:w="5400" w:type="dxa"/>
            <w:vAlign w:val="bottom"/>
          </w:tcPr>
          <w:p>
            <w:pPr>
              <w:ind w:left="2040"/>
              <w:spacing w:after="0"/>
              <w:rPr>
                <w:sz w:val="20"/>
                <w:szCs w:val="20"/>
                <w:color w:val="auto"/>
              </w:rPr>
            </w:pPr>
            <w:r>
              <w:rPr>
                <w:rFonts w:ascii="Arial" w:cs="Arial" w:eastAsia="Arial" w:hAnsi="Arial"/>
                <w:sz w:val="16"/>
                <w:szCs w:val="16"/>
                <w:b w:val="1"/>
                <w:bCs w:val="1"/>
                <w:color w:val="1A6DBB"/>
              </w:rPr>
              <w:t xml:space="preserve">Age: </w:t>
            </w:r>
            <w:r>
              <w:rPr>
                <w:rFonts w:ascii="Arial" w:cs="Arial" w:eastAsia="Arial" w:hAnsi="Arial"/>
                <w:sz w:val="16"/>
                <w:szCs w:val="16"/>
                <w:color w:val="000000"/>
              </w:rPr>
              <w:t>49</w:t>
            </w:r>
          </w:p>
        </w:tc>
      </w:tr>
      <w:tr>
        <w:trPr>
          <w:trHeight w:val="209"/>
        </w:trPr>
        <w:tc>
          <w:tcPr>
            <w:tcW w:w="5280" w:type="dxa"/>
            <w:vAlign w:val="bottom"/>
          </w:tcPr>
          <w:p>
            <w:pPr>
              <w:ind w:left="1980"/>
              <w:spacing w:after="0"/>
              <w:rPr>
                <w:sz w:val="20"/>
                <w:szCs w:val="20"/>
                <w:color w:val="auto"/>
              </w:rPr>
            </w:pPr>
            <w:r>
              <w:rPr>
                <w:rFonts w:ascii="Arial" w:cs="Arial" w:eastAsia="Arial" w:hAnsi="Arial"/>
                <w:sz w:val="16"/>
                <w:szCs w:val="16"/>
                <w:b w:val="1"/>
                <w:bCs w:val="1"/>
                <w:color w:val="1A6DBB"/>
              </w:rPr>
              <w:t>Biogen Board Committees:</w:t>
            </w:r>
          </w:p>
        </w:tc>
        <w:tc>
          <w:tcPr>
            <w:tcW w:w="320" w:type="dxa"/>
            <w:vAlign w:val="bottom"/>
          </w:tcPr>
          <w:p>
            <w:pPr>
              <w:spacing w:after="0"/>
              <w:rPr>
                <w:sz w:val="18"/>
                <w:szCs w:val="18"/>
                <w:color w:val="auto"/>
              </w:rPr>
            </w:pPr>
          </w:p>
        </w:tc>
        <w:tc>
          <w:tcPr>
            <w:tcW w:w="5400" w:type="dxa"/>
            <w:vAlign w:val="bottom"/>
          </w:tcPr>
          <w:p>
            <w:pPr>
              <w:ind w:left="2040"/>
              <w:spacing w:after="0"/>
              <w:rPr>
                <w:sz w:val="20"/>
                <w:szCs w:val="20"/>
                <w:color w:val="auto"/>
              </w:rPr>
            </w:pPr>
            <w:r>
              <w:rPr>
                <w:rFonts w:ascii="Arial" w:cs="Arial" w:eastAsia="Arial" w:hAnsi="Arial"/>
                <w:sz w:val="16"/>
                <w:szCs w:val="16"/>
                <w:b w:val="1"/>
                <w:bCs w:val="1"/>
                <w:color w:val="1A6DBB"/>
              </w:rPr>
              <w:t>Biogen Board Committees:</w:t>
            </w:r>
          </w:p>
        </w:tc>
      </w:tr>
      <w:tr>
        <w:trPr>
          <w:trHeight w:val="189"/>
        </w:trPr>
        <w:tc>
          <w:tcPr>
            <w:tcW w:w="5280" w:type="dxa"/>
            <w:vAlign w:val="bottom"/>
          </w:tcPr>
          <w:p>
            <w:pPr>
              <w:ind w:left="198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New Nominee</w:t>
            </w:r>
          </w:p>
        </w:tc>
        <w:tc>
          <w:tcPr>
            <w:tcW w:w="320" w:type="dxa"/>
            <w:vAlign w:val="bottom"/>
          </w:tcPr>
          <w:p>
            <w:pPr>
              <w:spacing w:after="0"/>
              <w:rPr>
                <w:sz w:val="16"/>
                <w:szCs w:val="16"/>
                <w:color w:val="auto"/>
              </w:rPr>
            </w:pPr>
          </w:p>
        </w:tc>
        <w:tc>
          <w:tcPr>
            <w:tcW w:w="5400" w:type="dxa"/>
            <w:vAlign w:val="bottom"/>
          </w:tcPr>
          <w:p>
            <w:pPr>
              <w:ind w:left="204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Corporate Governance (Chair)</w:t>
            </w:r>
          </w:p>
        </w:tc>
      </w:tr>
      <w:tr>
        <w:trPr>
          <w:trHeight w:val="195"/>
        </w:trPr>
        <w:tc>
          <w:tcPr>
            <w:tcW w:w="5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0" w:type="dxa"/>
            <w:vAlign w:val="bottom"/>
          </w:tcPr>
          <w:p>
            <w:pPr>
              <w:ind w:left="204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Finance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-604520</wp:posOffset>
            </wp:positionV>
            <wp:extent cx="848995" cy="10636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48995" cy="106362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-604520</wp:posOffset>
            </wp:positionV>
            <wp:extent cx="848995" cy="10636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48995" cy="106362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1A6DBB"/>
        </w:rPr>
        <w:t>Experience</w:t>
      </w:r>
    </w:p>
    <w:p>
      <w:pPr>
        <w:spacing w:after="0" w:line="25" w:lineRule="exact"/>
        <w:rPr>
          <w:sz w:val="20"/>
          <w:szCs w:val="20"/>
          <w:color w:val="auto"/>
        </w:rPr>
      </w:pPr>
    </w:p>
    <w:p>
      <w:pPr>
        <w:ind w:left="200" w:right="20"/>
        <w:spacing w:after="0" w:line="247" w:lineRule="auto"/>
        <w:rPr>
          <w:sz w:val="20"/>
          <w:szCs w:val="20"/>
          <w:color w:val="auto"/>
        </w:rPr>
      </w:pPr>
      <w:r>
        <w:rPr>
          <w:rFonts w:ascii="Arial" w:cs="Arial" w:eastAsia="Arial" w:hAnsi="Arial"/>
          <w:sz w:val="16"/>
          <w:szCs w:val="16"/>
          <w:color w:val="auto"/>
        </w:rPr>
        <w:t>Mr. Chiminski has served as the Chief Executive Officer of Catalent, Inc., a global provider of advanced delivery technologies and development solutions for drugs, biologics, and consumer and animal health products, since March 2009, as a director since February 2009 and as Chair of the Board since October 2016. Prior to that, Mr. Chiminski spent more than 20 years at GE Healthcare in engineering, operations and senior leadership roles. From 2007 to 2009 Mr. Chiminski was President and Chief Executive Officer of GE Medical Diagnostics, a global business with sales of $1.9 billion. From 2005 to 2007 he served as Vice President and General Manager of GE Healthcare’s Global Magnetic Resonance Business and from 2001 to 2005 as Vice President and General Manager of Global Healthcare Services. Earlier at GE, he held a series of cross-functional leadership positions in both manufacturing and engineering, including a GE Medical Systems assignment in France. Mr. Chiminski holds a B.S. from Michigan State University and an M.S. from Purdue University, both in electrical engineering, as well as a Master’s Degree in Management from the Kellogg School of Management at Northwestern University.</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1A6DBB"/>
        </w:rPr>
        <w:t>Qualifications</w:t>
      </w:r>
    </w:p>
    <w:p>
      <w:pPr>
        <w:spacing w:after="0" w:line="25"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color w:val="auto"/>
        </w:rPr>
        <w:t>Mr. Chiminski has significant experience in advising and managing companies in various segments of the healthcare industry and overseeing the day-to-day business operations of a healthcare company. He also possesses broad healthcare industry knowledge.</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1A6DBB"/>
        </w:rPr>
        <w:t>Other Current Public Company Boards</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Catalent, Inc. (Chair)</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1A6DBB"/>
        </w:rPr>
        <w:t>Former Public Company Directorships Held in the Past Five Years</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8"/>
          <w:szCs w:val="18"/>
          <w:color w:val="1A6DBB"/>
        </w:rPr>
        <w:t xml:space="preserve">– </w:t>
      </w:r>
      <w:r>
        <w:rPr>
          <w:rFonts w:ascii="Arial" w:cs="Arial" w:eastAsia="Arial" w:hAnsi="Arial"/>
          <w:sz w:val="18"/>
          <w:szCs w:val="18"/>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177800</wp:posOffset>
            </wp:positionV>
            <wp:extent cx="685800" cy="1543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Experience</w:t>
      </w:r>
    </w:p>
    <w:p>
      <w:pPr>
        <w:spacing w:after="0" w:line="25"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Dr. Denner is a founding partner and Chief Investment Officer of Sarissa Capital Management LP, a registered investment advisor, which he founded in 2012. Sarissa Capital focuses on improving the strategies of companies to enhance stockholder value. From 2006 to 2011 Dr. Denner served as a Senior Managing Director at Icahn Capital L.P. Prior to that, he served as a portfolio manager at Viking Global Investors, a private investment fund, and Morgan Stanley Investment Management, a global asset management firm. Dr. Denner also serves as a director of The Medicines Company, a biopharmaceutical company, where he is Chairman of the Board.</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Qualifications</w:t>
      </w:r>
    </w:p>
    <w:p>
      <w:pPr>
        <w:spacing w:after="0" w:line="25"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Dr. Denner has significant experience overseeing the operations and research and development of healthcare companies and evaluating corporate governance matters. He also has extensive experience as an investor, particularly with respect to healthcare companies, and possesses broad healthcare industry knowledge.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Other Current Public Company Boards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The Medicines Company (Chair)</w:t>
      </w:r>
    </w:p>
    <w:p>
      <w:pPr>
        <w:spacing w:after="0" w:line="93"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1A6DBB"/>
        </w:rPr>
        <w:t>Former Public Company Directorships Held in the Past Five Years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1A6DBB"/>
        </w:rPr>
        <w:t xml:space="preserve">– </w:t>
      </w:r>
      <w:r>
        <w:rPr>
          <w:rFonts w:ascii="Arial" w:cs="Arial" w:eastAsia="Arial" w:hAnsi="Arial"/>
          <w:sz w:val="16"/>
          <w:szCs w:val="16"/>
          <w:color w:val="000000"/>
        </w:rPr>
        <w:t>Ariad Pharmaceuticals, Inc.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Bioverativ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Vivus, Inc.</w:t>
      </w:r>
    </w:p>
    <w:p>
      <w:pPr>
        <w:spacing w:after="0" w:line="1165"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123"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-62865</wp:posOffset>
            </wp:positionV>
            <wp:extent cx="102870" cy="946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29"/>
        </w:numPr>
        <w:rPr>
          <w:rFonts w:ascii="Arial" w:cs="Arial" w:eastAsia="Arial" w:hAnsi="Arial"/>
          <w:sz w:val="90"/>
          <w:szCs w:val="90"/>
          <w:color w:val="1A6DBB"/>
        </w:rPr>
      </w:pPr>
      <w:r>
        <w:rPr>
          <w:rFonts w:ascii="Arial" w:cs="Arial" w:eastAsia="Arial" w:hAnsi="Arial"/>
          <w:sz w:val="41"/>
          <w:szCs w:val="41"/>
          <w:color w:val="1A6DBB"/>
        </w:rPr>
        <w:t xml:space="preserve">Board of Directors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220" w:type="dxa"/>
        <w:tblCellMar>
          <w:top w:w="0" w:type="dxa"/>
          <w:left w:w="0" w:type="dxa"/>
          <w:bottom w:w="0" w:type="dxa"/>
          <w:right w:w="0" w:type="dxa"/>
        </w:tblCellMar>
      </w:tblPr>
      <w:tr>
        <w:trPr>
          <w:trHeight w:val="297"/>
        </w:trPr>
        <w:tc>
          <w:tcPr>
            <w:tcW w:w="5280" w:type="dxa"/>
            <w:vAlign w:val="bottom"/>
            <w:shd w:val="clear" w:color="auto" w:fill="1A6DBB"/>
          </w:tcPr>
          <w:p>
            <w:pPr>
              <w:ind w:left="80"/>
              <w:spacing w:after="0"/>
              <w:rPr>
                <w:sz w:val="20"/>
                <w:szCs w:val="20"/>
                <w:color w:val="auto"/>
              </w:rPr>
            </w:pPr>
            <w:r>
              <w:rPr>
                <w:rFonts w:ascii="Arial" w:cs="Arial" w:eastAsia="Arial" w:hAnsi="Arial"/>
                <w:sz w:val="18"/>
                <w:szCs w:val="18"/>
                <w:b w:val="1"/>
                <w:bCs w:val="1"/>
                <w:color w:val="FFFFFF"/>
              </w:rPr>
              <w:t>Caroline D. Dorsa</w:t>
            </w:r>
          </w:p>
        </w:tc>
        <w:tc>
          <w:tcPr>
            <w:tcW w:w="320" w:type="dxa"/>
            <w:vAlign w:val="bottom"/>
          </w:tcPr>
          <w:p>
            <w:pPr>
              <w:spacing w:after="0"/>
              <w:rPr>
                <w:sz w:val="24"/>
                <w:szCs w:val="24"/>
                <w:color w:val="auto"/>
              </w:rPr>
            </w:pPr>
          </w:p>
        </w:tc>
        <w:tc>
          <w:tcPr>
            <w:tcW w:w="5400" w:type="dxa"/>
            <w:vAlign w:val="bottom"/>
            <w:shd w:val="clear" w:color="auto" w:fill="1A6DBB"/>
          </w:tcPr>
          <w:p>
            <w:pPr>
              <w:ind w:left="180"/>
              <w:spacing w:after="0"/>
              <w:rPr>
                <w:sz w:val="20"/>
                <w:szCs w:val="20"/>
                <w:color w:val="auto"/>
              </w:rPr>
            </w:pPr>
            <w:r>
              <w:rPr>
                <w:rFonts w:ascii="Arial" w:cs="Arial" w:eastAsia="Arial" w:hAnsi="Arial"/>
                <w:sz w:val="18"/>
                <w:szCs w:val="18"/>
                <w:b w:val="1"/>
                <w:bCs w:val="1"/>
                <w:color w:val="FFFFFF"/>
              </w:rPr>
              <w:t>William A. Hawkins</w:t>
            </w:r>
          </w:p>
        </w:tc>
      </w:tr>
      <w:tr>
        <w:trPr>
          <w:trHeight w:val="333"/>
        </w:trPr>
        <w:tc>
          <w:tcPr>
            <w:tcW w:w="5280" w:type="dxa"/>
            <w:vAlign w:val="bottom"/>
          </w:tcPr>
          <w:p>
            <w:pPr>
              <w:ind w:left="1840"/>
              <w:spacing w:after="0"/>
              <w:rPr>
                <w:sz w:val="20"/>
                <w:szCs w:val="20"/>
                <w:color w:val="auto"/>
              </w:rPr>
            </w:pPr>
            <w:r>
              <w:rPr>
                <w:rFonts w:ascii="Arial" w:cs="Arial" w:eastAsia="Arial" w:hAnsi="Arial"/>
                <w:sz w:val="16"/>
                <w:szCs w:val="16"/>
                <w:b w:val="1"/>
                <w:bCs w:val="1"/>
                <w:color w:val="1A6DBB"/>
              </w:rPr>
              <w:t xml:space="preserve">Director Since: </w:t>
            </w:r>
            <w:r>
              <w:rPr>
                <w:rFonts w:ascii="Arial" w:cs="Arial" w:eastAsia="Arial" w:hAnsi="Arial"/>
                <w:sz w:val="16"/>
                <w:szCs w:val="16"/>
                <w:color w:val="000000"/>
              </w:rPr>
              <w:t>2010</w:t>
            </w:r>
          </w:p>
        </w:tc>
        <w:tc>
          <w:tcPr>
            <w:tcW w:w="320" w:type="dxa"/>
            <w:vAlign w:val="bottom"/>
          </w:tcPr>
          <w:p>
            <w:pPr>
              <w:spacing w:after="0"/>
              <w:rPr>
                <w:sz w:val="24"/>
                <w:szCs w:val="24"/>
                <w:color w:val="auto"/>
              </w:rPr>
            </w:pPr>
          </w:p>
        </w:tc>
        <w:tc>
          <w:tcPr>
            <w:tcW w:w="5400" w:type="dxa"/>
            <w:vAlign w:val="bottom"/>
          </w:tcPr>
          <w:p>
            <w:pPr>
              <w:ind w:left="2000"/>
              <w:spacing w:after="0"/>
              <w:rPr>
                <w:sz w:val="20"/>
                <w:szCs w:val="20"/>
                <w:color w:val="auto"/>
              </w:rPr>
            </w:pPr>
            <w:r>
              <w:rPr>
                <w:rFonts w:ascii="Arial" w:cs="Arial" w:eastAsia="Arial" w:hAnsi="Arial"/>
                <w:sz w:val="16"/>
                <w:szCs w:val="16"/>
                <w:b w:val="1"/>
                <w:bCs w:val="1"/>
                <w:color w:val="1A6DBB"/>
              </w:rPr>
              <w:t xml:space="preserve">Director Since: </w:t>
            </w:r>
            <w:r>
              <w:rPr>
                <w:rFonts w:ascii="Arial" w:cs="Arial" w:eastAsia="Arial" w:hAnsi="Arial"/>
                <w:sz w:val="16"/>
                <w:szCs w:val="16"/>
                <w:color w:val="000000"/>
              </w:rPr>
              <w:t>New Nominee</w:t>
            </w:r>
          </w:p>
        </w:tc>
      </w:tr>
      <w:tr>
        <w:trPr>
          <w:trHeight w:val="189"/>
        </w:trPr>
        <w:tc>
          <w:tcPr>
            <w:tcW w:w="5280" w:type="dxa"/>
            <w:vAlign w:val="bottom"/>
          </w:tcPr>
          <w:p>
            <w:pPr>
              <w:ind w:left="1840"/>
              <w:spacing w:after="0"/>
              <w:rPr>
                <w:sz w:val="20"/>
                <w:szCs w:val="20"/>
                <w:color w:val="auto"/>
              </w:rPr>
            </w:pPr>
            <w:r>
              <w:rPr>
                <w:rFonts w:ascii="Arial" w:cs="Arial" w:eastAsia="Arial" w:hAnsi="Arial"/>
                <w:sz w:val="16"/>
                <w:szCs w:val="16"/>
                <w:b w:val="1"/>
                <w:bCs w:val="1"/>
                <w:color w:val="1A6DBB"/>
              </w:rPr>
              <w:t xml:space="preserve">Age: </w:t>
            </w:r>
            <w:r>
              <w:rPr>
                <w:rFonts w:ascii="Arial" w:cs="Arial" w:eastAsia="Arial" w:hAnsi="Arial"/>
                <w:sz w:val="16"/>
                <w:szCs w:val="16"/>
                <w:color w:val="000000"/>
              </w:rPr>
              <w:t>59</w:t>
            </w:r>
          </w:p>
        </w:tc>
        <w:tc>
          <w:tcPr>
            <w:tcW w:w="320" w:type="dxa"/>
            <w:vAlign w:val="bottom"/>
          </w:tcPr>
          <w:p>
            <w:pPr>
              <w:spacing w:after="0"/>
              <w:rPr>
                <w:sz w:val="16"/>
                <w:szCs w:val="16"/>
                <w:color w:val="auto"/>
              </w:rPr>
            </w:pPr>
          </w:p>
        </w:tc>
        <w:tc>
          <w:tcPr>
            <w:tcW w:w="5400" w:type="dxa"/>
            <w:vAlign w:val="bottom"/>
          </w:tcPr>
          <w:p>
            <w:pPr>
              <w:ind w:left="2000"/>
              <w:spacing w:after="0"/>
              <w:rPr>
                <w:sz w:val="20"/>
                <w:szCs w:val="20"/>
                <w:color w:val="auto"/>
              </w:rPr>
            </w:pPr>
            <w:r>
              <w:rPr>
                <w:rFonts w:ascii="Arial" w:cs="Arial" w:eastAsia="Arial" w:hAnsi="Arial"/>
                <w:sz w:val="16"/>
                <w:szCs w:val="16"/>
                <w:b w:val="1"/>
                <w:bCs w:val="1"/>
                <w:color w:val="1A6DBB"/>
              </w:rPr>
              <w:t xml:space="preserve">Age: </w:t>
            </w:r>
            <w:r>
              <w:rPr>
                <w:rFonts w:ascii="Arial" w:cs="Arial" w:eastAsia="Arial" w:hAnsi="Arial"/>
                <w:sz w:val="16"/>
                <w:szCs w:val="16"/>
                <w:color w:val="000000"/>
              </w:rPr>
              <w:t>65</w:t>
            </w:r>
          </w:p>
        </w:tc>
      </w:tr>
      <w:tr>
        <w:trPr>
          <w:trHeight w:val="209"/>
        </w:trPr>
        <w:tc>
          <w:tcPr>
            <w:tcW w:w="5280" w:type="dxa"/>
            <w:vAlign w:val="bottom"/>
          </w:tcPr>
          <w:p>
            <w:pPr>
              <w:ind w:left="1840"/>
              <w:spacing w:after="0"/>
              <w:rPr>
                <w:sz w:val="20"/>
                <w:szCs w:val="20"/>
                <w:color w:val="auto"/>
              </w:rPr>
            </w:pPr>
            <w:r>
              <w:rPr>
                <w:rFonts w:ascii="Arial" w:cs="Arial" w:eastAsia="Arial" w:hAnsi="Arial"/>
                <w:sz w:val="16"/>
                <w:szCs w:val="16"/>
                <w:b w:val="1"/>
                <w:bCs w:val="1"/>
                <w:color w:val="1A6DBB"/>
              </w:rPr>
              <w:t>Biogen Board Committees:</w:t>
            </w:r>
          </w:p>
        </w:tc>
        <w:tc>
          <w:tcPr>
            <w:tcW w:w="320" w:type="dxa"/>
            <w:vAlign w:val="bottom"/>
          </w:tcPr>
          <w:p>
            <w:pPr>
              <w:spacing w:after="0"/>
              <w:rPr>
                <w:sz w:val="18"/>
                <w:szCs w:val="18"/>
                <w:color w:val="auto"/>
              </w:rPr>
            </w:pPr>
          </w:p>
        </w:tc>
        <w:tc>
          <w:tcPr>
            <w:tcW w:w="5400" w:type="dxa"/>
            <w:vAlign w:val="bottom"/>
          </w:tcPr>
          <w:p>
            <w:pPr>
              <w:ind w:left="2000"/>
              <w:spacing w:after="0"/>
              <w:rPr>
                <w:sz w:val="20"/>
                <w:szCs w:val="20"/>
                <w:color w:val="auto"/>
              </w:rPr>
            </w:pPr>
            <w:r>
              <w:rPr>
                <w:rFonts w:ascii="Arial" w:cs="Arial" w:eastAsia="Arial" w:hAnsi="Arial"/>
                <w:sz w:val="16"/>
                <w:szCs w:val="16"/>
                <w:b w:val="1"/>
                <w:bCs w:val="1"/>
                <w:color w:val="1A6DBB"/>
              </w:rPr>
              <w:t>Biogen Board Committees:</w:t>
            </w:r>
          </w:p>
        </w:tc>
      </w:tr>
      <w:tr>
        <w:trPr>
          <w:trHeight w:val="189"/>
        </w:trPr>
        <w:tc>
          <w:tcPr>
            <w:tcW w:w="5280" w:type="dxa"/>
            <w:vAlign w:val="bottom"/>
          </w:tcPr>
          <w:p>
            <w:pPr>
              <w:ind w:left="184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Audit (Chair)</w:t>
            </w:r>
          </w:p>
        </w:tc>
        <w:tc>
          <w:tcPr>
            <w:tcW w:w="320" w:type="dxa"/>
            <w:vAlign w:val="bottom"/>
          </w:tcPr>
          <w:p>
            <w:pPr>
              <w:spacing w:after="0"/>
              <w:rPr>
                <w:sz w:val="16"/>
                <w:szCs w:val="16"/>
                <w:color w:val="auto"/>
              </w:rPr>
            </w:pPr>
          </w:p>
        </w:tc>
        <w:tc>
          <w:tcPr>
            <w:tcW w:w="5400" w:type="dxa"/>
            <w:vAlign w:val="bottom"/>
          </w:tcPr>
          <w:p>
            <w:pPr>
              <w:ind w:left="200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New Nominee</w:t>
            </w:r>
          </w:p>
        </w:tc>
      </w:tr>
      <w:tr>
        <w:trPr>
          <w:trHeight w:val="195"/>
        </w:trPr>
        <w:tc>
          <w:tcPr>
            <w:tcW w:w="5280" w:type="dxa"/>
            <w:vAlign w:val="bottom"/>
          </w:tcPr>
          <w:p>
            <w:pPr>
              <w:ind w:left="184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Risk</w:t>
            </w:r>
          </w:p>
        </w:tc>
        <w:tc>
          <w:tcPr>
            <w:tcW w:w="320" w:type="dxa"/>
            <w:vAlign w:val="bottom"/>
          </w:tcPr>
          <w:p>
            <w:pPr>
              <w:spacing w:after="0"/>
              <w:rPr>
                <w:sz w:val="16"/>
                <w:szCs w:val="16"/>
                <w:color w:val="auto"/>
              </w:rPr>
            </w:pPr>
          </w:p>
        </w:tc>
        <w:tc>
          <w:tcPr>
            <w:tcW w:w="54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-604520</wp:posOffset>
            </wp:positionV>
            <wp:extent cx="848995" cy="10636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48995" cy="106362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-604520</wp:posOffset>
            </wp:positionV>
            <wp:extent cx="848995" cy="10636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48995" cy="106362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1A6DBB"/>
        </w:rPr>
        <w:t>Experience</w:t>
      </w:r>
    </w:p>
    <w:p>
      <w:pPr>
        <w:spacing w:after="0" w:line="25" w:lineRule="exact"/>
        <w:rPr>
          <w:sz w:val="20"/>
          <w:szCs w:val="20"/>
          <w:color w:val="auto"/>
        </w:rPr>
      </w:pPr>
    </w:p>
    <w:p>
      <w:pPr>
        <w:ind w:left="220" w:right="100"/>
        <w:spacing w:after="0" w:line="246" w:lineRule="auto"/>
        <w:rPr>
          <w:sz w:val="20"/>
          <w:szCs w:val="20"/>
          <w:color w:val="auto"/>
        </w:rPr>
      </w:pPr>
      <w:r>
        <w:rPr>
          <w:rFonts w:ascii="Arial" w:cs="Arial" w:eastAsia="Arial" w:hAnsi="Arial"/>
          <w:sz w:val="16"/>
          <w:szCs w:val="16"/>
          <w:color w:val="auto"/>
        </w:rPr>
        <w:t>Ms. Dorsa served as the Executive Vice President and Chief Financial Officer of Public Service Enterprise Group Incorporated, a diversified energy company, from April 2009 until her retirement in October 2015, and served on its Board of Directors from February 2003 to April 2009. From February 2008 to April 2009 she served as Senior Vice President, Global Human Health, Strategy and Integration at Merck &amp; Co., Inc., a pharmaceutical company. From November 2007 to January 2008</w:t>
      </w:r>
    </w:p>
    <w:p>
      <w:pPr>
        <w:spacing w:after="0" w:line="3" w:lineRule="exact"/>
        <w:rPr>
          <w:sz w:val="20"/>
          <w:szCs w:val="20"/>
          <w:color w:val="auto"/>
        </w:rPr>
      </w:pPr>
    </w:p>
    <w:p>
      <w:pPr>
        <w:ind w:left="220"/>
        <w:spacing w:after="0" w:line="247" w:lineRule="auto"/>
        <w:rPr>
          <w:sz w:val="20"/>
          <w:szCs w:val="20"/>
          <w:color w:val="auto"/>
        </w:rPr>
      </w:pPr>
      <w:r>
        <w:rPr>
          <w:rFonts w:ascii="Arial" w:cs="Arial" w:eastAsia="Arial" w:hAnsi="Arial"/>
          <w:sz w:val="16"/>
          <w:szCs w:val="16"/>
          <w:color w:val="auto"/>
        </w:rPr>
        <w:t>Ms. Dorsa served as Senior Vice President and Chief Financial Officer of Gilead Sciences, Inc., a life sciences company. From February 2007 to November 2007 she served as Senior Vice President and Chief Financial Officer of Avaya, Inc., a telecommunications company. From 1987 to January 2007 Ms. Dorsa held various financial and operational positions at Merck &amp; Co., Inc., including Vice President and Treasurer, Executive Director of U.S. Customer Marketing and Executive Director of U.S. Pricing and Strategic Planning. Ms. Dorsa also serves as a director of Illumina, Inc., a life sciences company, and Intellia Therapeutics, Inc., a biotechnology company, and as a Trustee of the Goldman Sachs ETF Trust, the Goldman Sachs MLP and Energy Renaissance Fund and the Goldman Sachs MLP Income Opportunities Fund, investment funds within the Goldman Sachs Asset Management fund complex.</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1A6DBB"/>
        </w:rPr>
        <w:t>Qualifications</w:t>
      </w:r>
    </w:p>
    <w:p>
      <w:pPr>
        <w:spacing w:after="0" w:line="25" w:lineRule="exact"/>
        <w:rPr>
          <w:sz w:val="20"/>
          <w:szCs w:val="20"/>
          <w:color w:val="auto"/>
        </w:rPr>
      </w:pPr>
    </w:p>
    <w:p>
      <w:pPr>
        <w:ind w:left="220" w:right="80"/>
        <w:spacing w:after="0" w:line="250" w:lineRule="auto"/>
        <w:rPr>
          <w:sz w:val="20"/>
          <w:szCs w:val="20"/>
          <w:color w:val="auto"/>
        </w:rPr>
      </w:pPr>
      <w:r>
        <w:rPr>
          <w:rFonts w:ascii="Arial" w:cs="Arial" w:eastAsia="Arial" w:hAnsi="Arial"/>
          <w:sz w:val="16"/>
          <w:szCs w:val="16"/>
          <w:color w:val="auto"/>
        </w:rPr>
        <w:t>Ms. Dorsa has significant financial and accounting expertise and a deep knowledge of the pharmaceutical industry. Her strategic perspective on the industry is particularly valuable to our Board of Directors as it oversees our growth initiatives and reviews both internal development projects and external opportunities.</w:t>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1A6DBB"/>
        </w:rPr>
        <w:t>Other Current Public Company Boards</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Illumina, Inc.</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Intellia Therapeutics, Inc.</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Goldman Sachs Investment Funds</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1A6DBB"/>
        </w:rPr>
        <w:t>Former Public Company Directorships Held in the Past Five Years</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182245</wp:posOffset>
            </wp:positionV>
            <wp:extent cx="685800" cy="1543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Experience</w:t>
      </w:r>
    </w:p>
    <w:p>
      <w:pPr>
        <w:spacing w:after="0" w:line="25"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Mr. Hawkins serves as a Senior Advisor to EW Healthcare Partners, a life sciences private equity firm. Mr. Hawkins is the former Chairman and CEO of Medtronic, Inc., a global leader in medical technology. He was at Medtronic from 2002 until 2011. After retiring from Medtronic he served as President and Chief Executive Officer of Immucor, a private equity backed global leader in transfusion and transplant medicine from October 2011 to July 2015. From 1998 to 2001 Mr. Hawkins served as President and Chief Executive Officer of Novoste Corporation, an interventional cardiology company. Prior to that, Mr. Hawkins served in a variety of senior roles at American Home Products, a consumer, pharma and medical device company, Johnson &amp; Johnson, a healthcare company, Guidant Corporation, a medical products company, and Eli Lilly and Company, a global pharmaceutical company. Mr. Hawkins also serves as a director of Avanos Medical, Inc., a medical technology company, as Chairman of Bioventus, LLC and Chairman of 4 Tech and as a director of Trice Medical, Inc., AsKBio; Virtue labs, Cerius, Keratin Biosciences and Baebies, Inc., all of which are medical products companies. Mr. Hawkins is Vice Chair of the Duke University Board of Trustees and is Chair of the Duke University Health System. Mr. Hawkins was elected as a member of the AIMBE College of Fellows and the National Academy of Engineering. He has a dual degree in Electrical and Biomedical Engineering from Duke University and a M.B.A. from the University of Virginia’ s Darden School of Business.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Qualifications</w:t>
      </w:r>
    </w:p>
    <w:p>
      <w:pPr>
        <w:spacing w:after="0" w:line="2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Mr. Hawkins has significant leadership experience as a chief executive officer, significant knowledge of, and experience in, the healthcare industry and significant international experience. He also has extensive governance and public company board experience.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Other Current Public Company Boards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Avanos Medical, Inc.</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Former Public Company Directorships Held in the Past Five Years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Thoratec Corporation</w:t>
      </w:r>
    </w:p>
    <w:p>
      <w:pPr>
        <w:spacing w:after="0" w:line="389" w:lineRule="exact"/>
        <w:rPr>
          <w:sz w:val="20"/>
          <w:szCs w:val="20"/>
          <w:color w:val="auto"/>
        </w:rPr>
      </w:pPr>
    </w:p>
    <w:p>
      <w:pPr>
        <w:sectPr>
          <w:pgSz w:w="11900" w:h="16838" w:orient="portrait"/>
          <w:cols w:equalWidth="0" w:num="2">
            <w:col w:w="5440" w:space="380"/>
            <w:col w:w="5400"/>
          </w:cols>
          <w:pgMar w:left="240" w:top="459" w:right="439" w:bottom="1440" w:gutter="0" w:footer="0" w:header="0"/>
          <w:type w:val="continuous"/>
        </w:sectPr>
      </w:pPr>
    </w:p>
    <w:p>
      <w:pPr>
        <w:spacing w:after="0" w:line="130"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-62865</wp:posOffset>
            </wp:positionV>
            <wp:extent cx="102870" cy="946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34"/>
        </w:numPr>
        <w:rPr>
          <w:rFonts w:ascii="Arial" w:cs="Arial" w:eastAsia="Arial" w:hAnsi="Arial"/>
          <w:sz w:val="90"/>
          <w:szCs w:val="90"/>
          <w:color w:val="1A6DBB"/>
        </w:rPr>
      </w:pPr>
      <w:r>
        <w:rPr>
          <w:rFonts w:ascii="Arial" w:cs="Arial" w:eastAsia="Arial" w:hAnsi="Arial"/>
          <w:sz w:val="41"/>
          <w:szCs w:val="41"/>
          <w:color w:val="1A6DBB"/>
        </w:rPr>
        <w:t xml:space="preserve">Board of Directors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220" w:type="dxa"/>
        <w:tblCellMar>
          <w:top w:w="0" w:type="dxa"/>
          <w:left w:w="0" w:type="dxa"/>
          <w:bottom w:w="0" w:type="dxa"/>
          <w:right w:w="0" w:type="dxa"/>
        </w:tblCellMar>
      </w:tblPr>
      <w:tr>
        <w:trPr>
          <w:trHeight w:val="297"/>
        </w:trPr>
        <w:tc>
          <w:tcPr>
            <w:tcW w:w="5280" w:type="dxa"/>
            <w:vAlign w:val="bottom"/>
            <w:shd w:val="clear" w:color="auto" w:fill="1A6DBB"/>
          </w:tcPr>
          <w:p>
            <w:pPr>
              <w:ind w:left="140"/>
              <w:spacing w:after="0"/>
              <w:rPr>
                <w:sz w:val="20"/>
                <w:szCs w:val="20"/>
                <w:color w:val="auto"/>
              </w:rPr>
            </w:pPr>
            <w:r>
              <w:rPr>
                <w:rFonts w:ascii="Arial" w:cs="Arial" w:eastAsia="Arial" w:hAnsi="Arial"/>
                <w:sz w:val="18"/>
                <w:szCs w:val="18"/>
                <w:b w:val="1"/>
                <w:bCs w:val="1"/>
                <w:color w:val="FFFFFF"/>
              </w:rPr>
              <w:t>Nancy L. Leaming</w:t>
            </w:r>
          </w:p>
        </w:tc>
        <w:tc>
          <w:tcPr>
            <w:tcW w:w="320" w:type="dxa"/>
            <w:vAlign w:val="bottom"/>
          </w:tcPr>
          <w:p>
            <w:pPr>
              <w:spacing w:after="0"/>
              <w:rPr>
                <w:sz w:val="24"/>
                <w:szCs w:val="24"/>
                <w:color w:val="auto"/>
              </w:rPr>
            </w:pPr>
          </w:p>
        </w:tc>
        <w:tc>
          <w:tcPr>
            <w:tcW w:w="5400" w:type="dxa"/>
            <w:vAlign w:val="bottom"/>
            <w:shd w:val="clear" w:color="auto" w:fill="1A6DBB"/>
          </w:tcPr>
          <w:p>
            <w:pPr>
              <w:ind w:left="180"/>
              <w:spacing w:after="0"/>
              <w:rPr>
                <w:sz w:val="20"/>
                <w:szCs w:val="20"/>
                <w:color w:val="auto"/>
              </w:rPr>
            </w:pPr>
            <w:r>
              <w:rPr>
                <w:rFonts w:ascii="Arial" w:cs="Arial" w:eastAsia="Arial" w:hAnsi="Arial"/>
                <w:sz w:val="18"/>
                <w:szCs w:val="18"/>
                <w:b w:val="1"/>
                <w:bCs w:val="1"/>
                <w:color w:val="FFFFFF"/>
              </w:rPr>
              <w:t>Jesus B. Mantas</w:t>
            </w:r>
          </w:p>
        </w:tc>
      </w:tr>
      <w:tr>
        <w:trPr>
          <w:trHeight w:val="333"/>
        </w:trPr>
        <w:tc>
          <w:tcPr>
            <w:tcW w:w="5280" w:type="dxa"/>
            <w:vAlign w:val="bottom"/>
          </w:tcPr>
          <w:p>
            <w:pPr>
              <w:ind w:left="1940"/>
              <w:spacing w:after="0"/>
              <w:rPr>
                <w:sz w:val="20"/>
                <w:szCs w:val="20"/>
                <w:color w:val="auto"/>
              </w:rPr>
            </w:pPr>
            <w:r>
              <w:rPr>
                <w:rFonts w:ascii="Arial" w:cs="Arial" w:eastAsia="Arial" w:hAnsi="Arial"/>
                <w:sz w:val="16"/>
                <w:szCs w:val="16"/>
                <w:b w:val="1"/>
                <w:bCs w:val="1"/>
                <w:color w:val="1A6DBB"/>
              </w:rPr>
              <w:t xml:space="preserve">Director Since: </w:t>
            </w:r>
            <w:r>
              <w:rPr>
                <w:rFonts w:ascii="Arial" w:cs="Arial" w:eastAsia="Arial" w:hAnsi="Arial"/>
                <w:sz w:val="16"/>
                <w:szCs w:val="16"/>
                <w:color w:val="000000"/>
              </w:rPr>
              <w:t>2008</w:t>
            </w:r>
          </w:p>
        </w:tc>
        <w:tc>
          <w:tcPr>
            <w:tcW w:w="320" w:type="dxa"/>
            <w:vAlign w:val="bottom"/>
          </w:tcPr>
          <w:p>
            <w:pPr>
              <w:spacing w:after="0"/>
              <w:rPr>
                <w:sz w:val="24"/>
                <w:szCs w:val="24"/>
                <w:color w:val="auto"/>
              </w:rPr>
            </w:pPr>
          </w:p>
        </w:tc>
        <w:tc>
          <w:tcPr>
            <w:tcW w:w="5400" w:type="dxa"/>
            <w:vAlign w:val="bottom"/>
          </w:tcPr>
          <w:p>
            <w:pPr>
              <w:ind w:left="2000"/>
              <w:spacing w:after="0"/>
              <w:rPr>
                <w:sz w:val="20"/>
                <w:szCs w:val="20"/>
                <w:color w:val="auto"/>
              </w:rPr>
            </w:pPr>
            <w:r>
              <w:rPr>
                <w:rFonts w:ascii="Arial" w:cs="Arial" w:eastAsia="Arial" w:hAnsi="Arial"/>
                <w:sz w:val="16"/>
                <w:szCs w:val="16"/>
                <w:b w:val="1"/>
                <w:bCs w:val="1"/>
                <w:color w:val="1A6DBB"/>
              </w:rPr>
              <w:t xml:space="preserve">Director Since: </w:t>
            </w:r>
            <w:r>
              <w:rPr>
                <w:rFonts w:ascii="Arial" w:cs="Arial" w:eastAsia="Arial" w:hAnsi="Arial"/>
                <w:sz w:val="16"/>
                <w:szCs w:val="16"/>
                <w:color w:val="000000"/>
              </w:rPr>
              <w:t>New Nominee</w:t>
            </w:r>
          </w:p>
        </w:tc>
      </w:tr>
      <w:tr>
        <w:trPr>
          <w:trHeight w:val="189"/>
        </w:trPr>
        <w:tc>
          <w:tcPr>
            <w:tcW w:w="5280" w:type="dxa"/>
            <w:vAlign w:val="bottom"/>
          </w:tcPr>
          <w:p>
            <w:pPr>
              <w:ind w:left="1940"/>
              <w:spacing w:after="0"/>
              <w:rPr>
                <w:sz w:val="20"/>
                <w:szCs w:val="20"/>
                <w:color w:val="auto"/>
              </w:rPr>
            </w:pPr>
            <w:r>
              <w:rPr>
                <w:rFonts w:ascii="Arial" w:cs="Arial" w:eastAsia="Arial" w:hAnsi="Arial"/>
                <w:sz w:val="16"/>
                <w:szCs w:val="16"/>
                <w:b w:val="1"/>
                <w:bCs w:val="1"/>
                <w:color w:val="1A6DBB"/>
              </w:rPr>
              <w:t xml:space="preserve">Age: </w:t>
            </w:r>
            <w:r>
              <w:rPr>
                <w:rFonts w:ascii="Arial" w:cs="Arial" w:eastAsia="Arial" w:hAnsi="Arial"/>
                <w:sz w:val="16"/>
                <w:szCs w:val="16"/>
                <w:color w:val="000000"/>
              </w:rPr>
              <w:t>71</w:t>
            </w:r>
          </w:p>
        </w:tc>
        <w:tc>
          <w:tcPr>
            <w:tcW w:w="320" w:type="dxa"/>
            <w:vAlign w:val="bottom"/>
          </w:tcPr>
          <w:p>
            <w:pPr>
              <w:spacing w:after="0"/>
              <w:rPr>
                <w:sz w:val="16"/>
                <w:szCs w:val="16"/>
                <w:color w:val="auto"/>
              </w:rPr>
            </w:pPr>
          </w:p>
        </w:tc>
        <w:tc>
          <w:tcPr>
            <w:tcW w:w="5400" w:type="dxa"/>
            <w:vAlign w:val="bottom"/>
          </w:tcPr>
          <w:p>
            <w:pPr>
              <w:ind w:left="2000"/>
              <w:spacing w:after="0"/>
              <w:rPr>
                <w:sz w:val="20"/>
                <w:szCs w:val="20"/>
                <w:color w:val="auto"/>
              </w:rPr>
            </w:pPr>
            <w:r>
              <w:rPr>
                <w:rFonts w:ascii="Arial" w:cs="Arial" w:eastAsia="Arial" w:hAnsi="Arial"/>
                <w:sz w:val="16"/>
                <w:szCs w:val="16"/>
                <w:b w:val="1"/>
                <w:bCs w:val="1"/>
                <w:color w:val="1A6DBB"/>
              </w:rPr>
              <w:t xml:space="preserve">Age: </w:t>
            </w:r>
            <w:r>
              <w:rPr>
                <w:rFonts w:ascii="Arial" w:cs="Arial" w:eastAsia="Arial" w:hAnsi="Arial"/>
                <w:sz w:val="16"/>
                <w:szCs w:val="16"/>
                <w:color w:val="000000"/>
              </w:rPr>
              <w:t>50</w:t>
            </w:r>
          </w:p>
        </w:tc>
      </w:tr>
      <w:tr>
        <w:trPr>
          <w:trHeight w:val="209"/>
        </w:trPr>
        <w:tc>
          <w:tcPr>
            <w:tcW w:w="5280" w:type="dxa"/>
            <w:vAlign w:val="bottom"/>
          </w:tcPr>
          <w:p>
            <w:pPr>
              <w:ind w:left="1940"/>
              <w:spacing w:after="0"/>
              <w:rPr>
                <w:sz w:val="20"/>
                <w:szCs w:val="20"/>
                <w:color w:val="auto"/>
              </w:rPr>
            </w:pPr>
            <w:r>
              <w:rPr>
                <w:rFonts w:ascii="Arial" w:cs="Arial" w:eastAsia="Arial" w:hAnsi="Arial"/>
                <w:sz w:val="16"/>
                <w:szCs w:val="16"/>
                <w:b w:val="1"/>
                <w:bCs w:val="1"/>
                <w:color w:val="1A6DBB"/>
              </w:rPr>
              <w:t>Biogen Board Committees:</w:t>
            </w:r>
          </w:p>
        </w:tc>
        <w:tc>
          <w:tcPr>
            <w:tcW w:w="320" w:type="dxa"/>
            <w:vAlign w:val="bottom"/>
          </w:tcPr>
          <w:p>
            <w:pPr>
              <w:spacing w:after="0"/>
              <w:rPr>
                <w:sz w:val="18"/>
                <w:szCs w:val="18"/>
                <w:color w:val="auto"/>
              </w:rPr>
            </w:pPr>
          </w:p>
        </w:tc>
        <w:tc>
          <w:tcPr>
            <w:tcW w:w="5400" w:type="dxa"/>
            <w:vAlign w:val="bottom"/>
          </w:tcPr>
          <w:p>
            <w:pPr>
              <w:ind w:left="2000"/>
              <w:spacing w:after="0"/>
              <w:rPr>
                <w:sz w:val="20"/>
                <w:szCs w:val="20"/>
                <w:color w:val="auto"/>
              </w:rPr>
            </w:pPr>
            <w:r>
              <w:rPr>
                <w:rFonts w:ascii="Arial" w:cs="Arial" w:eastAsia="Arial" w:hAnsi="Arial"/>
                <w:sz w:val="16"/>
                <w:szCs w:val="16"/>
                <w:b w:val="1"/>
                <w:bCs w:val="1"/>
                <w:color w:val="1A6DBB"/>
              </w:rPr>
              <w:t>Biogen Board Committees:</w:t>
            </w:r>
          </w:p>
        </w:tc>
      </w:tr>
      <w:tr>
        <w:trPr>
          <w:trHeight w:val="189"/>
        </w:trPr>
        <w:tc>
          <w:tcPr>
            <w:tcW w:w="5280" w:type="dxa"/>
            <w:vAlign w:val="bottom"/>
          </w:tcPr>
          <w:p>
            <w:pPr>
              <w:ind w:left="194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Audit</w:t>
            </w:r>
          </w:p>
        </w:tc>
        <w:tc>
          <w:tcPr>
            <w:tcW w:w="320" w:type="dxa"/>
            <w:vAlign w:val="bottom"/>
          </w:tcPr>
          <w:p>
            <w:pPr>
              <w:spacing w:after="0"/>
              <w:rPr>
                <w:sz w:val="16"/>
                <w:szCs w:val="16"/>
                <w:color w:val="auto"/>
              </w:rPr>
            </w:pPr>
          </w:p>
        </w:tc>
        <w:tc>
          <w:tcPr>
            <w:tcW w:w="5400" w:type="dxa"/>
            <w:vAlign w:val="bottom"/>
          </w:tcPr>
          <w:p>
            <w:pPr>
              <w:ind w:left="200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New Nominee</w:t>
            </w:r>
          </w:p>
        </w:tc>
      </w:tr>
      <w:tr>
        <w:trPr>
          <w:trHeight w:val="195"/>
        </w:trPr>
        <w:tc>
          <w:tcPr>
            <w:tcW w:w="5280" w:type="dxa"/>
            <w:vAlign w:val="bottom"/>
          </w:tcPr>
          <w:p>
            <w:pPr>
              <w:ind w:left="194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Risk</w:t>
            </w:r>
          </w:p>
        </w:tc>
        <w:tc>
          <w:tcPr>
            <w:tcW w:w="320" w:type="dxa"/>
            <w:vAlign w:val="bottom"/>
          </w:tcPr>
          <w:p>
            <w:pPr>
              <w:spacing w:after="0"/>
              <w:rPr>
                <w:sz w:val="16"/>
                <w:szCs w:val="16"/>
                <w:color w:val="auto"/>
              </w:rPr>
            </w:pPr>
          </w:p>
        </w:tc>
        <w:tc>
          <w:tcPr>
            <w:tcW w:w="54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-604520</wp:posOffset>
            </wp:positionV>
            <wp:extent cx="848995" cy="10636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48995" cy="106362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-604520</wp:posOffset>
            </wp:positionV>
            <wp:extent cx="848995" cy="10636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48995" cy="106362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1A6DBB"/>
        </w:rPr>
        <w:t>Experience</w:t>
      </w:r>
    </w:p>
    <w:p>
      <w:pPr>
        <w:spacing w:after="0" w:line="25" w:lineRule="exact"/>
        <w:rPr>
          <w:sz w:val="20"/>
          <w:szCs w:val="20"/>
          <w:color w:val="auto"/>
        </w:rPr>
      </w:pPr>
    </w:p>
    <w:p>
      <w:pPr>
        <w:ind w:left="220"/>
        <w:spacing w:after="0" w:line="246" w:lineRule="auto"/>
        <w:rPr>
          <w:sz w:val="20"/>
          <w:szCs w:val="20"/>
          <w:color w:val="auto"/>
        </w:rPr>
      </w:pPr>
      <w:r>
        <w:rPr>
          <w:rFonts w:ascii="Arial" w:cs="Arial" w:eastAsia="Arial" w:hAnsi="Arial"/>
          <w:sz w:val="16"/>
          <w:szCs w:val="16"/>
          <w:color w:val="auto"/>
        </w:rPr>
        <w:t>Ms. Leaming has been an independent consultant since 2005. From 2003 to 2005 she served as the Chief Executive Officer and President of Tufts Health Plan, a provider of healthcare insurance. From 1986 to 2003</w:t>
      </w:r>
    </w:p>
    <w:p>
      <w:pPr>
        <w:spacing w:after="0" w:line="1" w:lineRule="exact"/>
        <w:rPr>
          <w:sz w:val="20"/>
          <w:szCs w:val="20"/>
          <w:color w:val="auto"/>
        </w:rPr>
      </w:pPr>
    </w:p>
    <w:p>
      <w:pPr>
        <w:jc w:val="both"/>
        <w:ind w:left="220" w:right="180"/>
        <w:spacing w:after="0" w:line="260" w:lineRule="auto"/>
        <w:rPr>
          <w:sz w:val="20"/>
          <w:szCs w:val="20"/>
          <w:color w:val="auto"/>
        </w:rPr>
      </w:pPr>
      <w:r>
        <w:rPr>
          <w:rFonts w:ascii="Arial" w:cs="Arial" w:eastAsia="Arial" w:hAnsi="Arial"/>
          <w:sz w:val="16"/>
          <w:szCs w:val="16"/>
          <w:color w:val="auto"/>
        </w:rPr>
        <w:t>Ms. Leaming served in several executive positions at Tufts Health Plan, including President, Chief Operating Officer and Chief Financial Officer.</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1A6DBB"/>
        </w:rPr>
        <w:t>Qualifications</w:t>
      </w:r>
    </w:p>
    <w:p>
      <w:pPr>
        <w:spacing w:after="0" w:line="25" w:lineRule="exact"/>
        <w:rPr>
          <w:sz w:val="20"/>
          <w:szCs w:val="20"/>
          <w:color w:val="auto"/>
        </w:rPr>
      </w:pPr>
    </w:p>
    <w:p>
      <w:pPr>
        <w:ind w:left="220" w:right="20"/>
        <w:spacing w:after="0" w:line="251" w:lineRule="auto"/>
        <w:rPr>
          <w:sz w:val="20"/>
          <w:szCs w:val="20"/>
          <w:color w:val="auto"/>
        </w:rPr>
      </w:pPr>
      <w:r>
        <w:rPr>
          <w:rFonts w:ascii="Arial" w:cs="Arial" w:eastAsia="Arial" w:hAnsi="Arial"/>
          <w:sz w:val="16"/>
          <w:szCs w:val="16"/>
          <w:color w:val="auto"/>
        </w:rPr>
        <w:t>Ms. Leaming has well-developed leadership skills and financial acumen and provides insights into the healthcare reimbursement and payor market, where she served for 20 years in senior operational, financial and managerial roles.</w:t>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1A6DBB"/>
        </w:rPr>
        <w:t>Other Current Public Company Boards</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None</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1A6DBB"/>
        </w:rPr>
        <w:t>Former Public Company Directorships Held in the Past Five Years</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Edgewater Technology, Inc.</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Hologic,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782320</wp:posOffset>
            </wp:positionV>
            <wp:extent cx="685800" cy="154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Experience</w:t>
      </w:r>
    </w:p>
    <w:p>
      <w:pPr>
        <w:spacing w:after="0" w:line="2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Mr. Mantas serves as Managing Partner and General Manager responsible for worldwide strategy, offerings, digital platforms and innovation for IBM Global Services, a $17 billion unit of IBM. From January 2011 to October 2014 Mr. Mantas served as a Managing Partner and General Manager, IBM Global Business Services in Latin America after he held multiple leadership positions as Vice President in North America. Prior to that, Mr. Mantas was a Partner at PricewaterhouseCoopers Consulting and an officer in the Air Force of Spain. He also serves in the World Economic Forum Global Artificial Intelligence Council.</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Qualifications</w:t>
      </w:r>
    </w:p>
    <w:p>
      <w:pPr>
        <w:spacing w:after="0" w:line="25"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Mr. Mantas has significant global operating and business leadership experience, including Europe, North America and Latin America. He has demonstrated leadership translating strategy into execution, applying technology to improve business performance and brings over 25 years of experience in information technology, data science and artificial intelligence.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Other Current Public Company Boards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None</w:t>
      </w:r>
    </w:p>
    <w:p>
      <w:pPr>
        <w:spacing w:after="0" w:line="93"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1A6DBB"/>
        </w:rPr>
        <w:t>Former Public Company Directorships Held in the Past Five Years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None</w:t>
      </w:r>
    </w:p>
    <w:p>
      <w:pPr>
        <w:spacing w:after="0" w:line="200"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130"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-62865</wp:posOffset>
            </wp:positionV>
            <wp:extent cx="102870" cy="946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39"/>
        </w:numPr>
        <w:rPr>
          <w:rFonts w:ascii="Arial" w:cs="Arial" w:eastAsia="Arial" w:hAnsi="Arial"/>
          <w:sz w:val="90"/>
          <w:szCs w:val="90"/>
          <w:color w:val="1A6DBB"/>
        </w:rPr>
      </w:pPr>
      <w:r>
        <w:rPr>
          <w:rFonts w:ascii="Arial" w:cs="Arial" w:eastAsia="Arial" w:hAnsi="Arial"/>
          <w:sz w:val="41"/>
          <w:szCs w:val="41"/>
          <w:color w:val="1A6DBB"/>
        </w:rPr>
        <w:t xml:space="preserve">Board of Directors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220" w:type="dxa"/>
        <w:tblCellMar>
          <w:top w:w="0" w:type="dxa"/>
          <w:left w:w="0" w:type="dxa"/>
          <w:bottom w:w="0" w:type="dxa"/>
          <w:right w:w="0" w:type="dxa"/>
        </w:tblCellMar>
      </w:tblPr>
      <w:tr>
        <w:trPr>
          <w:trHeight w:val="297"/>
        </w:trPr>
        <w:tc>
          <w:tcPr>
            <w:tcW w:w="5280" w:type="dxa"/>
            <w:vAlign w:val="bottom"/>
            <w:shd w:val="clear" w:color="auto" w:fill="1A6DBB"/>
          </w:tcPr>
          <w:p>
            <w:pPr>
              <w:ind w:left="140"/>
              <w:spacing w:after="0"/>
              <w:rPr>
                <w:sz w:val="20"/>
                <w:szCs w:val="20"/>
                <w:color w:val="auto"/>
              </w:rPr>
            </w:pPr>
            <w:r>
              <w:rPr>
                <w:rFonts w:ascii="Arial" w:cs="Arial" w:eastAsia="Arial" w:hAnsi="Arial"/>
                <w:sz w:val="18"/>
                <w:szCs w:val="18"/>
                <w:b w:val="1"/>
                <w:bCs w:val="1"/>
                <w:color w:val="FFFFFF"/>
              </w:rPr>
              <w:t>Richard C. Mulligan, Ph.D.</w:t>
            </w:r>
          </w:p>
        </w:tc>
        <w:tc>
          <w:tcPr>
            <w:tcW w:w="320" w:type="dxa"/>
            <w:vAlign w:val="bottom"/>
          </w:tcPr>
          <w:p>
            <w:pPr>
              <w:spacing w:after="0"/>
              <w:rPr>
                <w:sz w:val="24"/>
                <w:szCs w:val="24"/>
                <w:color w:val="auto"/>
              </w:rPr>
            </w:pPr>
          </w:p>
        </w:tc>
        <w:tc>
          <w:tcPr>
            <w:tcW w:w="5400" w:type="dxa"/>
            <w:vAlign w:val="bottom"/>
            <w:shd w:val="clear" w:color="auto" w:fill="1A6DBB"/>
          </w:tcPr>
          <w:p>
            <w:pPr>
              <w:ind w:left="180"/>
              <w:spacing w:after="0"/>
              <w:rPr>
                <w:sz w:val="20"/>
                <w:szCs w:val="20"/>
                <w:color w:val="auto"/>
              </w:rPr>
            </w:pPr>
            <w:r>
              <w:rPr>
                <w:rFonts w:ascii="Arial" w:cs="Arial" w:eastAsia="Arial" w:hAnsi="Arial"/>
                <w:sz w:val="18"/>
                <w:szCs w:val="18"/>
                <w:b w:val="1"/>
                <w:bCs w:val="1"/>
                <w:color w:val="FFFFFF"/>
              </w:rPr>
              <w:t>Robert W. Pangia</w:t>
            </w:r>
          </w:p>
        </w:tc>
      </w:tr>
      <w:tr>
        <w:trPr>
          <w:trHeight w:val="333"/>
        </w:trPr>
        <w:tc>
          <w:tcPr>
            <w:tcW w:w="5280" w:type="dxa"/>
            <w:vAlign w:val="bottom"/>
          </w:tcPr>
          <w:p>
            <w:pPr>
              <w:ind w:left="1940"/>
              <w:spacing w:after="0"/>
              <w:rPr>
                <w:sz w:val="20"/>
                <w:szCs w:val="20"/>
                <w:color w:val="auto"/>
              </w:rPr>
            </w:pPr>
            <w:r>
              <w:rPr>
                <w:rFonts w:ascii="Arial" w:cs="Arial" w:eastAsia="Arial" w:hAnsi="Arial"/>
                <w:sz w:val="16"/>
                <w:szCs w:val="16"/>
                <w:b w:val="1"/>
                <w:bCs w:val="1"/>
                <w:color w:val="1A6DBB"/>
              </w:rPr>
              <w:t xml:space="preserve">Director Since: </w:t>
            </w:r>
            <w:r>
              <w:rPr>
                <w:rFonts w:ascii="Arial" w:cs="Arial" w:eastAsia="Arial" w:hAnsi="Arial"/>
                <w:sz w:val="16"/>
                <w:szCs w:val="16"/>
                <w:color w:val="000000"/>
              </w:rPr>
              <w:t>2009</w:t>
            </w:r>
          </w:p>
        </w:tc>
        <w:tc>
          <w:tcPr>
            <w:tcW w:w="320" w:type="dxa"/>
            <w:vAlign w:val="bottom"/>
          </w:tcPr>
          <w:p>
            <w:pPr>
              <w:spacing w:after="0"/>
              <w:rPr>
                <w:sz w:val="24"/>
                <w:szCs w:val="24"/>
                <w:color w:val="auto"/>
              </w:rPr>
            </w:pPr>
          </w:p>
        </w:tc>
        <w:tc>
          <w:tcPr>
            <w:tcW w:w="5400" w:type="dxa"/>
            <w:vAlign w:val="bottom"/>
          </w:tcPr>
          <w:p>
            <w:pPr>
              <w:ind w:left="2000"/>
              <w:spacing w:after="0"/>
              <w:rPr>
                <w:sz w:val="20"/>
                <w:szCs w:val="20"/>
                <w:color w:val="auto"/>
              </w:rPr>
            </w:pPr>
            <w:r>
              <w:rPr>
                <w:rFonts w:ascii="Arial" w:cs="Arial" w:eastAsia="Arial" w:hAnsi="Arial"/>
                <w:sz w:val="16"/>
                <w:szCs w:val="16"/>
                <w:b w:val="1"/>
                <w:bCs w:val="1"/>
                <w:color w:val="1A6DBB"/>
              </w:rPr>
              <w:t xml:space="preserve">Director Since: </w:t>
            </w:r>
            <w:r>
              <w:rPr>
                <w:rFonts w:ascii="Arial" w:cs="Arial" w:eastAsia="Arial" w:hAnsi="Arial"/>
                <w:sz w:val="16"/>
                <w:szCs w:val="16"/>
                <w:color w:val="000000"/>
              </w:rPr>
              <w:t>1997</w:t>
            </w:r>
          </w:p>
        </w:tc>
      </w:tr>
      <w:tr>
        <w:trPr>
          <w:trHeight w:val="189"/>
        </w:trPr>
        <w:tc>
          <w:tcPr>
            <w:tcW w:w="5280" w:type="dxa"/>
            <w:vAlign w:val="bottom"/>
          </w:tcPr>
          <w:p>
            <w:pPr>
              <w:ind w:left="1940"/>
              <w:spacing w:after="0"/>
              <w:rPr>
                <w:sz w:val="20"/>
                <w:szCs w:val="20"/>
                <w:color w:val="auto"/>
              </w:rPr>
            </w:pPr>
            <w:r>
              <w:rPr>
                <w:rFonts w:ascii="Arial" w:cs="Arial" w:eastAsia="Arial" w:hAnsi="Arial"/>
                <w:sz w:val="16"/>
                <w:szCs w:val="16"/>
                <w:b w:val="1"/>
                <w:bCs w:val="1"/>
                <w:color w:val="1A6DBB"/>
              </w:rPr>
              <w:t xml:space="preserve">Age: </w:t>
            </w:r>
            <w:r>
              <w:rPr>
                <w:rFonts w:ascii="Arial" w:cs="Arial" w:eastAsia="Arial" w:hAnsi="Arial"/>
                <w:sz w:val="16"/>
                <w:szCs w:val="16"/>
                <w:color w:val="000000"/>
              </w:rPr>
              <w:t>64</w:t>
            </w:r>
          </w:p>
        </w:tc>
        <w:tc>
          <w:tcPr>
            <w:tcW w:w="320" w:type="dxa"/>
            <w:vAlign w:val="bottom"/>
          </w:tcPr>
          <w:p>
            <w:pPr>
              <w:spacing w:after="0"/>
              <w:rPr>
                <w:sz w:val="16"/>
                <w:szCs w:val="16"/>
                <w:color w:val="auto"/>
              </w:rPr>
            </w:pPr>
          </w:p>
        </w:tc>
        <w:tc>
          <w:tcPr>
            <w:tcW w:w="5400" w:type="dxa"/>
            <w:vAlign w:val="bottom"/>
          </w:tcPr>
          <w:p>
            <w:pPr>
              <w:ind w:left="2000"/>
              <w:spacing w:after="0"/>
              <w:rPr>
                <w:sz w:val="20"/>
                <w:szCs w:val="20"/>
                <w:color w:val="auto"/>
              </w:rPr>
            </w:pPr>
            <w:r>
              <w:rPr>
                <w:rFonts w:ascii="Arial" w:cs="Arial" w:eastAsia="Arial" w:hAnsi="Arial"/>
                <w:sz w:val="16"/>
                <w:szCs w:val="16"/>
                <w:b w:val="1"/>
                <w:bCs w:val="1"/>
                <w:color w:val="1A6DBB"/>
              </w:rPr>
              <w:t xml:space="preserve">Age: </w:t>
            </w:r>
            <w:r>
              <w:rPr>
                <w:rFonts w:ascii="Arial" w:cs="Arial" w:eastAsia="Arial" w:hAnsi="Arial"/>
                <w:sz w:val="16"/>
                <w:szCs w:val="16"/>
                <w:color w:val="000000"/>
              </w:rPr>
              <w:t>67</w:t>
            </w:r>
          </w:p>
        </w:tc>
      </w:tr>
      <w:tr>
        <w:trPr>
          <w:trHeight w:val="209"/>
        </w:trPr>
        <w:tc>
          <w:tcPr>
            <w:tcW w:w="5280" w:type="dxa"/>
            <w:vAlign w:val="bottom"/>
          </w:tcPr>
          <w:p>
            <w:pPr>
              <w:ind w:left="1940"/>
              <w:spacing w:after="0"/>
              <w:rPr>
                <w:sz w:val="20"/>
                <w:szCs w:val="20"/>
                <w:color w:val="auto"/>
              </w:rPr>
            </w:pPr>
            <w:r>
              <w:rPr>
                <w:rFonts w:ascii="Arial" w:cs="Arial" w:eastAsia="Arial" w:hAnsi="Arial"/>
                <w:sz w:val="16"/>
                <w:szCs w:val="16"/>
                <w:b w:val="1"/>
                <w:bCs w:val="1"/>
                <w:color w:val="1A6DBB"/>
              </w:rPr>
              <w:t>Biogen Board Committees:</w:t>
            </w:r>
          </w:p>
        </w:tc>
        <w:tc>
          <w:tcPr>
            <w:tcW w:w="320" w:type="dxa"/>
            <w:vAlign w:val="bottom"/>
          </w:tcPr>
          <w:p>
            <w:pPr>
              <w:spacing w:after="0"/>
              <w:rPr>
                <w:sz w:val="18"/>
                <w:szCs w:val="18"/>
                <w:color w:val="auto"/>
              </w:rPr>
            </w:pPr>
          </w:p>
        </w:tc>
        <w:tc>
          <w:tcPr>
            <w:tcW w:w="5400" w:type="dxa"/>
            <w:vAlign w:val="bottom"/>
          </w:tcPr>
          <w:p>
            <w:pPr>
              <w:ind w:left="2000"/>
              <w:spacing w:after="0"/>
              <w:rPr>
                <w:sz w:val="20"/>
                <w:szCs w:val="20"/>
                <w:color w:val="auto"/>
              </w:rPr>
            </w:pPr>
            <w:r>
              <w:rPr>
                <w:rFonts w:ascii="Arial" w:cs="Arial" w:eastAsia="Arial" w:hAnsi="Arial"/>
                <w:sz w:val="16"/>
                <w:szCs w:val="16"/>
                <w:b w:val="1"/>
                <w:bCs w:val="1"/>
                <w:color w:val="1A6DBB"/>
              </w:rPr>
              <w:t>Biogen Board Committees:</w:t>
            </w:r>
          </w:p>
        </w:tc>
      </w:tr>
      <w:tr>
        <w:trPr>
          <w:trHeight w:val="189"/>
        </w:trPr>
        <w:tc>
          <w:tcPr>
            <w:tcW w:w="5280" w:type="dxa"/>
            <w:vAlign w:val="bottom"/>
          </w:tcPr>
          <w:p>
            <w:pPr>
              <w:ind w:left="194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Science and Technology (Chair)</w:t>
            </w:r>
          </w:p>
        </w:tc>
        <w:tc>
          <w:tcPr>
            <w:tcW w:w="320" w:type="dxa"/>
            <w:vAlign w:val="bottom"/>
          </w:tcPr>
          <w:p>
            <w:pPr>
              <w:spacing w:after="0"/>
              <w:rPr>
                <w:sz w:val="16"/>
                <w:szCs w:val="16"/>
                <w:color w:val="auto"/>
              </w:rPr>
            </w:pPr>
          </w:p>
        </w:tc>
        <w:tc>
          <w:tcPr>
            <w:tcW w:w="5400" w:type="dxa"/>
            <w:vAlign w:val="bottom"/>
          </w:tcPr>
          <w:p>
            <w:pPr>
              <w:ind w:left="200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Compensation and Management</w:t>
            </w:r>
          </w:p>
        </w:tc>
      </w:tr>
      <w:tr>
        <w:trPr>
          <w:trHeight w:val="189"/>
        </w:trPr>
        <w:tc>
          <w:tcPr>
            <w:tcW w:w="5280" w:type="dxa"/>
            <w:vAlign w:val="bottom"/>
          </w:tcPr>
          <w:p>
            <w:pPr>
              <w:ind w:left="194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Compensation and Management</w:t>
            </w:r>
          </w:p>
        </w:tc>
        <w:tc>
          <w:tcPr>
            <w:tcW w:w="320" w:type="dxa"/>
            <w:vAlign w:val="bottom"/>
          </w:tcPr>
          <w:p>
            <w:pPr>
              <w:spacing w:after="0"/>
              <w:rPr>
                <w:sz w:val="16"/>
                <w:szCs w:val="16"/>
                <w:color w:val="auto"/>
              </w:rPr>
            </w:pPr>
          </w:p>
        </w:tc>
        <w:tc>
          <w:tcPr>
            <w:tcW w:w="5400" w:type="dxa"/>
            <w:vAlign w:val="bottom"/>
          </w:tcPr>
          <w:p>
            <w:pPr>
              <w:ind w:left="2140"/>
              <w:spacing w:after="0"/>
              <w:rPr>
                <w:sz w:val="20"/>
                <w:szCs w:val="20"/>
                <w:color w:val="auto"/>
              </w:rPr>
            </w:pPr>
            <w:r>
              <w:rPr>
                <w:rFonts w:ascii="Arial" w:cs="Arial" w:eastAsia="Arial" w:hAnsi="Arial"/>
                <w:sz w:val="16"/>
                <w:szCs w:val="16"/>
                <w:color w:val="auto"/>
              </w:rPr>
              <w:t>Development (Chair)</w:t>
            </w:r>
          </w:p>
        </w:tc>
      </w:tr>
      <w:tr>
        <w:trPr>
          <w:trHeight w:val="195"/>
        </w:trPr>
        <w:tc>
          <w:tcPr>
            <w:tcW w:w="5280" w:type="dxa"/>
            <w:vAlign w:val="bottom"/>
          </w:tcPr>
          <w:p>
            <w:pPr>
              <w:ind w:left="2080"/>
              <w:spacing w:after="0"/>
              <w:rPr>
                <w:sz w:val="20"/>
                <w:szCs w:val="20"/>
                <w:color w:val="auto"/>
              </w:rPr>
            </w:pPr>
            <w:r>
              <w:rPr>
                <w:rFonts w:ascii="Arial" w:cs="Arial" w:eastAsia="Arial" w:hAnsi="Arial"/>
                <w:sz w:val="16"/>
                <w:szCs w:val="16"/>
                <w:color w:val="auto"/>
              </w:rPr>
              <w:t>Development</w:t>
            </w:r>
          </w:p>
        </w:tc>
        <w:tc>
          <w:tcPr>
            <w:tcW w:w="320" w:type="dxa"/>
            <w:vAlign w:val="bottom"/>
          </w:tcPr>
          <w:p>
            <w:pPr>
              <w:spacing w:after="0"/>
              <w:rPr>
                <w:sz w:val="16"/>
                <w:szCs w:val="16"/>
                <w:color w:val="auto"/>
              </w:rPr>
            </w:pPr>
          </w:p>
        </w:tc>
        <w:tc>
          <w:tcPr>
            <w:tcW w:w="5400" w:type="dxa"/>
            <w:vAlign w:val="bottom"/>
          </w:tcPr>
          <w:p>
            <w:pPr>
              <w:ind w:left="200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Finance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-724535</wp:posOffset>
            </wp:positionV>
            <wp:extent cx="848995" cy="10636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48995" cy="106362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-724535</wp:posOffset>
            </wp:positionV>
            <wp:extent cx="848995" cy="10636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48995" cy="106362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1A6DBB"/>
        </w:rPr>
        <w:t>Experience</w:t>
      </w:r>
    </w:p>
    <w:p>
      <w:pPr>
        <w:spacing w:after="0" w:line="25" w:lineRule="exact"/>
        <w:rPr>
          <w:sz w:val="20"/>
          <w:szCs w:val="20"/>
          <w:color w:val="auto"/>
        </w:rPr>
      </w:pPr>
    </w:p>
    <w:p>
      <w:pPr>
        <w:ind w:left="200"/>
        <w:spacing w:after="0" w:line="247" w:lineRule="auto"/>
        <w:rPr>
          <w:sz w:val="20"/>
          <w:szCs w:val="20"/>
          <w:color w:val="auto"/>
        </w:rPr>
      </w:pPr>
      <w:r>
        <w:rPr>
          <w:rFonts w:ascii="Arial" w:cs="Arial" w:eastAsia="Arial" w:hAnsi="Arial"/>
          <w:sz w:val="16"/>
          <w:szCs w:val="16"/>
          <w:color w:val="auto"/>
        </w:rPr>
        <w:t>Dr. Mulligan is currently the Mallinckrodt Professor of Genetics, Emeritus, at Harvard Medical School, after serving as the Mallinckrodt Professor of Genetics and Director of the Harvard Gene Therapy Initiative from 1996 to 2013. He also currently serves as Executive Vice Chairman of the Board of Sana Biotechnology, a private biotechnology company. From March 2017 to October 2018 Dr. Mulligan served as a Portfolio Manager at Icahn Capital LP. Prior to that, Dr. Mulligan was a founding partner of Sarissa Capital Management LP, a registered investment advisor, from 2013 to 2016. Prior to Harvard, Dr. Mulligan was a Professor of Molecular Biology at the Massachusetts Institute of Technology, a member of the Whitehead Institute for Biomedical Research and the Chief Scientific Officer of Somatix Therapy Corporation, a drug discovery and development company that he founded. Dr. Mulligan was named a MacArthur Foundation Fellow in 1981.</w:t>
      </w:r>
    </w:p>
    <w:p>
      <w:pPr>
        <w:spacing w:after="0" w:line="8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1A6DBB"/>
        </w:rPr>
        <w:t>Qualifications</w:t>
      </w:r>
    </w:p>
    <w:p>
      <w:pPr>
        <w:spacing w:after="0" w:line="25" w:lineRule="exact"/>
        <w:rPr>
          <w:sz w:val="20"/>
          <w:szCs w:val="20"/>
          <w:color w:val="auto"/>
        </w:rPr>
      </w:pPr>
    </w:p>
    <w:p>
      <w:pPr>
        <w:ind w:left="200" w:right="320"/>
        <w:spacing w:after="0" w:line="251" w:lineRule="auto"/>
        <w:rPr>
          <w:sz w:val="20"/>
          <w:szCs w:val="20"/>
          <w:color w:val="auto"/>
        </w:rPr>
      </w:pPr>
      <w:r>
        <w:rPr>
          <w:rFonts w:ascii="Arial" w:cs="Arial" w:eastAsia="Arial" w:hAnsi="Arial"/>
          <w:sz w:val="16"/>
          <w:szCs w:val="16"/>
          <w:color w:val="auto"/>
        </w:rPr>
        <w:t>Dr. Mulligan has scientific expertise in the areas of molecular biology, genetics, gene therapy and biotechnology, as well as extensive experience within the healthcare industry, including overseeing the operations and research and development of healthcare companies.</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1A6DBB"/>
        </w:rPr>
        <w:t>Other Current Public Company Boards</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None</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1A6DBB"/>
        </w:rPr>
        <w:t>Former Public Company Directorships Held in the Past Five Years</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302260</wp:posOffset>
            </wp:positionV>
            <wp:extent cx="685800"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Experience</w:t>
      </w:r>
    </w:p>
    <w:p>
      <w:pPr>
        <w:spacing w:after="0" w:line="25"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Mr. Pangia served as a director of the Company from 1997 to 2003 during the period the Company was operated as IDEC Pharmaceuticals, and has served as a director since 2003 following IDEC’s merger with Biogen, Inc. Mr. Pangia has been a partner in Ivy Capital Partners, LLC, the general partner of Ivy Healthcare Capital, L.P., a private equity fund specializing in healthcare investments, since 2003. From 2011 to 2016 he was also the Chief Executive Officer of Ivy Sports Medicine, LLC, a medical device company. From October 2007 to October 2009 he also served as the Chief Executive Officer of Highlands Acquisition Corp., a special purpose acquisition company. From 1996 to 2003 Mr. Pangia was self-employed as an investment banker. From 1987 to 1996 he held various senior management positions at PaineWebber, a financial services company, including Executive Vice President and Director of Investment Banking for PaineWebber Incorporated of New York, a member of the Board of Directors of PaineWebber, Inc., Chairman of PaineWebber Properties, Inc. and a member of several of PaineWebber’s executive and operating committees.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Qualifications</w:t>
      </w:r>
    </w:p>
    <w:p>
      <w:pPr>
        <w:spacing w:after="0" w:line="2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Mr. Pangia has significant financial acumen and breadth of expertise within the healthcare industry.</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Other Current Public Company Boards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None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Former Public Company Directorships Held in the Past Five Years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None</w:t>
      </w:r>
    </w:p>
    <w:p>
      <w:pPr>
        <w:spacing w:after="0" w:line="200" w:lineRule="exact"/>
        <w:rPr>
          <w:sz w:val="20"/>
          <w:szCs w:val="20"/>
          <w:color w:val="auto"/>
        </w:rPr>
      </w:pPr>
    </w:p>
    <w:p>
      <w:pPr>
        <w:sectPr>
          <w:pgSz w:w="11900" w:h="16838" w:orient="portrait"/>
          <w:cols w:equalWidth="0" w:num="2">
            <w:col w:w="5460" w:space="360"/>
            <w:col w:w="5400"/>
          </w:cols>
          <w:pgMar w:left="240" w:top="459" w:right="439" w:bottom="1440" w:gutter="0" w:footer="0" w:header="0"/>
          <w:type w:val="continuous"/>
        </w:sectPr>
      </w:pPr>
    </w:p>
    <w:p>
      <w:pPr>
        <w:spacing w:after="0" w:line="130"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-62865</wp:posOffset>
            </wp:positionV>
            <wp:extent cx="102870" cy="946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44"/>
        </w:numPr>
        <w:rPr>
          <w:rFonts w:ascii="Arial" w:cs="Arial" w:eastAsia="Arial" w:hAnsi="Arial"/>
          <w:sz w:val="90"/>
          <w:szCs w:val="90"/>
          <w:color w:val="1A6DBB"/>
        </w:rPr>
      </w:pPr>
      <w:r>
        <w:rPr>
          <w:rFonts w:ascii="Arial" w:cs="Arial" w:eastAsia="Arial" w:hAnsi="Arial"/>
          <w:sz w:val="41"/>
          <w:szCs w:val="41"/>
          <w:color w:val="1A6DBB"/>
        </w:rPr>
        <w:t xml:space="preserve">Board of Directors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220" w:type="dxa"/>
        <w:tblCellMar>
          <w:top w:w="0" w:type="dxa"/>
          <w:left w:w="0" w:type="dxa"/>
          <w:bottom w:w="0" w:type="dxa"/>
          <w:right w:w="0" w:type="dxa"/>
        </w:tblCellMar>
      </w:tblPr>
      <w:tr>
        <w:trPr>
          <w:trHeight w:val="297"/>
        </w:trPr>
        <w:tc>
          <w:tcPr>
            <w:tcW w:w="5280" w:type="dxa"/>
            <w:vAlign w:val="bottom"/>
            <w:shd w:val="clear" w:color="auto" w:fill="1A6DBB"/>
          </w:tcPr>
          <w:p>
            <w:pPr>
              <w:ind w:left="140"/>
              <w:spacing w:after="0"/>
              <w:rPr>
                <w:sz w:val="20"/>
                <w:szCs w:val="20"/>
                <w:color w:val="auto"/>
              </w:rPr>
            </w:pPr>
            <w:r>
              <w:rPr>
                <w:rFonts w:ascii="Arial" w:cs="Arial" w:eastAsia="Arial" w:hAnsi="Arial"/>
                <w:sz w:val="18"/>
                <w:szCs w:val="18"/>
                <w:b w:val="1"/>
                <w:bCs w:val="1"/>
                <w:color w:val="FFFFFF"/>
              </w:rPr>
              <w:t>Stelios Papadopoulos, Ph.D.</w:t>
            </w:r>
          </w:p>
        </w:tc>
        <w:tc>
          <w:tcPr>
            <w:tcW w:w="320" w:type="dxa"/>
            <w:vAlign w:val="bottom"/>
          </w:tcPr>
          <w:p>
            <w:pPr>
              <w:spacing w:after="0"/>
              <w:rPr>
                <w:sz w:val="24"/>
                <w:szCs w:val="24"/>
                <w:color w:val="auto"/>
              </w:rPr>
            </w:pPr>
          </w:p>
        </w:tc>
        <w:tc>
          <w:tcPr>
            <w:tcW w:w="5400" w:type="dxa"/>
            <w:vAlign w:val="bottom"/>
            <w:shd w:val="clear" w:color="auto" w:fill="1A6DBB"/>
          </w:tcPr>
          <w:p>
            <w:pPr>
              <w:ind w:left="180"/>
              <w:spacing w:after="0"/>
              <w:rPr>
                <w:sz w:val="20"/>
                <w:szCs w:val="20"/>
                <w:color w:val="auto"/>
              </w:rPr>
            </w:pPr>
            <w:r>
              <w:rPr>
                <w:rFonts w:ascii="Arial" w:cs="Arial" w:eastAsia="Arial" w:hAnsi="Arial"/>
                <w:sz w:val="18"/>
                <w:szCs w:val="18"/>
                <w:b w:val="1"/>
                <w:bCs w:val="1"/>
                <w:color w:val="FFFFFF"/>
              </w:rPr>
              <w:t>Brian S. Posner</w:t>
            </w:r>
          </w:p>
        </w:tc>
      </w:tr>
      <w:tr>
        <w:trPr>
          <w:trHeight w:val="333"/>
        </w:trPr>
        <w:tc>
          <w:tcPr>
            <w:tcW w:w="5280" w:type="dxa"/>
            <w:vAlign w:val="bottom"/>
          </w:tcPr>
          <w:p>
            <w:pPr>
              <w:ind w:left="1940"/>
              <w:spacing w:after="0"/>
              <w:rPr>
                <w:sz w:val="20"/>
                <w:szCs w:val="20"/>
                <w:color w:val="auto"/>
              </w:rPr>
            </w:pPr>
            <w:r>
              <w:rPr>
                <w:rFonts w:ascii="Arial" w:cs="Arial" w:eastAsia="Arial" w:hAnsi="Arial"/>
                <w:sz w:val="16"/>
                <w:szCs w:val="16"/>
                <w:b w:val="1"/>
                <w:bCs w:val="1"/>
                <w:color w:val="1A6DBB"/>
              </w:rPr>
              <w:t xml:space="preserve">Director Since: </w:t>
            </w:r>
            <w:r>
              <w:rPr>
                <w:rFonts w:ascii="Arial" w:cs="Arial" w:eastAsia="Arial" w:hAnsi="Arial"/>
                <w:sz w:val="16"/>
                <w:szCs w:val="16"/>
                <w:color w:val="000000"/>
              </w:rPr>
              <w:t>2008</w:t>
            </w:r>
          </w:p>
        </w:tc>
        <w:tc>
          <w:tcPr>
            <w:tcW w:w="320" w:type="dxa"/>
            <w:vAlign w:val="bottom"/>
          </w:tcPr>
          <w:p>
            <w:pPr>
              <w:spacing w:after="0"/>
              <w:rPr>
                <w:sz w:val="24"/>
                <w:szCs w:val="24"/>
                <w:color w:val="auto"/>
              </w:rPr>
            </w:pPr>
          </w:p>
        </w:tc>
        <w:tc>
          <w:tcPr>
            <w:tcW w:w="5400" w:type="dxa"/>
            <w:vAlign w:val="bottom"/>
          </w:tcPr>
          <w:p>
            <w:pPr>
              <w:ind w:left="2000"/>
              <w:spacing w:after="0"/>
              <w:rPr>
                <w:sz w:val="20"/>
                <w:szCs w:val="20"/>
                <w:color w:val="auto"/>
              </w:rPr>
            </w:pPr>
            <w:r>
              <w:rPr>
                <w:rFonts w:ascii="Arial" w:cs="Arial" w:eastAsia="Arial" w:hAnsi="Arial"/>
                <w:sz w:val="16"/>
                <w:szCs w:val="16"/>
                <w:b w:val="1"/>
                <w:bCs w:val="1"/>
                <w:color w:val="1A6DBB"/>
              </w:rPr>
              <w:t xml:space="preserve">Director Since: </w:t>
            </w:r>
            <w:r>
              <w:rPr>
                <w:rFonts w:ascii="Arial" w:cs="Arial" w:eastAsia="Arial" w:hAnsi="Arial"/>
                <w:sz w:val="16"/>
                <w:szCs w:val="16"/>
                <w:color w:val="000000"/>
              </w:rPr>
              <w:t>2008</w:t>
            </w:r>
          </w:p>
        </w:tc>
      </w:tr>
      <w:tr>
        <w:trPr>
          <w:trHeight w:val="189"/>
        </w:trPr>
        <w:tc>
          <w:tcPr>
            <w:tcW w:w="5280" w:type="dxa"/>
            <w:vAlign w:val="bottom"/>
          </w:tcPr>
          <w:p>
            <w:pPr>
              <w:ind w:left="1940"/>
              <w:spacing w:after="0"/>
              <w:rPr>
                <w:sz w:val="20"/>
                <w:szCs w:val="20"/>
                <w:color w:val="auto"/>
              </w:rPr>
            </w:pPr>
            <w:r>
              <w:rPr>
                <w:rFonts w:ascii="Arial" w:cs="Arial" w:eastAsia="Arial" w:hAnsi="Arial"/>
                <w:sz w:val="16"/>
                <w:szCs w:val="16"/>
                <w:b w:val="1"/>
                <w:bCs w:val="1"/>
                <w:color w:val="1A6DBB"/>
              </w:rPr>
              <w:t xml:space="preserve">Independent Chairman Since: </w:t>
            </w:r>
            <w:r>
              <w:rPr>
                <w:rFonts w:ascii="Arial" w:cs="Arial" w:eastAsia="Arial" w:hAnsi="Arial"/>
                <w:sz w:val="16"/>
                <w:szCs w:val="16"/>
                <w:color w:val="000000"/>
              </w:rPr>
              <w:t>2014</w:t>
            </w:r>
            <w:r>
              <w:rPr>
                <w:rFonts w:ascii="Arial" w:cs="Arial" w:eastAsia="Arial" w:hAnsi="Arial"/>
                <w:sz w:val="16"/>
                <w:szCs w:val="16"/>
                <w:b w:val="1"/>
                <w:bCs w:val="1"/>
                <w:color w:val="1A6DBB"/>
              </w:rPr>
              <w:t xml:space="preserve"> Age: </w:t>
            </w:r>
            <w:r>
              <w:rPr>
                <w:rFonts w:ascii="Arial" w:cs="Arial" w:eastAsia="Arial" w:hAnsi="Arial"/>
                <w:sz w:val="16"/>
                <w:szCs w:val="16"/>
                <w:color w:val="000000"/>
              </w:rPr>
              <w:t>70</w:t>
            </w:r>
          </w:p>
        </w:tc>
        <w:tc>
          <w:tcPr>
            <w:tcW w:w="320" w:type="dxa"/>
            <w:vAlign w:val="bottom"/>
          </w:tcPr>
          <w:p>
            <w:pPr>
              <w:spacing w:after="0"/>
              <w:rPr>
                <w:sz w:val="16"/>
                <w:szCs w:val="16"/>
                <w:color w:val="auto"/>
              </w:rPr>
            </w:pPr>
          </w:p>
        </w:tc>
        <w:tc>
          <w:tcPr>
            <w:tcW w:w="5400" w:type="dxa"/>
            <w:vAlign w:val="bottom"/>
          </w:tcPr>
          <w:p>
            <w:pPr>
              <w:ind w:left="2000"/>
              <w:spacing w:after="0"/>
              <w:rPr>
                <w:sz w:val="20"/>
                <w:szCs w:val="20"/>
                <w:color w:val="auto"/>
              </w:rPr>
            </w:pPr>
            <w:r>
              <w:rPr>
                <w:rFonts w:ascii="Arial" w:cs="Arial" w:eastAsia="Arial" w:hAnsi="Arial"/>
                <w:sz w:val="16"/>
                <w:szCs w:val="16"/>
                <w:b w:val="1"/>
                <w:bCs w:val="1"/>
                <w:color w:val="1A6DBB"/>
              </w:rPr>
              <w:t xml:space="preserve">Age: </w:t>
            </w:r>
            <w:r>
              <w:rPr>
                <w:rFonts w:ascii="Arial" w:cs="Arial" w:eastAsia="Arial" w:hAnsi="Arial"/>
                <w:sz w:val="16"/>
                <w:szCs w:val="16"/>
                <w:color w:val="000000"/>
              </w:rPr>
              <w:t>57</w:t>
            </w:r>
          </w:p>
        </w:tc>
      </w:tr>
      <w:tr>
        <w:trPr>
          <w:trHeight w:val="209"/>
        </w:trPr>
        <w:tc>
          <w:tcPr>
            <w:tcW w:w="5280" w:type="dxa"/>
            <w:vAlign w:val="bottom"/>
          </w:tcPr>
          <w:p>
            <w:pPr>
              <w:ind w:left="1940"/>
              <w:spacing w:after="0"/>
              <w:rPr>
                <w:sz w:val="20"/>
                <w:szCs w:val="20"/>
                <w:color w:val="auto"/>
              </w:rPr>
            </w:pPr>
            <w:r>
              <w:rPr>
                <w:rFonts w:ascii="Arial" w:cs="Arial" w:eastAsia="Arial" w:hAnsi="Arial"/>
                <w:sz w:val="16"/>
                <w:szCs w:val="16"/>
                <w:b w:val="1"/>
                <w:bCs w:val="1"/>
                <w:color w:val="1A6DBB"/>
              </w:rPr>
              <w:t>Biogen Board Committees:</w:t>
            </w:r>
          </w:p>
        </w:tc>
        <w:tc>
          <w:tcPr>
            <w:tcW w:w="320" w:type="dxa"/>
            <w:vAlign w:val="bottom"/>
          </w:tcPr>
          <w:p>
            <w:pPr>
              <w:spacing w:after="0"/>
              <w:rPr>
                <w:sz w:val="18"/>
                <w:szCs w:val="18"/>
                <w:color w:val="auto"/>
              </w:rPr>
            </w:pPr>
          </w:p>
        </w:tc>
        <w:tc>
          <w:tcPr>
            <w:tcW w:w="5400" w:type="dxa"/>
            <w:vAlign w:val="bottom"/>
          </w:tcPr>
          <w:p>
            <w:pPr>
              <w:ind w:left="2000"/>
              <w:spacing w:after="0"/>
              <w:rPr>
                <w:sz w:val="20"/>
                <w:szCs w:val="20"/>
                <w:color w:val="auto"/>
              </w:rPr>
            </w:pPr>
            <w:r>
              <w:rPr>
                <w:rFonts w:ascii="Arial" w:cs="Arial" w:eastAsia="Arial" w:hAnsi="Arial"/>
                <w:sz w:val="16"/>
                <w:szCs w:val="16"/>
                <w:b w:val="1"/>
                <w:bCs w:val="1"/>
                <w:color w:val="1A6DBB"/>
              </w:rPr>
              <w:t>Biogen Board Committees:</w:t>
            </w:r>
          </w:p>
        </w:tc>
      </w:tr>
      <w:tr>
        <w:trPr>
          <w:trHeight w:val="189"/>
        </w:trPr>
        <w:tc>
          <w:tcPr>
            <w:tcW w:w="5280" w:type="dxa"/>
            <w:vAlign w:val="bottom"/>
          </w:tcPr>
          <w:p>
            <w:pPr>
              <w:ind w:left="194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Audit</w:t>
            </w:r>
          </w:p>
        </w:tc>
        <w:tc>
          <w:tcPr>
            <w:tcW w:w="320" w:type="dxa"/>
            <w:vAlign w:val="bottom"/>
          </w:tcPr>
          <w:p>
            <w:pPr>
              <w:spacing w:after="0"/>
              <w:rPr>
                <w:sz w:val="16"/>
                <w:szCs w:val="16"/>
                <w:color w:val="auto"/>
              </w:rPr>
            </w:pPr>
          </w:p>
        </w:tc>
        <w:tc>
          <w:tcPr>
            <w:tcW w:w="5400" w:type="dxa"/>
            <w:vAlign w:val="bottom"/>
          </w:tcPr>
          <w:p>
            <w:pPr>
              <w:ind w:left="200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Finance (Chair)</w:t>
            </w:r>
          </w:p>
        </w:tc>
      </w:tr>
      <w:tr>
        <w:trPr>
          <w:trHeight w:val="189"/>
        </w:trPr>
        <w:tc>
          <w:tcPr>
            <w:tcW w:w="5280" w:type="dxa"/>
            <w:vAlign w:val="bottom"/>
          </w:tcPr>
          <w:p>
            <w:pPr>
              <w:ind w:left="194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Finance</w:t>
            </w:r>
          </w:p>
        </w:tc>
        <w:tc>
          <w:tcPr>
            <w:tcW w:w="320" w:type="dxa"/>
            <w:vAlign w:val="bottom"/>
          </w:tcPr>
          <w:p>
            <w:pPr>
              <w:spacing w:after="0"/>
              <w:rPr>
                <w:sz w:val="16"/>
                <w:szCs w:val="16"/>
                <w:color w:val="auto"/>
              </w:rPr>
            </w:pPr>
          </w:p>
        </w:tc>
        <w:tc>
          <w:tcPr>
            <w:tcW w:w="5400" w:type="dxa"/>
            <w:vAlign w:val="bottom"/>
          </w:tcPr>
          <w:p>
            <w:pPr>
              <w:ind w:left="200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Audit</w:t>
            </w:r>
          </w:p>
        </w:tc>
      </w:tr>
      <w:tr>
        <w:trPr>
          <w:trHeight w:val="195"/>
        </w:trPr>
        <w:tc>
          <w:tcPr>
            <w:tcW w:w="5280" w:type="dxa"/>
            <w:vAlign w:val="bottom"/>
          </w:tcPr>
          <w:p>
            <w:pPr>
              <w:ind w:left="194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Science &amp; Technology</w:t>
            </w:r>
          </w:p>
        </w:tc>
        <w:tc>
          <w:tcPr>
            <w:tcW w:w="320" w:type="dxa"/>
            <w:vAlign w:val="bottom"/>
          </w:tcPr>
          <w:p>
            <w:pPr>
              <w:spacing w:after="0"/>
              <w:rPr>
                <w:sz w:val="16"/>
                <w:szCs w:val="16"/>
                <w:color w:val="auto"/>
              </w:rPr>
            </w:pPr>
          </w:p>
        </w:tc>
        <w:tc>
          <w:tcPr>
            <w:tcW w:w="5400" w:type="dxa"/>
            <w:vAlign w:val="bottom"/>
          </w:tcPr>
          <w:p>
            <w:pPr>
              <w:ind w:left="200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Corporate Governance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-724535</wp:posOffset>
            </wp:positionV>
            <wp:extent cx="848995" cy="10636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48995" cy="106362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-724535</wp:posOffset>
            </wp:positionV>
            <wp:extent cx="848995" cy="10636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48995" cy="106362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1A6DBB"/>
        </w:rPr>
        <w:t>Experience</w:t>
      </w:r>
    </w:p>
    <w:p>
      <w:pPr>
        <w:spacing w:after="0" w:line="25" w:lineRule="exact"/>
        <w:rPr>
          <w:sz w:val="20"/>
          <w:szCs w:val="20"/>
          <w:color w:val="auto"/>
        </w:rPr>
      </w:pPr>
    </w:p>
    <w:p>
      <w:pPr>
        <w:ind w:left="220"/>
        <w:spacing w:after="0" w:line="248" w:lineRule="auto"/>
        <w:rPr>
          <w:sz w:val="20"/>
          <w:szCs w:val="20"/>
          <w:color w:val="auto"/>
        </w:rPr>
      </w:pPr>
      <w:r>
        <w:rPr>
          <w:rFonts w:ascii="Arial" w:cs="Arial" w:eastAsia="Arial" w:hAnsi="Arial"/>
          <w:sz w:val="16"/>
          <w:szCs w:val="16"/>
          <w:color w:val="auto"/>
        </w:rPr>
        <w:t>Dr. Papadopoulos serves as the Chairman of Exelixis, Inc., a drug discovery and development company that he co-founded in 1994, and Regulus Therapeutics Inc., a biopharmaceutical company. Previously, he was an investment banker with Cowen &amp; Co., LLC, a financial services company, focusing on the biotechnology and pharmaceutical sectors, from 2000 until his retirement as Vice Chairman in August 2006. Prior to joining Cowen &amp; Co., Dr. Papadopoulos served for 13 years as an investment banker at PaineWebber, Inc., a financial services company, where he was most recently Chairman of PaineWebber Development Corp., a PaineWebber subsidiary focusing on biotechnology.</w:t>
      </w:r>
    </w:p>
    <w:p>
      <w:pPr>
        <w:spacing w:after="0" w:line="7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1A6DBB"/>
        </w:rPr>
        <w:t>Qualifications</w:t>
      </w:r>
    </w:p>
    <w:p>
      <w:pPr>
        <w:spacing w:after="0" w:line="25" w:lineRule="exact"/>
        <w:rPr>
          <w:sz w:val="20"/>
          <w:szCs w:val="20"/>
          <w:color w:val="auto"/>
        </w:rPr>
      </w:pPr>
    </w:p>
    <w:p>
      <w:pPr>
        <w:ind w:left="220" w:right="400"/>
        <w:spacing w:after="0" w:line="246" w:lineRule="auto"/>
        <w:rPr>
          <w:sz w:val="20"/>
          <w:szCs w:val="20"/>
          <w:color w:val="auto"/>
        </w:rPr>
      </w:pPr>
      <w:r>
        <w:rPr>
          <w:rFonts w:ascii="Arial" w:cs="Arial" w:eastAsia="Arial" w:hAnsi="Arial"/>
          <w:sz w:val="16"/>
          <w:szCs w:val="16"/>
          <w:color w:val="auto"/>
        </w:rPr>
        <w:t>Having founded multiple life sciences companies and worked as an investment banker focused on the life sciences industry,</w:t>
      </w:r>
    </w:p>
    <w:p>
      <w:pPr>
        <w:spacing w:after="0" w:line="1" w:lineRule="exact"/>
        <w:rPr>
          <w:sz w:val="20"/>
          <w:szCs w:val="20"/>
          <w:color w:val="auto"/>
        </w:rPr>
      </w:pPr>
    </w:p>
    <w:p>
      <w:pPr>
        <w:ind w:left="220" w:right="140"/>
        <w:spacing w:after="0" w:line="253" w:lineRule="auto"/>
        <w:rPr>
          <w:sz w:val="20"/>
          <w:szCs w:val="20"/>
          <w:color w:val="auto"/>
        </w:rPr>
      </w:pPr>
      <w:r>
        <w:rPr>
          <w:rFonts w:ascii="Arial" w:cs="Arial" w:eastAsia="Arial" w:hAnsi="Arial"/>
          <w:sz w:val="16"/>
          <w:szCs w:val="16"/>
          <w:color w:val="auto"/>
        </w:rPr>
        <w:t>Dr. Papadopoulos brings to our Board of Directors a first-hand understanding of the demands of establishing, growing and running life sciences businesses.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1A6DBB"/>
        </w:rPr>
        <w:t>Other Current Public Company Boards</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Exelixis, Inc. (Chair)</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Regulus Therapeutics Inc. (Chair)</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1A6DBB"/>
        </w:rPr>
        <w:t>Former Public Company Directorships Held in the Past Five Years</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BG Medicine,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1263015</wp:posOffset>
            </wp:positionV>
            <wp:extent cx="685800" cy="1543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Experience</w:t>
      </w:r>
    </w:p>
    <w:p>
      <w:pPr>
        <w:spacing w:after="0" w:line="25"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Mr. Posner has been a private investor since March 2008 and is the founder and Managing Partner of Point Rider Group LLC, a boutique consulting and advisory services firm that provides customized solutions to senior executives and boards of financial, bio-pharmaceutical and other services-related companies, as well as strategic investors that make, direct and control investments in those sectors. From 2005 to March 2008</w:t>
      </w:r>
    </w:p>
    <w:p>
      <w:pPr>
        <w:spacing w:after="0" w:line="3"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Mr. Posner served as the President, Chief Executive Officer and co-Chief Investment Officer of ClearBridge Advisors LLC, an asset management company and a wholly-owned subsidiary of Legg Mason. Prior to that, Mr. Posner co-founded Hygrove Partners LLC, a private investment fund, in 2000 and served as its Managing Partner for five years. He served as a portfolio manager and an analyst at Fidelity Investments, a financial services company, from 1987 to 1996 and, from 1997 to 1999, at Warburg Pincus Asset Management/Credit Suisse Asset Management where he also served as co-Chief Investment Officer and Director of Research.</w:t>
      </w:r>
    </w:p>
    <w:p>
      <w:pPr>
        <w:spacing w:after="0" w:line="4"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Mr. Posner also serves as a director of AQR Funds, an investment fund, and Arch Capital Group Ltd., a specialty insurance and reinsurance provider.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Qualifications</w:t>
      </w:r>
    </w:p>
    <w:p>
      <w:pPr>
        <w:spacing w:after="0" w:line="25" w:lineRule="exact"/>
        <w:rPr>
          <w:sz w:val="20"/>
          <w:szCs w:val="20"/>
          <w:color w:val="auto"/>
        </w:rPr>
      </w:pPr>
    </w:p>
    <w:p>
      <w:pPr>
        <w:ind w:right="280"/>
        <w:spacing w:after="0" w:line="250" w:lineRule="auto"/>
        <w:rPr>
          <w:sz w:val="20"/>
          <w:szCs w:val="20"/>
          <w:color w:val="auto"/>
        </w:rPr>
      </w:pPr>
      <w:r>
        <w:rPr>
          <w:rFonts w:ascii="Arial" w:cs="Arial" w:eastAsia="Arial" w:hAnsi="Arial"/>
          <w:sz w:val="16"/>
          <w:szCs w:val="16"/>
          <w:color w:val="auto"/>
        </w:rPr>
        <w:t>With more than 30 years of experience as a senior corporate executive, leading investment professional and director on public company and not-for-profit boards, Mr. Posner brings significant management and financial expertise, a professional investor’s perspective and extensive experience in areas of corporate governance to our Board of Directors.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Other Current Public Company Boards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AQR Funds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Arch Capital Group Ltd.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Former Public Company Directorships Held in the Past Five Years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BG Medicine,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Bioverativ Inc. (Chair)</w:t>
      </w:r>
    </w:p>
    <w:p>
      <w:pPr>
        <w:spacing w:after="0" w:line="200" w:lineRule="exact"/>
        <w:rPr>
          <w:sz w:val="20"/>
          <w:szCs w:val="20"/>
          <w:color w:val="auto"/>
        </w:rPr>
      </w:pPr>
    </w:p>
    <w:p>
      <w:pPr>
        <w:sectPr>
          <w:pgSz w:w="11900" w:h="16838" w:orient="portrait"/>
          <w:cols w:equalWidth="0" w:num="2">
            <w:col w:w="5420" w:space="400"/>
            <w:col w:w="5400"/>
          </w:cols>
          <w:pgMar w:left="240" w:top="459" w:right="439" w:bottom="1440" w:gutter="0" w:footer="0" w:header="0"/>
          <w:type w:val="continuous"/>
        </w:sectPr>
      </w:pPr>
    </w:p>
    <w:p>
      <w:pPr>
        <w:spacing w:after="0" w:line="130"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-62865</wp:posOffset>
            </wp:positionV>
            <wp:extent cx="102870" cy="946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7" w:lineRule="exact"/>
        <w:rPr>
          <w:sz w:val="20"/>
          <w:szCs w:val="20"/>
          <w:color w:val="auto"/>
        </w:rPr>
      </w:pPr>
    </w:p>
    <w:p>
      <w:pPr>
        <w:ind w:left="460"/>
        <w:spacing w:after="0"/>
        <w:rPr>
          <w:sz w:val="20"/>
          <w:szCs w:val="20"/>
          <w:color w:val="auto"/>
        </w:rPr>
      </w:pPr>
      <w:r>
        <w:rPr>
          <w:rFonts w:ascii="Arial" w:cs="Arial" w:eastAsia="Arial" w:hAnsi="Arial"/>
          <w:sz w:val="85"/>
          <w:szCs w:val="85"/>
          <w:color w:val="1A6DBB"/>
        </w:rPr>
        <w:t xml:space="preserve">3 </w:t>
      </w:r>
      <w:r>
        <w:rPr>
          <w:rFonts w:ascii="Arial" w:cs="Arial" w:eastAsia="Arial" w:hAnsi="Arial"/>
          <w:sz w:val="39"/>
          <w:szCs w:val="39"/>
          <w:color w:val="1A6DBB"/>
        </w:rPr>
        <w:t>Board of Directors</w:t>
      </w:r>
      <w:r>
        <w:rPr>
          <w:rFonts w:ascii="Arial" w:cs="Arial" w:eastAsia="Arial" w:hAnsi="Arial"/>
          <w:sz w:val="85"/>
          <w:szCs w:val="85"/>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45085</wp:posOffset>
            </wp:positionV>
            <wp:extent cx="6997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353695</wp:posOffset>
            </wp:positionV>
            <wp:extent cx="3353435" cy="1885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53435" cy="18859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FFFFF"/>
        </w:rPr>
        <w:t>Eric K. Rowinsky, M.D.</w:t>
      </w:r>
    </w:p>
    <w:p>
      <w:pPr>
        <w:spacing w:after="0" w:line="189"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1A6DBB"/>
        </w:rPr>
        <w:t xml:space="preserve">Director Since: </w:t>
      </w:r>
      <w:r>
        <w:rPr>
          <w:rFonts w:ascii="Arial" w:cs="Arial" w:eastAsia="Arial" w:hAnsi="Arial"/>
          <w:sz w:val="16"/>
          <w:szCs w:val="16"/>
          <w:color w:val="000000"/>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-104775</wp:posOffset>
            </wp:positionV>
            <wp:extent cx="848995" cy="10636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48995" cy="1063625"/>
                    </a:xfrm>
                    <a:prstGeom prst="rect">
                      <a:avLst/>
                    </a:prstGeom>
                    <a:noFill/>
                  </pic:spPr>
                </pic:pic>
              </a:graphicData>
            </a:graphic>
          </wp:anchor>
        </w:drawing>
      </w:r>
    </w:p>
    <w:p>
      <w:pPr>
        <w:spacing w:after="0" w:line="5"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1A6DBB"/>
        </w:rPr>
        <w:t xml:space="preserve">Age: </w:t>
      </w:r>
      <w:r>
        <w:rPr>
          <w:rFonts w:ascii="Arial" w:cs="Arial" w:eastAsia="Arial" w:hAnsi="Arial"/>
          <w:sz w:val="16"/>
          <w:szCs w:val="16"/>
          <w:color w:val="000000"/>
        </w:rPr>
        <w:t>62</w:t>
      </w:r>
    </w:p>
    <w:p>
      <w:pPr>
        <w:spacing w:after="0" w:line="5"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1A6DBB"/>
        </w:rPr>
        <w:t>Biogen Board Committees:</w:t>
      </w:r>
    </w:p>
    <w:p>
      <w:pPr>
        <w:spacing w:after="0" w:line="5" w:lineRule="exact"/>
        <w:rPr>
          <w:sz w:val="20"/>
          <w:szCs w:val="20"/>
          <w:color w:val="auto"/>
        </w:rPr>
      </w:pPr>
    </w:p>
    <w:p>
      <w:pPr>
        <w:ind w:left="2300" w:right="860" w:hanging="144"/>
        <w:spacing w:after="0" w:line="246" w:lineRule="auto"/>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Compensation and Management</w:t>
      </w:r>
      <w:r>
        <w:rPr>
          <w:rFonts w:ascii="Arial" w:cs="Arial" w:eastAsia="Arial" w:hAnsi="Arial"/>
          <w:sz w:val="16"/>
          <w:szCs w:val="16"/>
          <w:color w:val="1A6DBB"/>
        </w:rPr>
        <w:t xml:space="preserve"> </w:t>
      </w:r>
      <w:r>
        <w:rPr>
          <w:rFonts w:ascii="Arial" w:cs="Arial" w:eastAsia="Arial" w:hAnsi="Arial"/>
          <w:sz w:val="16"/>
          <w:szCs w:val="16"/>
          <w:color w:val="000000"/>
        </w:rPr>
        <w:t>Development</w:t>
      </w:r>
    </w:p>
    <w:p>
      <w:pPr>
        <w:ind w:left="216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Corporate Governance</w:t>
      </w:r>
    </w:p>
    <w:p>
      <w:pPr>
        <w:spacing w:after="0" w:line="5" w:lineRule="exact"/>
        <w:rPr>
          <w:sz w:val="20"/>
          <w:szCs w:val="20"/>
          <w:color w:val="auto"/>
        </w:rPr>
      </w:pPr>
    </w:p>
    <w:p>
      <w:pPr>
        <w:ind w:left="216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Science and Technology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1A6DBB"/>
        </w:rPr>
        <w:t>Experience</w:t>
      </w:r>
    </w:p>
    <w:p>
      <w:pPr>
        <w:spacing w:after="0" w:line="25" w:lineRule="exact"/>
        <w:rPr>
          <w:sz w:val="20"/>
          <w:szCs w:val="20"/>
          <w:color w:val="auto"/>
        </w:rPr>
      </w:pPr>
    </w:p>
    <w:p>
      <w:pPr>
        <w:ind w:left="220"/>
        <w:spacing w:after="0" w:line="246" w:lineRule="auto"/>
        <w:rPr>
          <w:sz w:val="20"/>
          <w:szCs w:val="20"/>
          <w:color w:val="auto"/>
        </w:rPr>
      </w:pPr>
      <w:r>
        <w:rPr>
          <w:rFonts w:ascii="Arial" w:cs="Arial" w:eastAsia="Arial" w:hAnsi="Arial"/>
          <w:sz w:val="16"/>
          <w:szCs w:val="16"/>
          <w:color w:val="auto"/>
        </w:rPr>
        <w:t>Dr. Rowinsky has served as President of RGenix, Inc., a privately-held life sciences company, since November 2015 and as its Executive Chairman since December 2016. Since June 2016 Dr. Rowinsky has also been the Chief Scientific Officer of Clearpath Development Co., which rapidly advances development stage therapeutic assets to pre-defined human proof-of-concept milestones. From January 2012 to November 2015</w:t>
      </w:r>
    </w:p>
    <w:p>
      <w:pPr>
        <w:spacing w:after="0" w:line="3" w:lineRule="exact"/>
        <w:rPr>
          <w:sz w:val="20"/>
          <w:szCs w:val="20"/>
          <w:color w:val="auto"/>
        </w:rPr>
      </w:pPr>
    </w:p>
    <w:p>
      <w:pPr>
        <w:ind w:left="220" w:right="100"/>
        <w:spacing w:after="0" w:line="247" w:lineRule="auto"/>
        <w:rPr>
          <w:sz w:val="20"/>
          <w:szCs w:val="20"/>
          <w:color w:val="auto"/>
        </w:rPr>
      </w:pPr>
      <w:r>
        <w:rPr>
          <w:rFonts w:ascii="Arial" w:cs="Arial" w:eastAsia="Arial" w:hAnsi="Arial"/>
          <w:sz w:val="16"/>
          <w:szCs w:val="16"/>
          <w:color w:val="auto"/>
        </w:rPr>
        <w:t>Dr. Rowinsky was the Head of Research and Development and Chief Medical Officer of Stemline Therapeutics, Inc., a biotechnology company focusing on the discovery and development of therapeutics targeting cancer stem cells. Dr. Rowinsky is an Adjunct Professor of Medicine at New York University and has been an independent consultant since January 2010. Prior to that, he was the Chief Executive Officer of Primrose Therapeutics, Inc., a start-up biotechnology company focusing on the development of therapeutics for polycystic kidney disease, from August 2010 until its acquisition in September 2011. From 2005 to December 2009 he served as the Chief Medical Officer and Executive Vice President of ImClone Systems Incorporated, a life sciences company. From 1996 to 2004 Dr. Rowinsky held several positions at the Cancer Therapy &amp; Research Center’s Institute for Drug Development, including Director of the Institute and Director of Clinical Research. During that time, he held the SBC Endowed Chair for Early Drug Development and Clinical Professor of Medicine at the University of Texas Health Science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175895</wp:posOffset>
            </wp:positionV>
            <wp:extent cx="685800"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at San Antonio. From 1988 to 1996 Dr. Rowinsky was an Associate Professor of Oncology at the Johns Hopkins School of Medicine and on the staff of the Johns Hopkins Hospital. Dr. Rowinsky also serves as a director of Biophytis, a biotechnology company, and Fortress Biotech Inc. and Verastem, Inc., both biopharmaceutical companies.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Qualifications</w:t>
      </w:r>
    </w:p>
    <w:p>
      <w:pPr>
        <w:spacing w:after="0" w:line="25"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Dr. Rowinsky has extensive research and drug development experience and broad scientific and medical knowledge.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Other Current Public Company Boards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Biophytis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Fortress Biotech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Verastem, Inc.</w:t>
      </w:r>
    </w:p>
    <w:p>
      <w:pPr>
        <w:spacing w:after="0" w:line="93"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1A6DBB"/>
        </w:rPr>
        <w:t>Former Public Company Directorships Held in the Past Five Years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BIND Therapeutics,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Navidea Biopharmaceuticals, Inc.</w:t>
      </w:r>
    </w:p>
    <w:p>
      <w:pPr>
        <w:spacing w:after="0" w:line="1587"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120"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-62865</wp:posOffset>
            </wp:positionV>
            <wp:extent cx="102870" cy="946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52"/>
        </w:numPr>
        <w:rPr>
          <w:rFonts w:ascii="Arial" w:cs="Arial" w:eastAsia="Arial" w:hAnsi="Arial"/>
          <w:sz w:val="90"/>
          <w:szCs w:val="90"/>
          <w:color w:val="1A6DBB"/>
        </w:rPr>
      </w:pPr>
      <w:r>
        <w:rPr>
          <w:rFonts w:ascii="Arial" w:cs="Arial" w:eastAsia="Arial" w:hAnsi="Arial"/>
          <w:sz w:val="41"/>
          <w:szCs w:val="41"/>
          <w:color w:val="1A6DBB"/>
        </w:rPr>
        <w:t xml:space="preserve">Board of Directors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428625</wp:posOffset>
            </wp:positionV>
            <wp:extent cx="3353435" cy="1885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5343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FFFFF"/>
        </w:rPr>
        <w:t>Lynn Schenk, J.D.</w:t>
      </w:r>
    </w:p>
    <w:p>
      <w:pPr>
        <w:spacing w:after="0" w:line="189"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1A6DBB"/>
        </w:rPr>
        <w:t xml:space="preserve">Director Since: </w:t>
      </w:r>
      <w:r>
        <w:rPr>
          <w:rFonts w:ascii="Arial" w:cs="Arial" w:eastAsia="Arial" w:hAnsi="Arial"/>
          <w:sz w:val="16"/>
          <w:szCs w:val="16"/>
          <w:color w:val="000000"/>
        </w:rPr>
        <w:t>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-104775</wp:posOffset>
            </wp:positionV>
            <wp:extent cx="848995" cy="10636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48995" cy="1063625"/>
                    </a:xfrm>
                    <a:prstGeom prst="rect">
                      <a:avLst/>
                    </a:prstGeom>
                    <a:noFill/>
                  </pic:spPr>
                </pic:pic>
              </a:graphicData>
            </a:graphic>
          </wp:anchor>
        </w:drawing>
      </w:r>
    </w:p>
    <w:p>
      <w:pPr>
        <w:spacing w:after="0" w:line="5"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1A6DBB"/>
        </w:rPr>
        <w:t xml:space="preserve">Age: </w:t>
      </w:r>
      <w:r>
        <w:rPr>
          <w:rFonts w:ascii="Arial" w:cs="Arial" w:eastAsia="Arial" w:hAnsi="Arial"/>
          <w:sz w:val="16"/>
          <w:szCs w:val="16"/>
          <w:color w:val="000000"/>
        </w:rPr>
        <w:t>74</w:t>
      </w:r>
    </w:p>
    <w:p>
      <w:pPr>
        <w:spacing w:after="0" w:line="5"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1A6DBB"/>
        </w:rPr>
        <w:t>Biogen Board Committees:</w:t>
      </w:r>
    </w:p>
    <w:p>
      <w:pPr>
        <w:spacing w:after="0" w:line="5" w:lineRule="exact"/>
        <w:rPr>
          <w:sz w:val="20"/>
          <w:szCs w:val="20"/>
          <w:color w:val="auto"/>
        </w:rPr>
      </w:pPr>
    </w:p>
    <w:p>
      <w:pPr>
        <w:ind w:left="216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Risk (Chair)</w:t>
      </w:r>
    </w:p>
    <w:p>
      <w:pPr>
        <w:spacing w:after="0" w:line="5" w:lineRule="exact"/>
        <w:rPr>
          <w:sz w:val="20"/>
          <w:szCs w:val="20"/>
          <w:color w:val="auto"/>
        </w:rPr>
      </w:pPr>
    </w:p>
    <w:p>
      <w:pPr>
        <w:ind w:left="2300" w:right="6580" w:hanging="144"/>
        <w:spacing w:after="0" w:line="260" w:lineRule="auto"/>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Compensation and Management</w:t>
      </w:r>
      <w:r>
        <w:rPr>
          <w:rFonts w:ascii="Arial" w:cs="Arial" w:eastAsia="Arial" w:hAnsi="Arial"/>
          <w:sz w:val="16"/>
          <w:szCs w:val="16"/>
          <w:color w:val="1A6DBB"/>
        </w:rPr>
        <w:t xml:space="preserve"> </w:t>
      </w:r>
      <w:r>
        <w:rPr>
          <w:rFonts w:ascii="Arial" w:cs="Arial" w:eastAsia="Arial" w:hAnsi="Arial"/>
          <w:sz w:val="16"/>
          <w:szCs w:val="16"/>
          <w:color w:val="000000"/>
        </w:rPr>
        <w:t>Development</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1A6DBB"/>
        </w:rPr>
        <w:t>Experience</w:t>
      </w:r>
    </w:p>
    <w:p>
      <w:pPr>
        <w:spacing w:after="0" w:line="25" w:lineRule="exact"/>
        <w:rPr>
          <w:sz w:val="20"/>
          <w:szCs w:val="20"/>
          <w:color w:val="auto"/>
        </w:rPr>
      </w:pPr>
    </w:p>
    <w:p>
      <w:pPr>
        <w:ind w:left="200"/>
        <w:spacing w:after="0" w:line="247" w:lineRule="auto"/>
        <w:rPr>
          <w:sz w:val="20"/>
          <w:szCs w:val="20"/>
          <w:color w:val="auto"/>
        </w:rPr>
      </w:pPr>
      <w:r>
        <w:rPr>
          <w:rFonts w:ascii="Arial" w:cs="Arial" w:eastAsia="Arial" w:hAnsi="Arial"/>
          <w:sz w:val="16"/>
          <w:szCs w:val="16"/>
          <w:color w:val="auto"/>
        </w:rPr>
        <w:t>Ms. Schenk served as a director of the Company from 1995 to 2003 during the period the Company was operated as IDEC Pharmaceuticals, and has served as a director since 2003 following IDEC’s merger with Biogen, Inc. Ms. Schenk is an attorney in private practice with extensive public policy and business experience. She is also a member of the Board of Overseers of the Scripps Research Institute, a director of the California High Speed Rail Authority Board and a trustee of the University of California San Diego Foundation. From 1999 to 2003 she served as Chief of Staff to the Governor of California, during which time she led the effort to create the Institutes for Science and Innovation at the University of California. She headed the State’s Executive Branch risk management team post 9/11 and during the California energy crisis. From 1993 to 1995 Ms. Schenk was a Member of the United States House of Representatives, representing San Diego, California and served on the House Energy &amp; Commerce Committee with a special emphasis on biotechnology. From 1980 to 1983 she was the California Secretary of Business, Transportation and Housing, during which time she formed the California Commission on Industrial Innovation. Ms. Schenk is a member of the Board of Directors of Sempra Energy, an energy services and development company, and serves on the Corporate Governance Committee, the Executive Committee and is the Chair of the Environmental Health, Safety and Technology Committee. Ms. Schenk is also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175260</wp:posOffset>
            </wp:positionV>
            <wp:extent cx="685800" cy="154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National Association of Corporate Directors (NACD) Board Leadership Fellow, a member of the NACD Advisory Council on Risk Oversight and a Fellow of the UCLA Luskin School of Public Affairs. In 2017 Ms. Schenk was selected as an NACD Directorship 100 honoree.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Qualifications</w:t>
      </w:r>
    </w:p>
    <w:p>
      <w:pPr>
        <w:spacing w:after="0" w:line="2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Ms. Schenk’s strong public policy, government, legal and private sector experience provides vital insights to our Board of Directors about significant issues affecting the highly regulated life sciences industry. She brings public sector operations and management expertise to our Board of Directors. She has demonstrated her commitment to boardroom excellence by completing the NACD’s comprehensive program of study for corporate directors. She completed the NACD Cyber Risk Certificate course and earned the CERT Certificate in Cybersecurity Oversight, issued by the CERT Division of the Software Engineering Institute at Carnegie Mellon University. She supplements her skill sets through ongoing engagement with the director community and access to leading practices.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Other Current Public Company Boards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Sempra Energy</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Former Public Company Directorships Held in the Past Five Years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None</w:t>
      </w:r>
    </w:p>
    <w:p>
      <w:pPr>
        <w:spacing w:after="0" w:line="643" w:lineRule="exact"/>
        <w:rPr>
          <w:sz w:val="20"/>
          <w:szCs w:val="20"/>
          <w:color w:val="auto"/>
        </w:rPr>
      </w:pPr>
    </w:p>
    <w:p>
      <w:pPr>
        <w:sectPr>
          <w:pgSz w:w="11900" w:h="16838" w:orient="portrait"/>
          <w:cols w:equalWidth="0" w:num="2">
            <w:col w:w="5460" w:space="360"/>
            <w:col w:w="5400"/>
          </w:cols>
          <w:pgMar w:left="240" w:top="459" w:right="439" w:bottom="1440" w:gutter="0" w:footer="0" w:header="0"/>
          <w:type w:val="continuous"/>
        </w:sectPr>
      </w:pPr>
    </w:p>
    <w:p>
      <w:pPr>
        <w:spacing w:after="0" w:line="118"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-62865</wp:posOffset>
            </wp:positionV>
            <wp:extent cx="102870" cy="946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56"/>
        </w:numPr>
        <w:rPr>
          <w:rFonts w:ascii="Arial" w:cs="Arial" w:eastAsia="Arial" w:hAnsi="Arial"/>
          <w:sz w:val="90"/>
          <w:szCs w:val="90"/>
          <w:color w:val="1A6DBB"/>
        </w:rPr>
      </w:pPr>
      <w:r>
        <w:rPr>
          <w:rFonts w:ascii="Arial" w:cs="Arial" w:eastAsia="Arial" w:hAnsi="Arial"/>
          <w:sz w:val="41"/>
          <w:szCs w:val="41"/>
          <w:color w:val="1A6DBB"/>
        </w:rPr>
        <w:t xml:space="preserve">Board of Directors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220" w:type="dxa"/>
        <w:tblCellMar>
          <w:top w:w="0" w:type="dxa"/>
          <w:left w:w="0" w:type="dxa"/>
          <w:bottom w:w="0" w:type="dxa"/>
          <w:right w:w="0" w:type="dxa"/>
        </w:tblCellMar>
      </w:tblPr>
      <w:tr>
        <w:trPr>
          <w:trHeight w:val="297"/>
        </w:trPr>
        <w:tc>
          <w:tcPr>
            <w:tcW w:w="5280" w:type="dxa"/>
            <w:vAlign w:val="bottom"/>
            <w:shd w:val="clear" w:color="auto" w:fill="1A6DBB"/>
          </w:tcPr>
          <w:p>
            <w:pPr>
              <w:ind w:left="140"/>
              <w:spacing w:after="0"/>
              <w:rPr>
                <w:sz w:val="20"/>
                <w:szCs w:val="20"/>
                <w:color w:val="auto"/>
              </w:rPr>
            </w:pPr>
            <w:r>
              <w:rPr>
                <w:rFonts w:ascii="Arial" w:cs="Arial" w:eastAsia="Arial" w:hAnsi="Arial"/>
                <w:sz w:val="18"/>
                <w:szCs w:val="18"/>
                <w:b w:val="1"/>
                <w:bCs w:val="1"/>
                <w:color w:val="FFFFFF"/>
              </w:rPr>
              <w:t>Stephen A. Sherwin, M.D.</w:t>
            </w:r>
          </w:p>
        </w:tc>
        <w:tc>
          <w:tcPr>
            <w:tcW w:w="320" w:type="dxa"/>
            <w:vAlign w:val="bottom"/>
          </w:tcPr>
          <w:p>
            <w:pPr>
              <w:spacing w:after="0"/>
              <w:rPr>
                <w:sz w:val="24"/>
                <w:szCs w:val="24"/>
                <w:color w:val="auto"/>
              </w:rPr>
            </w:pPr>
          </w:p>
        </w:tc>
        <w:tc>
          <w:tcPr>
            <w:tcW w:w="5400" w:type="dxa"/>
            <w:vAlign w:val="bottom"/>
            <w:shd w:val="clear" w:color="auto" w:fill="1A6DBB"/>
          </w:tcPr>
          <w:p>
            <w:pPr>
              <w:ind w:left="180"/>
              <w:spacing w:after="0"/>
              <w:rPr>
                <w:sz w:val="20"/>
                <w:szCs w:val="20"/>
                <w:color w:val="auto"/>
              </w:rPr>
            </w:pPr>
            <w:r>
              <w:rPr>
                <w:rFonts w:ascii="Arial" w:cs="Arial" w:eastAsia="Arial" w:hAnsi="Arial"/>
                <w:sz w:val="18"/>
                <w:szCs w:val="18"/>
                <w:b w:val="1"/>
                <w:bCs w:val="1"/>
                <w:color w:val="FFFFFF"/>
              </w:rPr>
              <w:t>Michel Vounatsos</w:t>
            </w:r>
          </w:p>
        </w:tc>
      </w:tr>
      <w:tr>
        <w:trPr>
          <w:trHeight w:val="333"/>
        </w:trPr>
        <w:tc>
          <w:tcPr>
            <w:tcW w:w="5280" w:type="dxa"/>
            <w:vAlign w:val="bottom"/>
          </w:tcPr>
          <w:p>
            <w:pPr>
              <w:ind w:left="1940"/>
              <w:spacing w:after="0"/>
              <w:rPr>
                <w:sz w:val="20"/>
                <w:szCs w:val="20"/>
                <w:color w:val="auto"/>
              </w:rPr>
            </w:pPr>
            <w:r>
              <w:rPr>
                <w:rFonts w:ascii="Arial" w:cs="Arial" w:eastAsia="Arial" w:hAnsi="Arial"/>
                <w:sz w:val="16"/>
                <w:szCs w:val="16"/>
                <w:b w:val="1"/>
                <w:bCs w:val="1"/>
                <w:color w:val="1A6DBB"/>
              </w:rPr>
              <w:t xml:space="preserve">Director Since: </w:t>
            </w:r>
            <w:r>
              <w:rPr>
                <w:rFonts w:ascii="Arial" w:cs="Arial" w:eastAsia="Arial" w:hAnsi="Arial"/>
                <w:sz w:val="16"/>
                <w:szCs w:val="16"/>
                <w:color w:val="000000"/>
              </w:rPr>
              <w:t>2010</w:t>
            </w:r>
          </w:p>
        </w:tc>
        <w:tc>
          <w:tcPr>
            <w:tcW w:w="320" w:type="dxa"/>
            <w:vAlign w:val="bottom"/>
          </w:tcPr>
          <w:p>
            <w:pPr>
              <w:spacing w:after="0"/>
              <w:rPr>
                <w:sz w:val="24"/>
                <w:szCs w:val="24"/>
                <w:color w:val="auto"/>
              </w:rPr>
            </w:pPr>
          </w:p>
        </w:tc>
        <w:tc>
          <w:tcPr>
            <w:tcW w:w="5400" w:type="dxa"/>
            <w:vAlign w:val="bottom"/>
          </w:tcPr>
          <w:p>
            <w:pPr>
              <w:ind w:left="2000"/>
              <w:spacing w:after="0"/>
              <w:rPr>
                <w:sz w:val="20"/>
                <w:szCs w:val="20"/>
                <w:color w:val="auto"/>
              </w:rPr>
            </w:pPr>
            <w:r>
              <w:rPr>
                <w:rFonts w:ascii="Arial" w:cs="Arial" w:eastAsia="Arial" w:hAnsi="Arial"/>
                <w:sz w:val="16"/>
                <w:szCs w:val="16"/>
                <w:b w:val="1"/>
                <w:bCs w:val="1"/>
                <w:color w:val="1A6DBB"/>
              </w:rPr>
              <w:t xml:space="preserve">Director Since: </w:t>
            </w:r>
            <w:r>
              <w:rPr>
                <w:rFonts w:ascii="Arial" w:cs="Arial" w:eastAsia="Arial" w:hAnsi="Arial"/>
                <w:sz w:val="16"/>
                <w:szCs w:val="16"/>
                <w:color w:val="000000"/>
              </w:rPr>
              <w:t>2017</w:t>
            </w:r>
          </w:p>
        </w:tc>
      </w:tr>
      <w:tr>
        <w:trPr>
          <w:trHeight w:val="189"/>
        </w:trPr>
        <w:tc>
          <w:tcPr>
            <w:tcW w:w="5280" w:type="dxa"/>
            <w:vAlign w:val="bottom"/>
          </w:tcPr>
          <w:p>
            <w:pPr>
              <w:ind w:left="1940"/>
              <w:spacing w:after="0"/>
              <w:rPr>
                <w:sz w:val="20"/>
                <w:szCs w:val="20"/>
                <w:color w:val="auto"/>
              </w:rPr>
            </w:pPr>
            <w:r>
              <w:rPr>
                <w:rFonts w:ascii="Arial" w:cs="Arial" w:eastAsia="Arial" w:hAnsi="Arial"/>
                <w:sz w:val="16"/>
                <w:szCs w:val="16"/>
                <w:b w:val="1"/>
                <w:bCs w:val="1"/>
                <w:color w:val="1A6DBB"/>
              </w:rPr>
              <w:t xml:space="preserve">Age: </w:t>
            </w:r>
            <w:r>
              <w:rPr>
                <w:rFonts w:ascii="Arial" w:cs="Arial" w:eastAsia="Arial" w:hAnsi="Arial"/>
                <w:sz w:val="16"/>
                <w:szCs w:val="16"/>
                <w:color w:val="000000"/>
              </w:rPr>
              <w:t>70</w:t>
            </w:r>
          </w:p>
        </w:tc>
        <w:tc>
          <w:tcPr>
            <w:tcW w:w="320" w:type="dxa"/>
            <w:vAlign w:val="bottom"/>
          </w:tcPr>
          <w:p>
            <w:pPr>
              <w:spacing w:after="0"/>
              <w:rPr>
                <w:sz w:val="16"/>
                <w:szCs w:val="16"/>
                <w:color w:val="auto"/>
              </w:rPr>
            </w:pPr>
          </w:p>
        </w:tc>
        <w:tc>
          <w:tcPr>
            <w:tcW w:w="5400" w:type="dxa"/>
            <w:vAlign w:val="bottom"/>
          </w:tcPr>
          <w:p>
            <w:pPr>
              <w:ind w:left="2000"/>
              <w:spacing w:after="0"/>
              <w:rPr>
                <w:sz w:val="20"/>
                <w:szCs w:val="20"/>
                <w:color w:val="auto"/>
              </w:rPr>
            </w:pPr>
            <w:r>
              <w:rPr>
                <w:rFonts w:ascii="Arial" w:cs="Arial" w:eastAsia="Arial" w:hAnsi="Arial"/>
                <w:sz w:val="16"/>
                <w:szCs w:val="16"/>
                <w:b w:val="1"/>
                <w:bCs w:val="1"/>
                <w:color w:val="1A6DBB"/>
              </w:rPr>
              <w:t xml:space="preserve">Age: </w:t>
            </w:r>
            <w:r>
              <w:rPr>
                <w:rFonts w:ascii="Arial" w:cs="Arial" w:eastAsia="Arial" w:hAnsi="Arial"/>
                <w:sz w:val="16"/>
                <w:szCs w:val="16"/>
                <w:color w:val="000000"/>
              </w:rPr>
              <w:t>57</w:t>
            </w:r>
          </w:p>
        </w:tc>
      </w:tr>
      <w:tr>
        <w:trPr>
          <w:trHeight w:val="209"/>
        </w:trPr>
        <w:tc>
          <w:tcPr>
            <w:tcW w:w="5280" w:type="dxa"/>
            <w:vAlign w:val="bottom"/>
          </w:tcPr>
          <w:p>
            <w:pPr>
              <w:ind w:left="1940"/>
              <w:spacing w:after="0"/>
              <w:rPr>
                <w:sz w:val="20"/>
                <w:szCs w:val="20"/>
                <w:color w:val="auto"/>
              </w:rPr>
            </w:pPr>
            <w:r>
              <w:rPr>
                <w:rFonts w:ascii="Arial" w:cs="Arial" w:eastAsia="Arial" w:hAnsi="Arial"/>
                <w:sz w:val="16"/>
                <w:szCs w:val="16"/>
                <w:b w:val="1"/>
                <w:bCs w:val="1"/>
                <w:color w:val="1A6DBB"/>
              </w:rPr>
              <w:t>Biogen Board Committees:</w:t>
            </w:r>
          </w:p>
        </w:tc>
        <w:tc>
          <w:tcPr>
            <w:tcW w:w="320" w:type="dxa"/>
            <w:vAlign w:val="bottom"/>
          </w:tcPr>
          <w:p>
            <w:pPr>
              <w:spacing w:after="0"/>
              <w:rPr>
                <w:sz w:val="18"/>
                <w:szCs w:val="18"/>
                <w:color w:val="auto"/>
              </w:rPr>
            </w:pPr>
          </w:p>
        </w:tc>
        <w:tc>
          <w:tcPr>
            <w:tcW w:w="5400" w:type="dxa"/>
            <w:vAlign w:val="bottom"/>
          </w:tcPr>
          <w:p>
            <w:pPr>
              <w:ind w:left="2000"/>
              <w:spacing w:after="0"/>
              <w:rPr>
                <w:sz w:val="20"/>
                <w:szCs w:val="20"/>
                <w:color w:val="auto"/>
              </w:rPr>
            </w:pPr>
            <w:r>
              <w:rPr>
                <w:rFonts w:ascii="Arial" w:cs="Arial" w:eastAsia="Arial" w:hAnsi="Arial"/>
                <w:sz w:val="16"/>
                <w:szCs w:val="16"/>
                <w:b w:val="1"/>
                <w:bCs w:val="1"/>
                <w:color w:val="1A6DBB"/>
              </w:rPr>
              <w:t>Biogen Board Committees:</w:t>
            </w:r>
          </w:p>
        </w:tc>
      </w:tr>
      <w:tr>
        <w:trPr>
          <w:trHeight w:val="189"/>
        </w:trPr>
        <w:tc>
          <w:tcPr>
            <w:tcW w:w="5280" w:type="dxa"/>
            <w:vAlign w:val="bottom"/>
          </w:tcPr>
          <w:p>
            <w:pPr>
              <w:ind w:left="194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Finance</w:t>
            </w:r>
          </w:p>
        </w:tc>
        <w:tc>
          <w:tcPr>
            <w:tcW w:w="320" w:type="dxa"/>
            <w:vAlign w:val="bottom"/>
          </w:tcPr>
          <w:p>
            <w:pPr>
              <w:spacing w:after="0"/>
              <w:rPr>
                <w:sz w:val="16"/>
                <w:szCs w:val="16"/>
                <w:color w:val="auto"/>
              </w:rPr>
            </w:pPr>
          </w:p>
        </w:tc>
        <w:tc>
          <w:tcPr>
            <w:tcW w:w="5400" w:type="dxa"/>
            <w:vAlign w:val="bottom"/>
          </w:tcPr>
          <w:p>
            <w:pPr>
              <w:ind w:left="200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None</w:t>
            </w:r>
          </w:p>
        </w:tc>
      </w:tr>
      <w:tr>
        <w:trPr>
          <w:trHeight w:val="189"/>
        </w:trPr>
        <w:tc>
          <w:tcPr>
            <w:tcW w:w="5280" w:type="dxa"/>
            <w:vAlign w:val="bottom"/>
          </w:tcPr>
          <w:p>
            <w:pPr>
              <w:ind w:left="194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Risk</w:t>
            </w:r>
          </w:p>
        </w:tc>
        <w:tc>
          <w:tcPr>
            <w:tcW w:w="320" w:type="dxa"/>
            <w:vAlign w:val="bottom"/>
          </w:tcPr>
          <w:p>
            <w:pPr>
              <w:spacing w:after="0"/>
              <w:rPr>
                <w:sz w:val="16"/>
                <w:szCs w:val="16"/>
                <w:color w:val="auto"/>
              </w:rPr>
            </w:pPr>
          </w:p>
        </w:tc>
        <w:tc>
          <w:tcPr>
            <w:tcW w:w="5400" w:type="dxa"/>
            <w:vAlign w:val="bottom"/>
          </w:tcPr>
          <w:p>
            <w:pPr>
              <w:spacing w:after="0"/>
              <w:rPr>
                <w:sz w:val="16"/>
                <w:szCs w:val="16"/>
                <w:color w:val="auto"/>
              </w:rPr>
            </w:pPr>
          </w:p>
        </w:tc>
      </w:tr>
      <w:tr>
        <w:trPr>
          <w:trHeight w:val="195"/>
        </w:trPr>
        <w:tc>
          <w:tcPr>
            <w:tcW w:w="5280" w:type="dxa"/>
            <w:vAlign w:val="bottom"/>
          </w:tcPr>
          <w:p>
            <w:pPr>
              <w:ind w:left="194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Science and Technology</w:t>
            </w:r>
          </w:p>
        </w:tc>
        <w:tc>
          <w:tcPr>
            <w:tcW w:w="320" w:type="dxa"/>
            <w:vAlign w:val="bottom"/>
          </w:tcPr>
          <w:p>
            <w:pPr>
              <w:spacing w:after="0"/>
              <w:rPr>
                <w:sz w:val="16"/>
                <w:szCs w:val="16"/>
                <w:color w:val="auto"/>
              </w:rPr>
            </w:pPr>
          </w:p>
        </w:tc>
        <w:tc>
          <w:tcPr>
            <w:tcW w:w="54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-724535</wp:posOffset>
            </wp:positionV>
            <wp:extent cx="848995" cy="10636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48995" cy="106362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-724535</wp:posOffset>
            </wp:positionV>
            <wp:extent cx="848995" cy="10636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48995" cy="106362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1A6DBB"/>
        </w:rPr>
        <w:t>Experience</w:t>
      </w:r>
    </w:p>
    <w:p>
      <w:pPr>
        <w:spacing w:after="0" w:line="25" w:lineRule="exact"/>
        <w:rPr>
          <w:sz w:val="20"/>
          <w:szCs w:val="20"/>
          <w:color w:val="auto"/>
        </w:rPr>
      </w:pPr>
    </w:p>
    <w:p>
      <w:pPr>
        <w:ind w:left="220"/>
        <w:spacing w:after="0" w:line="247" w:lineRule="auto"/>
        <w:rPr>
          <w:sz w:val="20"/>
          <w:szCs w:val="20"/>
          <w:color w:val="auto"/>
        </w:rPr>
      </w:pPr>
      <w:r>
        <w:rPr>
          <w:rFonts w:ascii="Arial" w:cs="Arial" w:eastAsia="Arial" w:hAnsi="Arial"/>
          <w:sz w:val="16"/>
          <w:szCs w:val="16"/>
          <w:color w:val="auto"/>
        </w:rPr>
        <w:t>Dr. Sherwin currently divides his time between advisory work in the life sciences industry and patient care and teaching in his specialty of medical oncology. He is a Clinical Professor of Medicine at the University of California, San Francisco and a volunteer Attending Physician in Hematology-Oncology at the Zuckerberg San Francisco General Hospital. Dr. Sherwin also currently serves as a venture partner with Third Rock Ventures, LLC. He previously served as the Chairman of Ceregene, Inc., a life sciences company that he co-founded, from 2001 until its acquisition by Sangamo Biosciences, Inc. in 2013. He was also a co-founder and chairman of Abgenix, Inc., an antibody company which was acquired by Amgen Inc. in 2006. From 1990 to October 2009 he served as the Chief Executive Officer of Cell Genesys, Inc., a life sciences company, and was its Chairman from 1994 until the company’s merger with BioSante Pharmaceuticals, Inc. (now ANI Pharmaceuticals, Inc.) in October 2009. Prior to that, he held various positions at Genentech, Inc., a life sciences company, most recently as Vice President, Clinical Research. In addition, Dr. Sherwin previously served on the board of directors of the Biotechnology Industry Organization from 2001 to 2014 and as its chairman from 2009 to 2011. Dr. Sherwin currently serves as a director of Aduro Biotech, Inc., Neon Therapeutics Inc. and Neurocrine Biosciences, Inc., all of which are life sciences companies.</w:t>
      </w:r>
    </w:p>
    <w:p>
      <w:pPr>
        <w:spacing w:after="0" w:line="27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1A6DBB"/>
        </w:rPr>
        <w:t>Qualifications</w:t>
      </w:r>
    </w:p>
    <w:p>
      <w:pPr>
        <w:spacing w:after="0" w:line="25" w:lineRule="exact"/>
        <w:rPr>
          <w:sz w:val="20"/>
          <w:szCs w:val="20"/>
          <w:color w:val="auto"/>
        </w:rPr>
      </w:pPr>
    </w:p>
    <w:p>
      <w:pPr>
        <w:ind w:left="220" w:right="80"/>
        <w:spacing w:after="0" w:line="251" w:lineRule="auto"/>
        <w:rPr>
          <w:sz w:val="20"/>
          <w:szCs w:val="20"/>
          <w:color w:val="auto"/>
        </w:rPr>
      </w:pPr>
      <w:r>
        <w:rPr>
          <w:rFonts w:ascii="Arial" w:cs="Arial" w:eastAsia="Arial" w:hAnsi="Arial"/>
          <w:sz w:val="16"/>
          <w:szCs w:val="16"/>
          <w:color w:val="auto"/>
        </w:rPr>
        <w:t>Dr. Sherwin has extensive knowledge of the life sciences industry and brings more than 30 years of experience in senior leadership positions at large and small publicly traded life sciences companies to our Board of Directors.</w:t>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1A6DBB"/>
        </w:rPr>
        <w:t>Other Current Public Company Boards</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Aduro Biotech, Inc.</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Neon Therapeutics, Inc.</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Neurocrine Biosciences, Inc.</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1A6DBB"/>
        </w:rPr>
        <w:t>Former Public Company Directorships Held in the Past Five Years</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Rigel Pharmaceuticals, Inc.</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Verastem, Inc.</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Vical,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Experience</w:t>
      </w:r>
    </w:p>
    <w:p>
      <w:pPr>
        <w:spacing w:after="0" w:line="25" w:lineRule="exact"/>
        <w:rPr>
          <w:sz w:val="20"/>
          <w:szCs w:val="20"/>
          <w:color w:val="auto"/>
        </w:rPr>
      </w:pPr>
    </w:p>
    <w:p>
      <w:pPr>
        <w:ind w:right="260"/>
        <w:spacing w:after="0" w:line="246" w:lineRule="auto"/>
        <w:rPr>
          <w:sz w:val="20"/>
          <w:szCs w:val="20"/>
          <w:color w:val="auto"/>
        </w:rPr>
      </w:pPr>
      <w:r>
        <w:rPr>
          <w:rFonts w:ascii="Arial" w:cs="Arial" w:eastAsia="Arial" w:hAnsi="Arial"/>
          <w:sz w:val="16"/>
          <w:szCs w:val="16"/>
          <w:color w:val="auto"/>
        </w:rPr>
        <w:t>Mr. Vounatsos has served as our Chief Executive Officer and one of our directors since January 2017. Prior to that, from April 2016 until his appointment as our Chief Executive Officer, he served as our Executive Vice President, Chief Commercial Officer. Prior to joining Biogen,</w:t>
      </w:r>
    </w:p>
    <w:p>
      <w:pPr>
        <w:spacing w:after="0" w:line="2"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Mr. Vounatsos spent 20 years at Merck &amp; Co., Inc., a pharmaceutical company, where he most recently served as President, Primary Care, Customer Business Line and Merck Customer Centricity. In this role, he led Merck’s global primary care business unit, a role which encompassed Merck’s cardiology-metabolic, general medicine, women’s health and biosimilars groups and developed and instituted a strategic framework for enhancing the company’s relationships with key constituents, including the most significant providers, payers and retailers and the world’s largest governments. Mr. Vounatsos previously held leadership positions across Europe and in China for Merck. Prior to that, Mr. Vounatsos held management positions at Ciba-Geigy, a pharmaceutical company.</w:t>
      </w:r>
    </w:p>
    <w:p>
      <w:pPr>
        <w:spacing w:after="0" w:line="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Mr. Vounatsos currently serves on the advisory board of Tsinghua University School of Pharmaceutical Sciences and as a member of the MIT Presidential CEO Advisory Board. Mr. Vounatsos received his C.S.C.T. certificate in Medicine from the Universite Victor Segalen, Bordeaux II, France, and his M.B.A. from the HEC School of Management in Paris.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Qualifications</w:t>
      </w:r>
    </w:p>
    <w:p>
      <w:pPr>
        <w:spacing w:after="0" w:line="25"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Mr. Vounatsos has significant knowledge and experience with respect to the biotechnology, healthcare and pharmaceutical industries, a comprehensive global leadership background resulting from service as an executive in the pharmaceutical industry and studied medicine and business as part of his educational background.</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1A6DBB"/>
        </w:rPr>
        <w:t>Other Current Public Company Boards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None</w:t>
      </w:r>
    </w:p>
    <w:p>
      <w:pPr>
        <w:spacing w:after="0" w:line="93"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1A6DBB"/>
        </w:rPr>
        <w:t>Former Public Company Directorships Held in the Past Five Years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-3561080</wp:posOffset>
            </wp:positionH>
            <wp:positionV relativeFrom="paragraph">
              <wp:posOffset>782320</wp:posOffset>
            </wp:positionV>
            <wp:extent cx="6997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958215</wp:posOffset>
            </wp:positionV>
            <wp:extent cx="7023100" cy="3168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023100" cy="316865"/>
                    </a:xfrm>
                    <a:prstGeom prst="rect">
                      <a:avLst/>
                    </a:prstGeom>
                    <a:noFill/>
                  </pic:spPr>
                </pic:pic>
              </a:graphicData>
            </a:graphic>
          </wp:anchor>
        </w:drawing>
      </w:r>
    </w:p>
    <w:p>
      <w:pPr>
        <w:spacing w:after="0" w:line="1145"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i w:val="1"/>
          <w:iCs w:val="1"/>
          <w:color w:val="auto"/>
        </w:rPr>
        <w:t xml:space="preserve">OUR BOARD OF DIRECTORS RECOMMENDS THAT STOCKHOLDERS VOTE </w:t>
      </w:r>
      <w:r>
        <w:rPr>
          <w:rFonts w:ascii="Arial" w:cs="Arial" w:eastAsia="Arial" w:hAnsi="Arial"/>
          <w:sz w:val="16"/>
          <w:szCs w:val="16"/>
          <w:b w:val="1"/>
          <w:bCs w:val="1"/>
          <w:i w:val="1"/>
          <w:iCs w:val="1"/>
          <w:color w:val="1A6DBB"/>
        </w:rPr>
        <w:t>FOR</w:t>
      </w:r>
      <w:r>
        <w:rPr>
          <w:rFonts w:ascii="Arial" w:cs="Arial" w:eastAsia="Arial" w:hAnsi="Arial"/>
          <w:sz w:val="16"/>
          <w:szCs w:val="16"/>
          <w:b w:val="1"/>
          <w:bCs w:val="1"/>
          <w:i w:val="1"/>
          <w:iCs w:val="1"/>
          <w:color w:val="auto"/>
        </w:rPr>
        <w:t xml:space="preserve"> THE ELECTION OF EACH</w:t>
      </w:r>
    </w:p>
    <w:p>
      <w:pPr>
        <w:spacing w:after="0" w:line="25"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i w:val="1"/>
          <w:iCs w:val="1"/>
          <w:color w:val="auto"/>
        </w:rPr>
        <w:t>DIRECTOR NOMINEE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122555</wp:posOffset>
            </wp:positionV>
            <wp:extent cx="685800" cy="154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-71120</wp:posOffset>
            </wp:positionV>
            <wp:extent cx="102870" cy="946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61"/>
        </w:numPr>
        <w:rPr>
          <w:rFonts w:ascii="Arial" w:cs="Arial" w:eastAsia="Arial" w:hAnsi="Arial"/>
          <w:sz w:val="90"/>
          <w:szCs w:val="90"/>
          <w:color w:val="1A6DBB"/>
        </w:rPr>
      </w:pPr>
      <w:r>
        <w:rPr>
          <w:rFonts w:ascii="Arial" w:cs="Arial" w:eastAsia="Arial" w:hAnsi="Arial"/>
          <w:sz w:val="41"/>
          <w:szCs w:val="41"/>
          <w:color w:val="1A6DBB"/>
        </w:rPr>
        <w:t xml:space="preserve">Board of Directors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402590</wp:posOffset>
            </wp:positionV>
            <wp:extent cx="6997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1A6DBB"/>
        </w:rPr>
        <w:t>Committees and Meetings</w:t>
      </w:r>
    </w:p>
    <w:p>
      <w:pPr>
        <w:spacing w:after="0" w:line="133" w:lineRule="exact"/>
        <w:rPr>
          <w:sz w:val="20"/>
          <w:szCs w:val="20"/>
          <w:color w:val="auto"/>
        </w:rPr>
      </w:pPr>
    </w:p>
    <w:p>
      <w:pPr>
        <w:ind w:left="200" w:right="60"/>
        <w:spacing w:after="0" w:line="250" w:lineRule="auto"/>
        <w:rPr>
          <w:sz w:val="20"/>
          <w:szCs w:val="20"/>
          <w:color w:val="auto"/>
        </w:rPr>
      </w:pPr>
      <w:r>
        <w:rPr>
          <w:rFonts w:ascii="Arial" w:cs="Arial" w:eastAsia="Arial" w:hAnsi="Arial"/>
          <w:sz w:val="16"/>
          <w:szCs w:val="16"/>
          <w:color w:val="auto"/>
        </w:rPr>
        <w:t xml:space="preserve">Our Board of Directors met 12 times in 2018. Our Board of Directors also has six standing committees. The principal functions of each committee, the committee composition in 2018 and number of meetings held in 2018 are described in the table below. The Chair of each committee periodically reports to our Board of Directors on committee deliberations and decisions. Each committee’s charter is posted on our website, </w:t>
      </w:r>
      <w:r>
        <w:rPr>
          <w:rFonts w:ascii="Arial" w:cs="Arial" w:eastAsia="Arial" w:hAnsi="Arial"/>
          <w:sz w:val="16"/>
          <w:szCs w:val="16"/>
          <w:i w:val="1"/>
          <w:iCs w:val="1"/>
          <w:color w:val="auto"/>
        </w:rPr>
        <w:t>www.biogen.com</w:t>
      </w:r>
      <w:r>
        <w:rPr>
          <w:rFonts w:ascii="Arial" w:cs="Arial" w:eastAsia="Arial" w:hAnsi="Arial"/>
          <w:sz w:val="16"/>
          <w:szCs w:val="16"/>
          <w:color w:val="auto"/>
        </w:rPr>
        <w:t>, under the “Corporate Governance” subsection of the “Investors” section of the website. Also posted there are our Corporate Governance Principles, which, together with our committee charters, comprise our governance framework.</w:t>
      </w:r>
    </w:p>
    <w:p>
      <w:pPr>
        <w:spacing w:after="0" w:line="228" w:lineRule="exact"/>
        <w:rPr>
          <w:sz w:val="20"/>
          <w:szCs w:val="20"/>
          <w:color w:val="auto"/>
        </w:rPr>
      </w:pPr>
    </w:p>
    <w:tbl>
      <w:tblPr>
        <w:tblLayout w:type="fixed"/>
        <w:tblInd w:w="220" w:type="dxa"/>
        <w:tblCellMar>
          <w:top w:w="0" w:type="dxa"/>
          <w:left w:w="0" w:type="dxa"/>
          <w:bottom w:w="0" w:type="dxa"/>
          <w:right w:w="0" w:type="dxa"/>
        </w:tblCellMar>
      </w:tblPr>
      <w:tr>
        <w:trPr>
          <w:trHeight w:val="180"/>
        </w:trPr>
        <w:tc>
          <w:tcPr>
            <w:tcW w:w="1680" w:type="dxa"/>
            <w:vAlign w:val="bottom"/>
            <w:shd w:val="clear" w:color="auto" w:fill="1A6DBB"/>
          </w:tcPr>
          <w:p>
            <w:pPr>
              <w:spacing w:after="0"/>
              <w:rPr>
                <w:sz w:val="15"/>
                <w:szCs w:val="15"/>
                <w:color w:val="auto"/>
              </w:rPr>
            </w:pPr>
          </w:p>
        </w:tc>
        <w:tc>
          <w:tcPr>
            <w:tcW w:w="6280" w:type="dxa"/>
            <w:vAlign w:val="bottom"/>
            <w:shd w:val="clear" w:color="auto" w:fill="1A6DBB"/>
          </w:tcPr>
          <w:p>
            <w:pPr>
              <w:spacing w:after="0"/>
              <w:rPr>
                <w:sz w:val="15"/>
                <w:szCs w:val="15"/>
                <w:color w:val="auto"/>
              </w:rPr>
            </w:pPr>
          </w:p>
        </w:tc>
        <w:tc>
          <w:tcPr>
            <w:tcW w:w="2180" w:type="dxa"/>
            <w:vAlign w:val="bottom"/>
            <w:shd w:val="clear" w:color="auto" w:fill="1A6DBB"/>
          </w:tcPr>
          <w:p>
            <w:pPr>
              <w:spacing w:after="0"/>
              <w:rPr>
                <w:sz w:val="15"/>
                <w:szCs w:val="15"/>
                <w:color w:val="auto"/>
              </w:rPr>
            </w:pPr>
          </w:p>
        </w:tc>
        <w:tc>
          <w:tcPr>
            <w:tcW w:w="880" w:type="dxa"/>
            <w:vAlign w:val="bottom"/>
            <w:shd w:val="clear" w:color="auto" w:fill="1A6DBB"/>
          </w:tcPr>
          <w:p>
            <w:pPr>
              <w:jc w:val="right"/>
              <w:ind w:right="48"/>
              <w:spacing w:after="0"/>
              <w:rPr>
                <w:sz w:val="20"/>
                <w:szCs w:val="20"/>
                <w:color w:val="auto"/>
              </w:rPr>
            </w:pPr>
            <w:r>
              <w:rPr>
                <w:rFonts w:ascii="Arial" w:cs="Arial" w:eastAsia="Arial" w:hAnsi="Arial"/>
                <w:sz w:val="14"/>
                <w:szCs w:val="14"/>
                <w:color w:val="FFFFFF"/>
              </w:rPr>
              <w:t>Meetings</w:t>
            </w:r>
          </w:p>
        </w:tc>
        <w:tc>
          <w:tcPr>
            <w:tcW w:w="0" w:type="dxa"/>
            <w:vAlign w:val="bottom"/>
          </w:tcPr>
          <w:p>
            <w:pPr>
              <w:spacing w:after="0"/>
              <w:rPr>
                <w:sz w:val="1"/>
                <w:szCs w:val="1"/>
                <w:color w:val="auto"/>
              </w:rPr>
            </w:pPr>
          </w:p>
        </w:tc>
      </w:tr>
      <w:tr>
        <w:trPr>
          <w:trHeight w:val="191"/>
        </w:trPr>
        <w:tc>
          <w:tcPr>
            <w:tcW w:w="1680" w:type="dxa"/>
            <w:vAlign w:val="bottom"/>
            <w:tcBorders>
              <w:bottom w:val="single" w:sz="8" w:color="1A6DBB"/>
            </w:tcBorders>
            <w:shd w:val="clear" w:color="auto" w:fill="1A6DBB"/>
          </w:tcPr>
          <w:p>
            <w:pPr>
              <w:ind w:left="60"/>
              <w:spacing w:after="0"/>
              <w:rPr>
                <w:sz w:val="20"/>
                <w:szCs w:val="20"/>
                <w:color w:val="auto"/>
              </w:rPr>
            </w:pPr>
            <w:r>
              <w:rPr>
                <w:rFonts w:ascii="Arial" w:cs="Arial" w:eastAsia="Arial" w:hAnsi="Arial"/>
                <w:sz w:val="14"/>
                <w:szCs w:val="14"/>
                <w:color w:val="FFFFFF"/>
              </w:rPr>
              <w:t>Committee</w:t>
            </w:r>
          </w:p>
        </w:tc>
        <w:tc>
          <w:tcPr>
            <w:tcW w:w="6280" w:type="dxa"/>
            <w:vAlign w:val="bottom"/>
            <w:tcBorders>
              <w:bottom w:val="single" w:sz="8" w:color="1A6DBB"/>
            </w:tcBorders>
            <w:shd w:val="clear" w:color="auto" w:fill="1A6DBB"/>
          </w:tcPr>
          <w:p>
            <w:pPr>
              <w:ind w:left="2860"/>
              <w:spacing w:after="0"/>
              <w:rPr>
                <w:sz w:val="20"/>
                <w:szCs w:val="20"/>
                <w:color w:val="auto"/>
              </w:rPr>
            </w:pPr>
            <w:r>
              <w:rPr>
                <w:rFonts w:ascii="Arial" w:cs="Arial" w:eastAsia="Arial" w:hAnsi="Arial"/>
                <w:sz w:val="14"/>
                <w:szCs w:val="14"/>
                <w:color w:val="FFFFFF"/>
              </w:rPr>
              <w:t>Function</w:t>
            </w:r>
          </w:p>
        </w:tc>
        <w:tc>
          <w:tcPr>
            <w:tcW w:w="2180" w:type="dxa"/>
            <w:vAlign w:val="bottom"/>
            <w:tcBorders>
              <w:bottom w:val="single" w:sz="8" w:color="1A6DBB"/>
            </w:tcBorders>
            <w:shd w:val="clear" w:color="auto" w:fill="1A6DBB"/>
          </w:tcPr>
          <w:p>
            <w:pPr>
              <w:jc w:val="center"/>
              <w:spacing w:after="0"/>
              <w:rPr>
                <w:sz w:val="20"/>
                <w:szCs w:val="20"/>
                <w:color w:val="auto"/>
              </w:rPr>
            </w:pPr>
            <w:r>
              <w:rPr>
                <w:rFonts w:ascii="Arial" w:cs="Arial" w:eastAsia="Arial" w:hAnsi="Arial"/>
                <w:sz w:val="14"/>
                <w:szCs w:val="14"/>
                <w:color w:val="FFFFFF"/>
              </w:rPr>
              <w:t>2018 Members</w:t>
            </w:r>
          </w:p>
        </w:tc>
        <w:tc>
          <w:tcPr>
            <w:tcW w:w="880" w:type="dxa"/>
            <w:vAlign w:val="bottom"/>
            <w:tcBorders>
              <w:bottom w:val="single" w:sz="8" w:color="1A6DBB"/>
            </w:tcBorders>
            <w:shd w:val="clear" w:color="auto" w:fill="1A6DBB"/>
          </w:tcPr>
          <w:p>
            <w:pPr>
              <w:jc w:val="right"/>
              <w:ind w:right="108"/>
              <w:spacing w:after="0"/>
              <w:rPr>
                <w:sz w:val="20"/>
                <w:szCs w:val="20"/>
                <w:color w:val="auto"/>
              </w:rPr>
            </w:pPr>
            <w:r>
              <w:rPr>
                <w:rFonts w:ascii="Arial" w:cs="Arial" w:eastAsia="Arial" w:hAnsi="Arial"/>
                <w:sz w:val="14"/>
                <w:szCs w:val="14"/>
                <w:color w:val="FFFFFF"/>
              </w:rPr>
              <w:t>in 2018</w:t>
            </w:r>
          </w:p>
        </w:tc>
        <w:tc>
          <w:tcPr>
            <w:tcW w:w="0" w:type="dxa"/>
            <w:vAlign w:val="bottom"/>
          </w:tcPr>
          <w:p>
            <w:pPr>
              <w:spacing w:after="0"/>
              <w:rPr>
                <w:sz w:val="1"/>
                <w:szCs w:val="1"/>
                <w:color w:val="auto"/>
              </w:rPr>
            </w:pPr>
          </w:p>
        </w:tc>
      </w:tr>
      <w:tr>
        <w:trPr>
          <w:trHeight w:val="207"/>
        </w:trPr>
        <w:tc>
          <w:tcPr>
            <w:tcW w:w="1680" w:type="dxa"/>
            <w:vAlign w:val="bottom"/>
            <w:shd w:val="clear" w:color="auto" w:fill="E8F0F8"/>
          </w:tcPr>
          <w:p>
            <w:pPr>
              <w:ind w:left="60"/>
              <w:spacing w:after="0"/>
              <w:rPr>
                <w:sz w:val="20"/>
                <w:szCs w:val="20"/>
                <w:color w:val="auto"/>
              </w:rPr>
            </w:pPr>
            <w:r>
              <w:rPr>
                <w:rFonts w:ascii="Arial" w:cs="Arial" w:eastAsia="Arial" w:hAnsi="Arial"/>
                <w:sz w:val="14"/>
                <w:szCs w:val="14"/>
                <w:color w:val="auto"/>
              </w:rPr>
              <w:t>Audit</w:t>
            </w:r>
          </w:p>
        </w:tc>
        <w:tc>
          <w:tcPr>
            <w:tcW w:w="6280" w:type="dxa"/>
            <w:vAlign w:val="bottom"/>
            <w:shd w:val="clear" w:color="auto" w:fill="E8F0F8"/>
          </w:tcPr>
          <w:p>
            <w:pPr>
              <w:ind w:left="200"/>
              <w:spacing w:after="0"/>
              <w:rPr>
                <w:sz w:val="20"/>
                <w:szCs w:val="20"/>
                <w:color w:val="auto"/>
              </w:rPr>
            </w:pPr>
            <w:r>
              <w:rPr>
                <w:rFonts w:ascii="Arial" w:cs="Arial" w:eastAsia="Arial" w:hAnsi="Arial"/>
                <w:sz w:val="14"/>
                <w:szCs w:val="14"/>
                <w:color w:val="auto"/>
              </w:rPr>
              <w:t>Assists our Board of Directors in its oversight of:</w:t>
            </w:r>
          </w:p>
        </w:tc>
        <w:tc>
          <w:tcPr>
            <w:tcW w:w="218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Caroline D. Dorsa† (Chair)</w:t>
            </w:r>
          </w:p>
        </w:tc>
        <w:tc>
          <w:tcPr>
            <w:tcW w:w="880" w:type="dxa"/>
            <w:vAlign w:val="bottom"/>
            <w:shd w:val="clear" w:color="auto" w:fill="E8F0F8"/>
          </w:tcPr>
          <w:p>
            <w:pPr>
              <w:jc w:val="right"/>
              <w:ind w:right="4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2"/>
        </w:trPr>
        <w:tc>
          <w:tcPr>
            <w:tcW w:w="1680" w:type="dxa"/>
            <w:vAlign w:val="bottom"/>
            <w:shd w:val="clear" w:color="auto" w:fill="E8F0F8"/>
          </w:tcPr>
          <w:p>
            <w:pPr>
              <w:spacing w:after="0"/>
              <w:rPr>
                <w:sz w:val="14"/>
                <w:szCs w:val="14"/>
                <w:color w:val="auto"/>
              </w:rPr>
            </w:pPr>
          </w:p>
        </w:tc>
        <w:tc>
          <w:tcPr>
            <w:tcW w:w="6280" w:type="dxa"/>
            <w:vAlign w:val="bottom"/>
            <w:shd w:val="clear" w:color="auto" w:fill="E8F0F8"/>
          </w:tcPr>
          <w:p>
            <w:pPr>
              <w:ind w:left="200"/>
              <w:spacing w:after="0"/>
              <w:rPr>
                <w:sz w:val="20"/>
                <w:szCs w:val="20"/>
                <w:color w:val="auto"/>
              </w:rPr>
            </w:pPr>
            <w:r>
              <w:rPr>
                <w:rFonts w:ascii="Arial" w:cs="Arial" w:eastAsia="Arial" w:hAnsi="Arial"/>
                <w:sz w:val="14"/>
                <w:szCs w:val="14"/>
                <w:color w:val="1A6DBB"/>
              </w:rPr>
              <w:t xml:space="preserve">•  </w:t>
            </w:r>
            <w:r>
              <w:rPr>
                <w:rFonts w:ascii="Arial" w:cs="Arial" w:eastAsia="Arial" w:hAnsi="Arial"/>
                <w:sz w:val="14"/>
                <w:szCs w:val="14"/>
                <w:color w:val="000000"/>
              </w:rPr>
              <w:t>the integrity of our financial statements;</w:t>
            </w:r>
          </w:p>
        </w:tc>
        <w:tc>
          <w:tcPr>
            <w:tcW w:w="218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Nancy L. Leaming†</w:t>
            </w:r>
          </w:p>
        </w:tc>
        <w:tc>
          <w:tcPr>
            <w:tcW w:w="880" w:type="dxa"/>
            <w:vAlign w:val="bottom"/>
            <w:shd w:val="clear" w:color="auto" w:fill="E8F0F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E8F0F8"/>
          </w:tcPr>
          <w:p>
            <w:pPr>
              <w:spacing w:after="0"/>
              <w:rPr>
                <w:sz w:val="14"/>
                <w:szCs w:val="14"/>
                <w:color w:val="auto"/>
              </w:rPr>
            </w:pPr>
          </w:p>
        </w:tc>
        <w:tc>
          <w:tcPr>
            <w:tcW w:w="6280" w:type="dxa"/>
            <w:vAlign w:val="bottom"/>
            <w:shd w:val="clear" w:color="auto" w:fill="E8F0F8"/>
          </w:tcPr>
          <w:p>
            <w:pPr>
              <w:ind w:left="200"/>
              <w:spacing w:after="0"/>
              <w:rPr>
                <w:sz w:val="20"/>
                <w:szCs w:val="20"/>
                <w:color w:val="auto"/>
              </w:rPr>
            </w:pPr>
            <w:r>
              <w:rPr>
                <w:rFonts w:ascii="Arial" w:cs="Arial" w:eastAsia="Arial" w:hAnsi="Arial"/>
                <w:sz w:val="14"/>
                <w:szCs w:val="14"/>
                <w:color w:val="1A6DBB"/>
              </w:rPr>
              <w:t xml:space="preserve">•  </w:t>
            </w:r>
            <w:r>
              <w:rPr>
                <w:rFonts w:ascii="Arial" w:cs="Arial" w:eastAsia="Arial" w:hAnsi="Arial"/>
                <w:sz w:val="14"/>
                <w:szCs w:val="14"/>
                <w:color w:val="000000"/>
              </w:rPr>
              <w:t>our accounting and financial reporting processes;</w:t>
            </w:r>
          </w:p>
        </w:tc>
        <w:tc>
          <w:tcPr>
            <w:tcW w:w="218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Stelios Papadopoulos</w:t>
            </w:r>
          </w:p>
        </w:tc>
        <w:tc>
          <w:tcPr>
            <w:tcW w:w="880" w:type="dxa"/>
            <w:vAlign w:val="bottom"/>
            <w:shd w:val="clear" w:color="auto" w:fill="E8F0F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E8F0F8"/>
          </w:tcPr>
          <w:p>
            <w:pPr>
              <w:spacing w:after="0"/>
              <w:rPr>
                <w:sz w:val="14"/>
                <w:szCs w:val="14"/>
                <w:color w:val="auto"/>
              </w:rPr>
            </w:pPr>
          </w:p>
        </w:tc>
        <w:tc>
          <w:tcPr>
            <w:tcW w:w="6280" w:type="dxa"/>
            <w:vAlign w:val="bottom"/>
            <w:shd w:val="clear" w:color="auto" w:fill="E8F0F8"/>
          </w:tcPr>
          <w:p>
            <w:pPr>
              <w:ind w:left="200"/>
              <w:spacing w:after="0"/>
              <w:rPr>
                <w:sz w:val="20"/>
                <w:szCs w:val="20"/>
                <w:color w:val="auto"/>
              </w:rPr>
            </w:pPr>
            <w:r>
              <w:rPr>
                <w:rFonts w:ascii="Arial" w:cs="Arial" w:eastAsia="Arial" w:hAnsi="Arial"/>
                <w:sz w:val="14"/>
                <w:szCs w:val="14"/>
                <w:color w:val="1A6DBB"/>
              </w:rPr>
              <w:t xml:space="preserve">•  </w:t>
            </w:r>
            <w:r>
              <w:rPr>
                <w:rFonts w:ascii="Arial" w:cs="Arial" w:eastAsia="Arial" w:hAnsi="Arial"/>
                <w:sz w:val="14"/>
                <w:szCs w:val="14"/>
                <w:color w:val="000000"/>
              </w:rPr>
              <w:t>the independence, qualifications and performance of our independent registered public</w:t>
            </w:r>
          </w:p>
        </w:tc>
        <w:tc>
          <w:tcPr>
            <w:tcW w:w="218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Brian S. Posner†</w:t>
            </w:r>
          </w:p>
        </w:tc>
        <w:tc>
          <w:tcPr>
            <w:tcW w:w="880" w:type="dxa"/>
            <w:vAlign w:val="bottom"/>
            <w:shd w:val="clear" w:color="auto" w:fill="E8F0F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E8F0F8"/>
          </w:tcPr>
          <w:p>
            <w:pPr>
              <w:spacing w:after="0"/>
              <w:rPr>
                <w:sz w:val="14"/>
                <w:szCs w:val="14"/>
                <w:color w:val="auto"/>
              </w:rPr>
            </w:pPr>
          </w:p>
        </w:tc>
        <w:tc>
          <w:tcPr>
            <w:tcW w:w="6280" w:type="dxa"/>
            <w:vAlign w:val="bottom"/>
            <w:shd w:val="clear" w:color="auto" w:fill="E8F0F8"/>
          </w:tcPr>
          <w:p>
            <w:pPr>
              <w:ind w:left="420"/>
              <w:spacing w:after="0"/>
              <w:rPr>
                <w:sz w:val="20"/>
                <w:szCs w:val="20"/>
                <w:color w:val="auto"/>
              </w:rPr>
            </w:pPr>
            <w:r>
              <w:rPr>
                <w:rFonts w:ascii="Arial" w:cs="Arial" w:eastAsia="Arial" w:hAnsi="Arial"/>
                <w:sz w:val="14"/>
                <w:szCs w:val="14"/>
                <w:color w:val="auto"/>
              </w:rPr>
              <w:t>accounting firm;</w:t>
            </w:r>
          </w:p>
        </w:tc>
        <w:tc>
          <w:tcPr>
            <w:tcW w:w="2180" w:type="dxa"/>
            <w:vAlign w:val="bottom"/>
            <w:shd w:val="clear" w:color="auto" w:fill="E8F0F8"/>
          </w:tcPr>
          <w:p>
            <w:pPr>
              <w:spacing w:after="0"/>
              <w:rPr>
                <w:sz w:val="14"/>
                <w:szCs w:val="14"/>
                <w:color w:val="auto"/>
              </w:rPr>
            </w:pPr>
          </w:p>
        </w:tc>
        <w:tc>
          <w:tcPr>
            <w:tcW w:w="880" w:type="dxa"/>
            <w:vAlign w:val="bottom"/>
            <w:shd w:val="clear" w:color="auto" w:fill="E8F0F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E8F0F8"/>
          </w:tcPr>
          <w:p>
            <w:pPr>
              <w:spacing w:after="0"/>
              <w:rPr>
                <w:sz w:val="14"/>
                <w:szCs w:val="14"/>
                <w:color w:val="auto"/>
              </w:rPr>
            </w:pPr>
          </w:p>
        </w:tc>
        <w:tc>
          <w:tcPr>
            <w:tcW w:w="6280" w:type="dxa"/>
            <w:vAlign w:val="bottom"/>
            <w:shd w:val="clear" w:color="auto" w:fill="E8F0F8"/>
          </w:tcPr>
          <w:p>
            <w:pPr>
              <w:ind w:left="200"/>
              <w:spacing w:after="0"/>
              <w:rPr>
                <w:sz w:val="20"/>
                <w:szCs w:val="20"/>
                <w:color w:val="auto"/>
              </w:rPr>
            </w:pPr>
            <w:r>
              <w:rPr>
                <w:rFonts w:ascii="Arial" w:cs="Arial" w:eastAsia="Arial" w:hAnsi="Arial"/>
                <w:sz w:val="14"/>
                <w:szCs w:val="14"/>
                <w:color w:val="1A6DBB"/>
              </w:rPr>
              <w:t xml:space="preserve">•  </w:t>
            </w:r>
            <w:r>
              <w:rPr>
                <w:rFonts w:ascii="Arial" w:cs="Arial" w:eastAsia="Arial" w:hAnsi="Arial"/>
                <w:sz w:val="14"/>
                <w:szCs w:val="14"/>
                <w:color w:val="000000"/>
              </w:rPr>
              <w:t>our global tax compliance and tax audit processes; and</w:t>
            </w:r>
          </w:p>
        </w:tc>
        <w:tc>
          <w:tcPr>
            <w:tcW w:w="2180" w:type="dxa"/>
            <w:vAlign w:val="bottom"/>
            <w:shd w:val="clear" w:color="auto" w:fill="E8F0F8"/>
          </w:tcPr>
          <w:p>
            <w:pPr>
              <w:spacing w:after="0"/>
              <w:rPr>
                <w:sz w:val="14"/>
                <w:szCs w:val="14"/>
                <w:color w:val="auto"/>
              </w:rPr>
            </w:pPr>
          </w:p>
        </w:tc>
        <w:tc>
          <w:tcPr>
            <w:tcW w:w="880" w:type="dxa"/>
            <w:vAlign w:val="bottom"/>
            <w:shd w:val="clear" w:color="auto" w:fill="E8F0F8"/>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80" w:type="dxa"/>
            <w:vAlign w:val="bottom"/>
            <w:shd w:val="clear" w:color="auto" w:fill="E8F0F8"/>
          </w:tcPr>
          <w:p>
            <w:pPr>
              <w:spacing w:after="0"/>
              <w:rPr>
                <w:sz w:val="14"/>
                <w:szCs w:val="14"/>
                <w:color w:val="auto"/>
              </w:rPr>
            </w:pPr>
          </w:p>
        </w:tc>
        <w:tc>
          <w:tcPr>
            <w:tcW w:w="6280" w:type="dxa"/>
            <w:vAlign w:val="bottom"/>
            <w:shd w:val="clear" w:color="auto" w:fill="E8F0F8"/>
          </w:tcPr>
          <w:p>
            <w:pPr>
              <w:ind w:left="200"/>
              <w:spacing w:after="0"/>
              <w:rPr>
                <w:sz w:val="20"/>
                <w:szCs w:val="20"/>
                <w:color w:val="auto"/>
              </w:rPr>
            </w:pPr>
            <w:r>
              <w:rPr>
                <w:rFonts w:ascii="Arial" w:cs="Arial" w:eastAsia="Arial" w:hAnsi="Arial"/>
                <w:sz w:val="14"/>
                <w:szCs w:val="14"/>
                <w:color w:val="1A6DBB"/>
              </w:rPr>
              <w:t xml:space="preserve">•  </w:t>
            </w:r>
            <w:r>
              <w:rPr>
                <w:rFonts w:ascii="Arial" w:cs="Arial" w:eastAsia="Arial" w:hAnsi="Arial"/>
                <w:sz w:val="14"/>
                <w:szCs w:val="14"/>
                <w:color w:val="000000"/>
              </w:rPr>
              <w:t>our internal audit and corporate compliance functions.</w:t>
            </w:r>
          </w:p>
        </w:tc>
        <w:tc>
          <w:tcPr>
            <w:tcW w:w="2180" w:type="dxa"/>
            <w:vAlign w:val="bottom"/>
            <w:shd w:val="clear" w:color="auto" w:fill="E8F0F8"/>
          </w:tcPr>
          <w:p>
            <w:pPr>
              <w:spacing w:after="0"/>
              <w:rPr>
                <w:sz w:val="14"/>
                <w:szCs w:val="14"/>
                <w:color w:val="auto"/>
              </w:rPr>
            </w:pPr>
          </w:p>
        </w:tc>
        <w:tc>
          <w:tcPr>
            <w:tcW w:w="880" w:type="dxa"/>
            <w:vAlign w:val="bottom"/>
            <w:shd w:val="clear" w:color="auto" w:fill="E8F0F8"/>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680" w:type="dxa"/>
            <w:vAlign w:val="bottom"/>
            <w:shd w:val="clear" w:color="auto" w:fill="E8F0F8"/>
          </w:tcPr>
          <w:p>
            <w:pPr>
              <w:spacing w:after="0"/>
              <w:rPr>
                <w:sz w:val="20"/>
                <w:szCs w:val="20"/>
                <w:color w:val="auto"/>
              </w:rPr>
            </w:pPr>
          </w:p>
        </w:tc>
        <w:tc>
          <w:tcPr>
            <w:tcW w:w="6280" w:type="dxa"/>
            <w:vAlign w:val="bottom"/>
            <w:shd w:val="clear" w:color="auto" w:fill="E8F0F8"/>
          </w:tcPr>
          <w:p>
            <w:pPr>
              <w:ind w:left="200"/>
              <w:spacing w:after="0"/>
              <w:rPr>
                <w:sz w:val="20"/>
                <w:szCs w:val="20"/>
                <w:color w:val="auto"/>
              </w:rPr>
            </w:pPr>
            <w:r>
              <w:rPr>
                <w:rFonts w:ascii="Arial" w:cs="Arial" w:eastAsia="Arial" w:hAnsi="Arial"/>
                <w:sz w:val="14"/>
                <w:szCs w:val="14"/>
                <w:color w:val="auto"/>
              </w:rPr>
              <w:t>Our Audit Committee has the sole authority and direct responsibility for the appointment,</w:t>
            </w:r>
          </w:p>
        </w:tc>
        <w:tc>
          <w:tcPr>
            <w:tcW w:w="2180" w:type="dxa"/>
            <w:vAlign w:val="bottom"/>
            <w:shd w:val="clear" w:color="auto" w:fill="E8F0F8"/>
          </w:tcPr>
          <w:p>
            <w:pPr>
              <w:spacing w:after="0"/>
              <w:rPr>
                <w:sz w:val="20"/>
                <w:szCs w:val="20"/>
                <w:color w:val="auto"/>
              </w:rPr>
            </w:pPr>
          </w:p>
        </w:tc>
        <w:tc>
          <w:tcPr>
            <w:tcW w:w="880" w:type="dxa"/>
            <w:vAlign w:val="bottom"/>
            <w:shd w:val="clear" w:color="auto" w:fill="E8F0F8"/>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E8F0F8"/>
          </w:tcPr>
          <w:p>
            <w:pPr>
              <w:spacing w:after="0"/>
              <w:rPr>
                <w:sz w:val="14"/>
                <w:szCs w:val="14"/>
                <w:color w:val="auto"/>
              </w:rPr>
            </w:pPr>
          </w:p>
        </w:tc>
        <w:tc>
          <w:tcPr>
            <w:tcW w:w="6280" w:type="dxa"/>
            <w:vAlign w:val="bottom"/>
            <w:shd w:val="clear" w:color="auto" w:fill="E8F0F8"/>
          </w:tcPr>
          <w:p>
            <w:pPr>
              <w:ind w:left="200"/>
              <w:spacing w:after="0"/>
              <w:rPr>
                <w:sz w:val="20"/>
                <w:szCs w:val="20"/>
                <w:color w:val="auto"/>
              </w:rPr>
            </w:pPr>
            <w:r>
              <w:rPr>
                <w:rFonts w:ascii="Arial" w:cs="Arial" w:eastAsia="Arial" w:hAnsi="Arial"/>
                <w:sz w:val="14"/>
                <w:szCs w:val="14"/>
                <w:color w:val="auto"/>
              </w:rPr>
              <w:t>compensation, retention, evaluation and oversight of the work of our independent registered</w:t>
            </w:r>
          </w:p>
        </w:tc>
        <w:tc>
          <w:tcPr>
            <w:tcW w:w="2180" w:type="dxa"/>
            <w:vAlign w:val="bottom"/>
            <w:shd w:val="clear" w:color="auto" w:fill="E8F0F8"/>
          </w:tcPr>
          <w:p>
            <w:pPr>
              <w:spacing w:after="0"/>
              <w:rPr>
                <w:sz w:val="14"/>
                <w:szCs w:val="14"/>
                <w:color w:val="auto"/>
              </w:rPr>
            </w:pPr>
          </w:p>
        </w:tc>
        <w:tc>
          <w:tcPr>
            <w:tcW w:w="880" w:type="dxa"/>
            <w:vAlign w:val="bottom"/>
            <w:shd w:val="clear" w:color="auto" w:fill="E8F0F8"/>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680" w:type="dxa"/>
            <w:vAlign w:val="bottom"/>
            <w:tcBorders>
              <w:bottom w:val="single" w:sz="8" w:color="E8F0F8"/>
            </w:tcBorders>
            <w:shd w:val="clear" w:color="auto" w:fill="E8F0F8"/>
          </w:tcPr>
          <w:p>
            <w:pPr>
              <w:spacing w:after="0"/>
              <w:rPr>
                <w:sz w:val="16"/>
                <w:szCs w:val="16"/>
                <w:color w:val="auto"/>
              </w:rPr>
            </w:pPr>
          </w:p>
        </w:tc>
        <w:tc>
          <w:tcPr>
            <w:tcW w:w="6280" w:type="dxa"/>
            <w:vAlign w:val="bottom"/>
            <w:tcBorders>
              <w:bottom w:val="single" w:sz="8" w:color="E8F0F8"/>
            </w:tcBorders>
            <w:shd w:val="clear" w:color="auto" w:fill="E8F0F8"/>
          </w:tcPr>
          <w:p>
            <w:pPr>
              <w:ind w:left="200"/>
              <w:spacing w:after="0"/>
              <w:rPr>
                <w:sz w:val="20"/>
                <w:szCs w:val="20"/>
                <w:color w:val="auto"/>
              </w:rPr>
            </w:pPr>
            <w:r>
              <w:rPr>
                <w:rFonts w:ascii="Arial" w:cs="Arial" w:eastAsia="Arial" w:hAnsi="Arial"/>
                <w:sz w:val="14"/>
                <w:szCs w:val="14"/>
                <w:color w:val="auto"/>
              </w:rPr>
              <w:t>public accounting firm.</w:t>
            </w:r>
          </w:p>
        </w:tc>
        <w:tc>
          <w:tcPr>
            <w:tcW w:w="2180" w:type="dxa"/>
            <w:vAlign w:val="bottom"/>
            <w:tcBorders>
              <w:bottom w:val="single" w:sz="8" w:color="E8F0F8"/>
            </w:tcBorders>
            <w:shd w:val="clear" w:color="auto" w:fill="E8F0F8"/>
          </w:tcPr>
          <w:p>
            <w:pPr>
              <w:spacing w:after="0"/>
              <w:rPr>
                <w:sz w:val="16"/>
                <w:szCs w:val="16"/>
                <w:color w:val="auto"/>
              </w:rPr>
            </w:pPr>
          </w:p>
        </w:tc>
        <w:tc>
          <w:tcPr>
            <w:tcW w:w="880" w:type="dxa"/>
            <w:vAlign w:val="bottom"/>
            <w:tcBorders>
              <w:bottom w:val="single" w:sz="8" w:color="E8F0F8"/>
            </w:tcBorders>
            <w:shd w:val="clear" w:color="auto" w:fill="E8F0F8"/>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680" w:type="dxa"/>
            <w:vAlign w:val="bottom"/>
            <w:shd w:val="clear" w:color="auto" w:fill="BAD3EA"/>
          </w:tcPr>
          <w:p>
            <w:pPr>
              <w:ind w:left="60"/>
              <w:spacing w:after="0"/>
              <w:rPr>
                <w:sz w:val="20"/>
                <w:szCs w:val="20"/>
                <w:color w:val="auto"/>
              </w:rPr>
            </w:pPr>
            <w:r>
              <w:rPr>
                <w:rFonts w:ascii="Arial" w:cs="Arial" w:eastAsia="Arial" w:hAnsi="Arial"/>
                <w:sz w:val="14"/>
                <w:szCs w:val="14"/>
                <w:color w:val="auto"/>
              </w:rPr>
              <w:t>Compensation and</w:t>
            </w:r>
          </w:p>
        </w:tc>
        <w:tc>
          <w:tcPr>
            <w:tcW w:w="6280" w:type="dxa"/>
            <w:vAlign w:val="bottom"/>
            <w:shd w:val="clear" w:color="auto" w:fill="BAD3EA"/>
          </w:tcPr>
          <w:p>
            <w:pPr>
              <w:ind w:left="200"/>
              <w:spacing w:after="0"/>
              <w:rPr>
                <w:sz w:val="20"/>
                <w:szCs w:val="20"/>
                <w:color w:val="auto"/>
              </w:rPr>
            </w:pPr>
            <w:r>
              <w:rPr>
                <w:rFonts w:ascii="Arial" w:cs="Arial" w:eastAsia="Arial" w:hAnsi="Arial"/>
                <w:sz w:val="14"/>
                <w:szCs w:val="14"/>
                <w:color w:val="auto"/>
              </w:rPr>
              <w:t>Assists our Board of Directors with oversight of executive compensation and management</w:t>
            </w:r>
          </w:p>
        </w:tc>
        <w:tc>
          <w:tcPr>
            <w:tcW w:w="2180" w:type="dxa"/>
            <w:vAlign w:val="bottom"/>
            <w:shd w:val="clear" w:color="auto" w:fill="BAD3EA"/>
          </w:tcPr>
          <w:p>
            <w:pPr>
              <w:jc w:val="center"/>
              <w:spacing w:after="0"/>
              <w:rPr>
                <w:sz w:val="20"/>
                <w:szCs w:val="20"/>
                <w:color w:val="auto"/>
              </w:rPr>
            </w:pPr>
            <w:r>
              <w:rPr>
                <w:rFonts w:ascii="Arial" w:cs="Arial" w:eastAsia="Arial" w:hAnsi="Arial"/>
                <w:sz w:val="14"/>
                <w:szCs w:val="14"/>
                <w:color w:val="auto"/>
              </w:rPr>
              <w:t>Robert W. Pangia (Chair)</w:t>
            </w:r>
          </w:p>
        </w:tc>
        <w:tc>
          <w:tcPr>
            <w:tcW w:w="880" w:type="dxa"/>
            <w:vAlign w:val="bottom"/>
            <w:shd w:val="clear" w:color="auto" w:fill="BAD3EA"/>
          </w:tcPr>
          <w:p>
            <w:pPr>
              <w:jc w:val="right"/>
              <w:ind w:right="4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2"/>
        </w:trPr>
        <w:tc>
          <w:tcPr>
            <w:tcW w:w="1680" w:type="dxa"/>
            <w:vAlign w:val="bottom"/>
            <w:shd w:val="clear" w:color="auto" w:fill="BAD3EA"/>
          </w:tcPr>
          <w:p>
            <w:pPr>
              <w:ind w:left="60"/>
              <w:spacing w:after="0"/>
              <w:rPr>
                <w:sz w:val="20"/>
                <w:szCs w:val="20"/>
                <w:color w:val="auto"/>
              </w:rPr>
            </w:pPr>
            <w:r>
              <w:rPr>
                <w:rFonts w:ascii="Arial" w:cs="Arial" w:eastAsia="Arial" w:hAnsi="Arial"/>
                <w:sz w:val="14"/>
                <w:szCs w:val="14"/>
                <w:color w:val="auto"/>
              </w:rPr>
              <w:t>Management</w:t>
            </w:r>
          </w:p>
        </w:tc>
        <w:tc>
          <w:tcPr>
            <w:tcW w:w="6280" w:type="dxa"/>
            <w:vAlign w:val="bottom"/>
            <w:shd w:val="clear" w:color="auto" w:fill="BAD3EA"/>
          </w:tcPr>
          <w:p>
            <w:pPr>
              <w:ind w:left="200"/>
              <w:spacing w:after="0"/>
              <w:rPr>
                <w:sz w:val="20"/>
                <w:szCs w:val="20"/>
                <w:color w:val="auto"/>
              </w:rPr>
            </w:pPr>
            <w:r>
              <w:rPr>
                <w:rFonts w:ascii="Arial" w:cs="Arial" w:eastAsia="Arial" w:hAnsi="Arial"/>
                <w:sz w:val="14"/>
                <w:szCs w:val="14"/>
                <w:color w:val="auto"/>
              </w:rPr>
              <w:t>development, including:</w:t>
            </w:r>
          </w:p>
        </w:tc>
        <w:tc>
          <w:tcPr>
            <w:tcW w:w="2180" w:type="dxa"/>
            <w:vAlign w:val="bottom"/>
            <w:shd w:val="clear" w:color="auto" w:fill="BAD3EA"/>
          </w:tcPr>
          <w:p>
            <w:pPr>
              <w:jc w:val="center"/>
              <w:spacing w:after="0"/>
              <w:rPr>
                <w:sz w:val="20"/>
                <w:szCs w:val="20"/>
                <w:color w:val="auto"/>
              </w:rPr>
            </w:pPr>
            <w:r>
              <w:rPr>
                <w:rFonts w:ascii="Arial" w:cs="Arial" w:eastAsia="Arial" w:hAnsi="Arial"/>
                <w:sz w:val="14"/>
                <w:szCs w:val="14"/>
                <w:color w:val="auto"/>
              </w:rPr>
              <w:t>Richard C. Mulligan</w:t>
            </w:r>
          </w:p>
        </w:tc>
        <w:tc>
          <w:tcPr>
            <w:tcW w:w="880" w:type="dxa"/>
            <w:vAlign w:val="bottom"/>
            <w:shd w:val="clear" w:color="auto" w:fill="BAD3E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BAD3EA"/>
          </w:tcPr>
          <w:p>
            <w:pPr>
              <w:ind w:left="60"/>
              <w:spacing w:after="0"/>
              <w:rPr>
                <w:sz w:val="20"/>
                <w:szCs w:val="20"/>
                <w:color w:val="auto"/>
              </w:rPr>
            </w:pPr>
            <w:r>
              <w:rPr>
                <w:rFonts w:ascii="Arial" w:cs="Arial" w:eastAsia="Arial" w:hAnsi="Arial"/>
                <w:sz w:val="14"/>
                <w:szCs w:val="14"/>
                <w:color w:val="auto"/>
              </w:rPr>
              <w:t>Development</w:t>
            </w:r>
          </w:p>
        </w:tc>
        <w:tc>
          <w:tcPr>
            <w:tcW w:w="6280" w:type="dxa"/>
            <w:vAlign w:val="bottom"/>
            <w:shd w:val="clear" w:color="auto" w:fill="BAD3EA"/>
          </w:tcPr>
          <w:p>
            <w:pPr>
              <w:ind w:left="200"/>
              <w:spacing w:after="0"/>
              <w:rPr>
                <w:sz w:val="20"/>
                <w:szCs w:val="20"/>
                <w:color w:val="auto"/>
              </w:rPr>
            </w:pPr>
            <w:r>
              <w:rPr>
                <w:rFonts w:ascii="Arial" w:cs="Arial" w:eastAsia="Arial" w:hAnsi="Arial"/>
                <w:sz w:val="14"/>
                <w:szCs w:val="14"/>
                <w:color w:val="1A6DBB"/>
              </w:rPr>
              <w:t xml:space="preserve">•  </w:t>
            </w:r>
            <w:r>
              <w:rPr>
                <w:rFonts w:ascii="Arial" w:cs="Arial" w:eastAsia="Arial" w:hAnsi="Arial"/>
                <w:sz w:val="14"/>
                <w:szCs w:val="14"/>
                <w:color w:val="000000"/>
              </w:rPr>
              <w:t>recommending to our Board of Directors the compensation for our Chief Executive</w:t>
            </w:r>
          </w:p>
        </w:tc>
        <w:tc>
          <w:tcPr>
            <w:tcW w:w="2180" w:type="dxa"/>
            <w:vAlign w:val="bottom"/>
            <w:shd w:val="clear" w:color="auto" w:fill="BAD3EA"/>
          </w:tcPr>
          <w:p>
            <w:pPr>
              <w:jc w:val="center"/>
              <w:spacing w:after="0"/>
              <w:rPr>
                <w:sz w:val="20"/>
                <w:szCs w:val="20"/>
                <w:color w:val="auto"/>
              </w:rPr>
            </w:pPr>
            <w:r>
              <w:rPr>
                <w:rFonts w:ascii="Arial" w:cs="Arial" w:eastAsia="Arial" w:hAnsi="Arial"/>
                <w:sz w:val="14"/>
                <w:szCs w:val="14"/>
                <w:color w:val="auto"/>
              </w:rPr>
              <w:t>Eric K. Rowinsky</w:t>
            </w:r>
          </w:p>
        </w:tc>
        <w:tc>
          <w:tcPr>
            <w:tcW w:w="880" w:type="dxa"/>
            <w:vAlign w:val="bottom"/>
            <w:shd w:val="clear" w:color="auto" w:fill="BAD3E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BAD3EA"/>
          </w:tcPr>
          <w:p>
            <w:pPr>
              <w:spacing w:after="0"/>
              <w:rPr>
                <w:sz w:val="14"/>
                <w:szCs w:val="14"/>
                <w:color w:val="auto"/>
              </w:rPr>
            </w:pPr>
          </w:p>
        </w:tc>
        <w:tc>
          <w:tcPr>
            <w:tcW w:w="6280" w:type="dxa"/>
            <w:vAlign w:val="bottom"/>
            <w:shd w:val="clear" w:color="auto" w:fill="BAD3EA"/>
          </w:tcPr>
          <w:p>
            <w:pPr>
              <w:ind w:left="420"/>
              <w:spacing w:after="0"/>
              <w:rPr>
                <w:sz w:val="20"/>
                <w:szCs w:val="20"/>
                <w:color w:val="auto"/>
              </w:rPr>
            </w:pPr>
            <w:r>
              <w:rPr>
                <w:rFonts w:ascii="Arial" w:cs="Arial" w:eastAsia="Arial" w:hAnsi="Arial"/>
                <w:sz w:val="14"/>
                <w:szCs w:val="14"/>
                <w:color w:val="auto"/>
              </w:rPr>
              <w:t>Officer and approving the compensation for our other executive officers;</w:t>
            </w:r>
          </w:p>
        </w:tc>
        <w:tc>
          <w:tcPr>
            <w:tcW w:w="2180" w:type="dxa"/>
            <w:vAlign w:val="bottom"/>
            <w:shd w:val="clear" w:color="auto" w:fill="BAD3EA"/>
          </w:tcPr>
          <w:p>
            <w:pPr>
              <w:jc w:val="center"/>
              <w:spacing w:after="0"/>
              <w:rPr>
                <w:sz w:val="20"/>
                <w:szCs w:val="20"/>
                <w:color w:val="auto"/>
              </w:rPr>
            </w:pPr>
            <w:r>
              <w:rPr>
                <w:rFonts w:ascii="Arial" w:cs="Arial" w:eastAsia="Arial" w:hAnsi="Arial"/>
                <w:sz w:val="14"/>
                <w:szCs w:val="14"/>
                <w:color w:val="auto"/>
              </w:rPr>
              <w:t>Lynn Schenk</w:t>
            </w:r>
          </w:p>
        </w:tc>
        <w:tc>
          <w:tcPr>
            <w:tcW w:w="880" w:type="dxa"/>
            <w:vAlign w:val="bottom"/>
            <w:shd w:val="clear" w:color="auto" w:fill="BAD3E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BAD3EA"/>
          </w:tcPr>
          <w:p>
            <w:pPr>
              <w:spacing w:after="0"/>
              <w:rPr>
                <w:sz w:val="14"/>
                <w:szCs w:val="14"/>
                <w:color w:val="auto"/>
              </w:rPr>
            </w:pPr>
          </w:p>
        </w:tc>
        <w:tc>
          <w:tcPr>
            <w:tcW w:w="6280" w:type="dxa"/>
            <w:vAlign w:val="bottom"/>
            <w:shd w:val="clear" w:color="auto" w:fill="BAD3EA"/>
          </w:tcPr>
          <w:p>
            <w:pPr>
              <w:ind w:left="200"/>
              <w:spacing w:after="0"/>
              <w:rPr>
                <w:sz w:val="20"/>
                <w:szCs w:val="20"/>
                <w:color w:val="auto"/>
              </w:rPr>
            </w:pPr>
            <w:r>
              <w:rPr>
                <w:rFonts w:ascii="Arial" w:cs="Arial" w:eastAsia="Arial" w:hAnsi="Arial"/>
                <w:sz w:val="14"/>
                <w:szCs w:val="14"/>
                <w:color w:val="1A6DBB"/>
              </w:rPr>
              <w:t xml:space="preserve">•  </w:t>
            </w:r>
            <w:r>
              <w:rPr>
                <w:rFonts w:ascii="Arial" w:cs="Arial" w:eastAsia="Arial" w:hAnsi="Arial"/>
                <w:sz w:val="14"/>
                <w:szCs w:val="14"/>
                <w:color w:val="000000"/>
              </w:rPr>
              <w:t>administration of our short- and long-term incentive plans;</w:t>
            </w:r>
          </w:p>
        </w:tc>
        <w:tc>
          <w:tcPr>
            <w:tcW w:w="2180" w:type="dxa"/>
            <w:vAlign w:val="bottom"/>
            <w:shd w:val="clear" w:color="auto" w:fill="BAD3EA"/>
          </w:tcPr>
          <w:p>
            <w:pPr>
              <w:spacing w:after="0"/>
              <w:rPr>
                <w:sz w:val="14"/>
                <w:szCs w:val="14"/>
                <w:color w:val="auto"/>
              </w:rPr>
            </w:pPr>
          </w:p>
        </w:tc>
        <w:tc>
          <w:tcPr>
            <w:tcW w:w="880" w:type="dxa"/>
            <w:vAlign w:val="bottom"/>
            <w:shd w:val="clear" w:color="auto" w:fill="BAD3E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BAD3EA"/>
          </w:tcPr>
          <w:p>
            <w:pPr>
              <w:spacing w:after="0"/>
              <w:rPr>
                <w:sz w:val="14"/>
                <w:szCs w:val="14"/>
                <w:color w:val="auto"/>
              </w:rPr>
            </w:pPr>
          </w:p>
        </w:tc>
        <w:tc>
          <w:tcPr>
            <w:tcW w:w="6280" w:type="dxa"/>
            <w:vAlign w:val="bottom"/>
            <w:shd w:val="clear" w:color="auto" w:fill="BAD3EA"/>
          </w:tcPr>
          <w:p>
            <w:pPr>
              <w:ind w:left="200"/>
              <w:spacing w:after="0"/>
              <w:rPr>
                <w:sz w:val="20"/>
                <w:szCs w:val="20"/>
                <w:color w:val="auto"/>
              </w:rPr>
            </w:pPr>
            <w:r>
              <w:rPr>
                <w:rFonts w:ascii="Arial" w:cs="Arial" w:eastAsia="Arial" w:hAnsi="Arial"/>
                <w:sz w:val="14"/>
                <w:szCs w:val="14"/>
                <w:color w:val="1A6DBB"/>
              </w:rPr>
              <w:t xml:space="preserve">•  </w:t>
            </w:r>
            <w:r>
              <w:rPr>
                <w:rFonts w:ascii="Arial" w:cs="Arial" w:eastAsia="Arial" w:hAnsi="Arial"/>
                <w:sz w:val="14"/>
                <w:szCs w:val="14"/>
                <w:color w:val="000000"/>
              </w:rPr>
              <w:t>reviewing executive and senior management development programs; and</w:t>
            </w:r>
          </w:p>
        </w:tc>
        <w:tc>
          <w:tcPr>
            <w:tcW w:w="2180" w:type="dxa"/>
            <w:vAlign w:val="bottom"/>
            <w:shd w:val="clear" w:color="auto" w:fill="BAD3EA"/>
          </w:tcPr>
          <w:p>
            <w:pPr>
              <w:spacing w:after="0"/>
              <w:rPr>
                <w:sz w:val="14"/>
                <w:szCs w:val="14"/>
                <w:color w:val="auto"/>
              </w:rPr>
            </w:pPr>
          </w:p>
        </w:tc>
        <w:tc>
          <w:tcPr>
            <w:tcW w:w="880" w:type="dxa"/>
            <w:vAlign w:val="bottom"/>
            <w:shd w:val="clear" w:color="auto" w:fill="BAD3E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BAD3EA"/>
          </w:tcPr>
          <w:p>
            <w:pPr>
              <w:spacing w:after="0"/>
              <w:rPr>
                <w:sz w:val="14"/>
                <w:szCs w:val="14"/>
                <w:color w:val="auto"/>
              </w:rPr>
            </w:pPr>
          </w:p>
        </w:tc>
        <w:tc>
          <w:tcPr>
            <w:tcW w:w="6280" w:type="dxa"/>
            <w:vAlign w:val="bottom"/>
            <w:shd w:val="clear" w:color="auto" w:fill="BAD3EA"/>
          </w:tcPr>
          <w:p>
            <w:pPr>
              <w:ind w:left="200"/>
              <w:spacing w:after="0"/>
              <w:rPr>
                <w:sz w:val="20"/>
                <w:szCs w:val="20"/>
                <w:color w:val="auto"/>
              </w:rPr>
            </w:pPr>
            <w:r>
              <w:rPr>
                <w:rFonts w:ascii="Arial" w:cs="Arial" w:eastAsia="Arial" w:hAnsi="Arial"/>
                <w:sz w:val="14"/>
                <w:szCs w:val="14"/>
                <w:color w:val="1A6DBB"/>
              </w:rPr>
              <w:t xml:space="preserve">•  </w:t>
            </w:r>
            <w:r>
              <w:rPr>
                <w:rFonts w:ascii="Arial" w:cs="Arial" w:eastAsia="Arial" w:hAnsi="Arial"/>
                <w:sz w:val="14"/>
                <w:szCs w:val="14"/>
                <w:color w:val="000000"/>
              </w:rPr>
              <w:t>recommending to our Board of Directors the compensation of our non-employee</w:t>
            </w:r>
          </w:p>
        </w:tc>
        <w:tc>
          <w:tcPr>
            <w:tcW w:w="2180" w:type="dxa"/>
            <w:vAlign w:val="bottom"/>
            <w:shd w:val="clear" w:color="auto" w:fill="BAD3EA"/>
          </w:tcPr>
          <w:p>
            <w:pPr>
              <w:spacing w:after="0"/>
              <w:rPr>
                <w:sz w:val="14"/>
                <w:szCs w:val="14"/>
                <w:color w:val="auto"/>
              </w:rPr>
            </w:pPr>
          </w:p>
        </w:tc>
        <w:tc>
          <w:tcPr>
            <w:tcW w:w="880" w:type="dxa"/>
            <w:vAlign w:val="bottom"/>
            <w:shd w:val="clear" w:color="auto" w:fill="BAD3EA"/>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680" w:type="dxa"/>
            <w:vAlign w:val="bottom"/>
            <w:tcBorders>
              <w:bottom w:val="single" w:sz="8" w:color="BAD3EA"/>
            </w:tcBorders>
            <w:shd w:val="clear" w:color="auto" w:fill="BAD3EA"/>
          </w:tcPr>
          <w:p>
            <w:pPr>
              <w:spacing w:after="0"/>
              <w:rPr>
                <w:sz w:val="16"/>
                <w:szCs w:val="16"/>
                <w:color w:val="auto"/>
              </w:rPr>
            </w:pPr>
          </w:p>
        </w:tc>
        <w:tc>
          <w:tcPr>
            <w:tcW w:w="6280" w:type="dxa"/>
            <w:vAlign w:val="bottom"/>
            <w:tcBorders>
              <w:bottom w:val="single" w:sz="8" w:color="BAD3EA"/>
            </w:tcBorders>
            <w:shd w:val="clear" w:color="auto" w:fill="BAD3EA"/>
          </w:tcPr>
          <w:p>
            <w:pPr>
              <w:ind w:left="420"/>
              <w:spacing w:after="0"/>
              <w:rPr>
                <w:sz w:val="20"/>
                <w:szCs w:val="20"/>
                <w:color w:val="auto"/>
              </w:rPr>
            </w:pPr>
            <w:r>
              <w:rPr>
                <w:rFonts w:ascii="Arial" w:cs="Arial" w:eastAsia="Arial" w:hAnsi="Arial"/>
                <w:sz w:val="14"/>
                <w:szCs w:val="14"/>
                <w:color w:val="auto"/>
              </w:rPr>
              <w:t>directors.</w:t>
            </w:r>
          </w:p>
        </w:tc>
        <w:tc>
          <w:tcPr>
            <w:tcW w:w="2180" w:type="dxa"/>
            <w:vAlign w:val="bottom"/>
            <w:tcBorders>
              <w:bottom w:val="single" w:sz="8" w:color="BAD3EA"/>
            </w:tcBorders>
            <w:shd w:val="clear" w:color="auto" w:fill="BAD3EA"/>
          </w:tcPr>
          <w:p>
            <w:pPr>
              <w:spacing w:after="0"/>
              <w:rPr>
                <w:sz w:val="16"/>
                <w:szCs w:val="16"/>
                <w:color w:val="auto"/>
              </w:rPr>
            </w:pPr>
          </w:p>
        </w:tc>
        <w:tc>
          <w:tcPr>
            <w:tcW w:w="880" w:type="dxa"/>
            <w:vAlign w:val="bottom"/>
            <w:tcBorders>
              <w:bottom w:val="single" w:sz="8" w:color="BAD3EA"/>
            </w:tcBorders>
            <w:shd w:val="clear" w:color="auto" w:fill="BAD3EA"/>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680" w:type="dxa"/>
            <w:vAlign w:val="bottom"/>
            <w:shd w:val="clear" w:color="auto" w:fill="E8F0F8"/>
          </w:tcPr>
          <w:p>
            <w:pPr>
              <w:ind w:left="60"/>
              <w:spacing w:after="0"/>
              <w:rPr>
                <w:sz w:val="20"/>
                <w:szCs w:val="20"/>
                <w:color w:val="auto"/>
              </w:rPr>
            </w:pPr>
            <w:r>
              <w:rPr>
                <w:rFonts w:ascii="Arial" w:cs="Arial" w:eastAsia="Arial" w:hAnsi="Arial"/>
                <w:sz w:val="14"/>
                <w:szCs w:val="14"/>
                <w:color w:val="auto"/>
              </w:rPr>
              <w:t>Corporate</w:t>
            </w:r>
          </w:p>
        </w:tc>
        <w:tc>
          <w:tcPr>
            <w:tcW w:w="6280" w:type="dxa"/>
            <w:vAlign w:val="bottom"/>
            <w:vMerge w:val="restart"/>
            <w:shd w:val="clear" w:color="auto" w:fill="E8F0F8"/>
          </w:tcPr>
          <w:p>
            <w:pPr>
              <w:ind w:left="200"/>
              <w:spacing w:after="0"/>
              <w:rPr>
                <w:sz w:val="20"/>
                <w:szCs w:val="20"/>
                <w:color w:val="auto"/>
              </w:rPr>
            </w:pPr>
            <w:r>
              <w:rPr>
                <w:rFonts w:ascii="Arial" w:cs="Arial" w:eastAsia="Arial" w:hAnsi="Arial"/>
                <w:sz w:val="14"/>
                <w:szCs w:val="14"/>
                <w:color w:val="auto"/>
              </w:rPr>
              <w:t>Assists our Board of Directors in assuring sound corporate governance practices and</w:t>
            </w:r>
          </w:p>
        </w:tc>
        <w:tc>
          <w:tcPr>
            <w:tcW w:w="218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Alexander J. Denner (Chair)</w:t>
            </w:r>
          </w:p>
        </w:tc>
        <w:tc>
          <w:tcPr>
            <w:tcW w:w="880" w:type="dxa"/>
            <w:vAlign w:val="bottom"/>
            <w:shd w:val="clear" w:color="auto" w:fill="E8F0F8"/>
          </w:tcPr>
          <w:p>
            <w:pPr>
              <w:jc w:val="right"/>
              <w:ind w:right="4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35"/>
        </w:trPr>
        <w:tc>
          <w:tcPr>
            <w:tcW w:w="1680" w:type="dxa"/>
            <w:vAlign w:val="bottom"/>
            <w:shd w:val="clear" w:color="auto" w:fill="E8F0F8"/>
          </w:tcPr>
          <w:p>
            <w:pPr>
              <w:ind w:left="60"/>
              <w:spacing w:after="0" w:line="135" w:lineRule="exact"/>
              <w:rPr>
                <w:sz w:val="20"/>
                <w:szCs w:val="20"/>
                <w:color w:val="auto"/>
              </w:rPr>
            </w:pPr>
            <w:r>
              <w:rPr>
                <w:rFonts w:ascii="Arial" w:cs="Arial" w:eastAsia="Arial" w:hAnsi="Arial"/>
                <w:sz w:val="14"/>
                <w:szCs w:val="14"/>
                <w:color w:val="auto"/>
              </w:rPr>
              <w:t>Governance</w:t>
            </w:r>
          </w:p>
        </w:tc>
        <w:tc>
          <w:tcPr>
            <w:tcW w:w="6280" w:type="dxa"/>
            <w:vAlign w:val="bottom"/>
            <w:vMerge w:val="continue"/>
            <w:shd w:val="clear" w:color="auto" w:fill="E8F0F8"/>
          </w:tcPr>
          <w:p>
            <w:pPr>
              <w:spacing w:after="0"/>
              <w:rPr>
                <w:sz w:val="11"/>
                <w:szCs w:val="11"/>
                <w:color w:val="auto"/>
              </w:rPr>
            </w:pPr>
          </w:p>
        </w:tc>
        <w:tc>
          <w:tcPr>
            <w:tcW w:w="2180" w:type="dxa"/>
            <w:vAlign w:val="bottom"/>
            <w:shd w:val="clear" w:color="auto" w:fill="E8F0F8"/>
          </w:tcPr>
          <w:p>
            <w:pPr>
              <w:jc w:val="center"/>
              <w:spacing w:after="0" w:line="135" w:lineRule="exact"/>
              <w:rPr>
                <w:sz w:val="20"/>
                <w:szCs w:val="20"/>
                <w:color w:val="auto"/>
              </w:rPr>
            </w:pPr>
            <w:r>
              <w:rPr>
                <w:rFonts w:ascii="Arial" w:cs="Arial" w:eastAsia="Arial" w:hAnsi="Arial"/>
                <w:sz w:val="14"/>
                <w:szCs w:val="14"/>
                <w:color w:val="auto"/>
              </w:rPr>
              <w:t>Brian S. Posner</w:t>
            </w:r>
          </w:p>
        </w:tc>
        <w:tc>
          <w:tcPr>
            <w:tcW w:w="880" w:type="dxa"/>
            <w:vAlign w:val="bottom"/>
            <w:shd w:val="clear" w:color="auto" w:fill="E8F0F8"/>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1680" w:type="dxa"/>
            <w:vAlign w:val="bottom"/>
            <w:shd w:val="clear" w:color="auto" w:fill="E8F0F8"/>
          </w:tcPr>
          <w:p>
            <w:pPr>
              <w:spacing w:after="0"/>
              <w:rPr>
                <w:sz w:val="17"/>
                <w:szCs w:val="17"/>
                <w:color w:val="auto"/>
              </w:rPr>
            </w:pPr>
          </w:p>
        </w:tc>
        <w:tc>
          <w:tcPr>
            <w:tcW w:w="6280" w:type="dxa"/>
            <w:vAlign w:val="bottom"/>
            <w:shd w:val="clear" w:color="auto" w:fill="E8F0F8"/>
          </w:tcPr>
          <w:p>
            <w:pPr>
              <w:ind w:left="200"/>
              <w:spacing w:after="0"/>
              <w:rPr>
                <w:sz w:val="20"/>
                <w:szCs w:val="20"/>
                <w:color w:val="auto"/>
              </w:rPr>
            </w:pPr>
            <w:r>
              <w:rPr>
                <w:rFonts w:ascii="Arial" w:cs="Arial" w:eastAsia="Arial" w:hAnsi="Arial"/>
                <w:sz w:val="14"/>
                <w:szCs w:val="14"/>
                <w:color w:val="auto"/>
              </w:rPr>
              <w:t>identifying qualified nominees to our Board of Directors and its committees.</w:t>
            </w:r>
          </w:p>
        </w:tc>
        <w:tc>
          <w:tcPr>
            <w:tcW w:w="218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Eric K. Rowinsky</w:t>
            </w:r>
          </w:p>
        </w:tc>
        <w:tc>
          <w:tcPr>
            <w:tcW w:w="880" w:type="dxa"/>
            <w:vAlign w:val="bottom"/>
            <w:shd w:val="clear" w:color="auto" w:fill="E8F0F8"/>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680" w:type="dxa"/>
            <w:vAlign w:val="bottom"/>
            <w:shd w:val="clear" w:color="auto" w:fill="BAD3EA"/>
          </w:tcPr>
          <w:p>
            <w:pPr>
              <w:ind w:left="60"/>
              <w:spacing w:after="0"/>
              <w:rPr>
                <w:sz w:val="20"/>
                <w:szCs w:val="20"/>
                <w:color w:val="auto"/>
              </w:rPr>
            </w:pPr>
            <w:r>
              <w:rPr>
                <w:rFonts w:ascii="Arial" w:cs="Arial" w:eastAsia="Arial" w:hAnsi="Arial"/>
                <w:sz w:val="14"/>
                <w:szCs w:val="14"/>
                <w:color w:val="auto"/>
              </w:rPr>
              <w:t>Finance</w:t>
            </w:r>
          </w:p>
        </w:tc>
        <w:tc>
          <w:tcPr>
            <w:tcW w:w="6280" w:type="dxa"/>
            <w:vAlign w:val="bottom"/>
            <w:shd w:val="clear" w:color="auto" w:fill="BAD3EA"/>
          </w:tcPr>
          <w:p>
            <w:pPr>
              <w:ind w:left="200"/>
              <w:spacing w:after="0"/>
              <w:rPr>
                <w:sz w:val="20"/>
                <w:szCs w:val="20"/>
                <w:color w:val="auto"/>
              </w:rPr>
            </w:pPr>
            <w:r>
              <w:rPr>
                <w:rFonts w:ascii="Arial" w:cs="Arial" w:eastAsia="Arial" w:hAnsi="Arial"/>
                <w:sz w:val="14"/>
                <w:szCs w:val="14"/>
                <w:color w:val="auto"/>
              </w:rPr>
              <w:t>Assists our Board of Directors with oversight of our financial strategy, policies and practices.</w:t>
            </w:r>
          </w:p>
        </w:tc>
        <w:tc>
          <w:tcPr>
            <w:tcW w:w="2180" w:type="dxa"/>
            <w:vAlign w:val="bottom"/>
            <w:shd w:val="clear" w:color="auto" w:fill="BAD3EA"/>
          </w:tcPr>
          <w:p>
            <w:pPr>
              <w:jc w:val="center"/>
              <w:spacing w:after="0"/>
              <w:rPr>
                <w:sz w:val="20"/>
                <w:szCs w:val="20"/>
                <w:color w:val="auto"/>
              </w:rPr>
            </w:pPr>
            <w:r>
              <w:rPr>
                <w:rFonts w:ascii="Arial" w:cs="Arial" w:eastAsia="Arial" w:hAnsi="Arial"/>
                <w:sz w:val="14"/>
                <w:szCs w:val="14"/>
                <w:color w:val="auto"/>
              </w:rPr>
              <w:t>Brian S. Posner (Chair)</w:t>
            </w:r>
          </w:p>
        </w:tc>
        <w:tc>
          <w:tcPr>
            <w:tcW w:w="880" w:type="dxa"/>
            <w:vAlign w:val="bottom"/>
            <w:shd w:val="clear" w:color="auto" w:fill="BAD3EA"/>
          </w:tcPr>
          <w:p>
            <w:pPr>
              <w:jc w:val="right"/>
              <w:ind w:right="4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1680" w:type="dxa"/>
            <w:vAlign w:val="bottom"/>
            <w:shd w:val="clear" w:color="auto" w:fill="BAD3EA"/>
          </w:tcPr>
          <w:p>
            <w:pPr>
              <w:spacing w:after="0"/>
              <w:rPr>
                <w:sz w:val="14"/>
                <w:szCs w:val="14"/>
                <w:color w:val="auto"/>
              </w:rPr>
            </w:pPr>
          </w:p>
        </w:tc>
        <w:tc>
          <w:tcPr>
            <w:tcW w:w="6280" w:type="dxa"/>
            <w:vAlign w:val="bottom"/>
            <w:shd w:val="clear" w:color="auto" w:fill="BAD3EA"/>
          </w:tcPr>
          <w:p>
            <w:pPr>
              <w:spacing w:after="0"/>
              <w:rPr>
                <w:sz w:val="14"/>
                <w:szCs w:val="14"/>
                <w:color w:val="auto"/>
              </w:rPr>
            </w:pPr>
          </w:p>
        </w:tc>
        <w:tc>
          <w:tcPr>
            <w:tcW w:w="2180" w:type="dxa"/>
            <w:vAlign w:val="bottom"/>
            <w:shd w:val="clear" w:color="auto" w:fill="BAD3EA"/>
          </w:tcPr>
          <w:p>
            <w:pPr>
              <w:jc w:val="center"/>
              <w:spacing w:after="0"/>
              <w:rPr>
                <w:sz w:val="20"/>
                <w:szCs w:val="20"/>
                <w:color w:val="auto"/>
              </w:rPr>
            </w:pPr>
            <w:r>
              <w:rPr>
                <w:rFonts w:ascii="Arial" w:cs="Arial" w:eastAsia="Arial" w:hAnsi="Arial"/>
                <w:sz w:val="14"/>
                <w:szCs w:val="14"/>
                <w:color w:val="auto"/>
              </w:rPr>
              <w:t>Alexander J. Denner</w:t>
            </w:r>
          </w:p>
        </w:tc>
        <w:tc>
          <w:tcPr>
            <w:tcW w:w="880" w:type="dxa"/>
            <w:vAlign w:val="bottom"/>
            <w:shd w:val="clear" w:color="auto" w:fill="BAD3E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BAD3EA"/>
          </w:tcPr>
          <w:p>
            <w:pPr>
              <w:spacing w:after="0"/>
              <w:rPr>
                <w:sz w:val="14"/>
                <w:szCs w:val="14"/>
                <w:color w:val="auto"/>
              </w:rPr>
            </w:pPr>
          </w:p>
        </w:tc>
        <w:tc>
          <w:tcPr>
            <w:tcW w:w="6280" w:type="dxa"/>
            <w:vAlign w:val="bottom"/>
            <w:shd w:val="clear" w:color="auto" w:fill="BAD3EA"/>
          </w:tcPr>
          <w:p>
            <w:pPr>
              <w:spacing w:after="0"/>
              <w:rPr>
                <w:sz w:val="14"/>
                <w:szCs w:val="14"/>
                <w:color w:val="auto"/>
              </w:rPr>
            </w:pPr>
          </w:p>
        </w:tc>
        <w:tc>
          <w:tcPr>
            <w:tcW w:w="2180" w:type="dxa"/>
            <w:vAlign w:val="bottom"/>
            <w:shd w:val="clear" w:color="auto" w:fill="BAD3EA"/>
          </w:tcPr>
          <w:p>
            <w:pPr>
              <w:jc w:val="center"/>
              <w:spacing w:after="0"/>
              <w:rPr>
                <w:sz w:val="20"/>
                <w:szCs w:val="20"/>
                <w:color w:val="auto"/>
              </w:rPr>
            </w:pPr>
            <w:r>
              <w:rPr>
                <w:rFonts w:ascii="Arial" w:cs="Arial" w:eastAsia="Arial" w:hAnsi="Arial"/>
                <w:sz w:val="14"/>
                <w:szCs w:val="14"/>
                <w:color w:val="auto"/>
              </w:rPr>
              <w:t>Robert W. Pangia</w:t>
            </w:r>
          </w:p>
        </w:tc>
        <w:tc>
          <w:tcPr>
            <w:tcW w:w="880" w:type="dxa"/>
            <w:vAlign w:val="bottom"/>
            <w:shd w:val="clear" w:color="auto" w:fill="BAD3E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BAD3EA"/>
          </w:tcPr>
          <w:p>
            <w:pPr>
              <w:spacing w:after="0"/>
              <w:rPr>
                <w:sz w:val="14"/>
                <w:szCs w:val="14"/>
                <w:color w:val="auto"/>
              </w:rPr>
            </w:pPr>
          </w:p>
        </w:tc>
        <w:tc>
          <w:tcPr>
            <w:tcW w:w="6280" w:type="dxa"/>
            <w:vAlign w:val="bottom"/>
            <w:shd w:val="clear" w:color="auto" w:fill="BAD3EA"/>
          </w:tcPr>
          <w:p>
            <w:pPr>
              <w:spacing w:after="0"/>
              <w:rPr>
                <w:sz w:val="14"/>
                <w:szCs w:val="14"/>
                <w:color w:val="auto"/>
              </w:rPr>
            </w:pPr>
          </w:p>
        </w:tc>
        <w:tc>
          <w:tcPr>
            <w:tcW w:w="2180" w:type="dxa"/>
            <w:vAlign w:val="bottom"/>
            <w:shd w:val="clear" w:color="auto" w:fill="BAD3EA"/>
          </w:tcPr>
          <w:p>
            <w:pPr>
              <w:jc w:val="center"/>
              <w:spacing w:after="0"/>
              <w:rPr>
                <w:sz w:val="20"/>
                <w:szCs w:val="20"/>
                <w:color w:val="auto"/>
              </w:rPr>
            </w:pPr>
            <w:r>
              <w:rPr>
                <w:rFonts w:ascii="Arial" w:cs="Arial" w:eastAsia="Arial" w:hAnsi="Arial"/>
                <w:sz w:val="14"/>
                <w:szCs w:val="14"/>
                <w:color w:val="auto"/>
              </w:rPr>
              <w:t>Stelios Papadopoulos</w:t>
            </w:r>
          </w:p>
        </w:tc>
        <w:tc>
          <w:tcPr>
            <w:tcW w:w="880" w:type="dxa"/>
            <w:vAlign w:val="bottom"/>
            <w:shd w:val="clear" w:color="auto" w:fill="BAD3EA"/>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680" w:type="dxa"/>
            <w:vAlign w:val="bottom"/>
            <w:tcBorders>
              <w:bottom w:val="single" w:sz="8" w:color="BAD3EA"/>
            </w:tcBorders>
            <w:shd w:val="clear" w:color="auto" w:fill="BAD3EA"/>
          </w:tcPr>
          <w:p>
            <w:pPr>
              <w:spacing w:after="0"/>
              <w:rPr>
                <w:sz w:val="16"/>
                <w:szCs w:val="16"/>
                <w:color w:val="auto"/>
              </w:rPr>
            </w:pPr>
          </w:p>
        </w:tc>
        <w:tc>
          <w:tcPr>
            <w:tcW w:w="6280" w:type="dxa"/>
            <w:vAlign w:val="bottom"/>
            <w:tcBorders>
              <w:bottom w:val="single" w:sz="8" w:color="BAD3EA"/>
            </w:tcBorders>
            <w:shd w:val="clear" w:color="auto" w:fill="BAD3EA"/>
          </w:tcPr>
          <w:p>
            <w:pPr>
              <w:spacing w:after="0"/>
              <w:rPr>
                <w:sz w:val="16"/>
                <w:szCs w:val="16"/>
                <w:color w:val="auto"/>
              </w:rPr>
            </w:pPr>
          </w:p>
        </w:tc>
        <w:tc>
          <w:tcPr>
            <w:tcW w:w="218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4"/>
                <w:szCs w:val="14"/>
                <w:color w:val="auto"/>
              </w:rPr>
              <w:t>Stephen A. Sherwin</w:t>
            </w:r>
          </w:p>
        </w:tc>
        <w:tc>
          <w:tcPr>
            <w:tcW w:w="880" w:type="dxa"/>
            <w:vAlign w:val="bottom"/>
            <w:tcBorders>
              <w:bottom w:val="single" w:sz="8" w:color="BAD3EA"/>
            </w:tcBorders>
            <w:shd w:val="clear" w:color="auto" w:fill="BAD3EA"/>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680" w:type="dxa"/>
            <w:vAlign w:val="bottom"/>
            <w:shd w:val="clear" w:color="auto" w:fill="E8F0F8"/>
          </w:tcPr>
          <w:p>
            <w:pPr>
              <w:ind w:left="60"/>
              <w:spacing w:after="0"/>
              <w:rPr>
                <w:sz w:val="20"/>
                <w:szCs w:val="20"/>
                <w:color w:val="auto"/>
              </w:rPr>
            </w:pPr>
            <w:r>
              <w:rPr>
                <w:rFonts w:ascii="Arial" w:cs="Arial" w:eastAsia="Arial" w:hAnsi="Arial"/>
                <w:sz w:val="14"/>
                <w:szCs w:val="14"/>
                <w:color w:val="auto"/>
              </w:rPr>
              <w:t>Risk</w:t>
            </w:r>
          </w:p>
        </w:tc>
        <w:tc>
          <w:tcPr>
            <w:tcW w:w="6280" w:type="dxa"/>
            <w:vAlign w:val="bottom"/>
            <w:shd w:val="clear" w:color="auto" w:fill="E8F0F8"/>
          </w:tcPr>
          <w:p>
            <w:pPr>
              <w:ind w:left="200"/>
              <w:spacing w:after="0"/>
              <w:rPr>
                <w:sz w:val="20"/>
                <w:szCs w:val="20"/>
                <w:color w:val="auto"/>
              </w:rPr>
            </w:pPr>
            <w:r>
              <w:rPr>
                <w:rFonts w:ascii="Arial" w:cs="Arial" w:eastAsia="Arial" w:hAnsi="Arial"/>
                <w:sz w:val="14"/>
                <w:szCs w:val="14"/>
                <w:color w:val="auto"/>
              </w:rPr>
              <w:t>Assists our Board of Directors with oversight of management’s exercise of its responsibility</w:t>
            </w:r>
          </w:p>
        </w:tc>
        <w:tc>
          <w:tcPr>
            <w:tcW w:w="218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Lynn Schenk (Chair)</w:t>
            </w:r>
          </w:p>
        </w:tc>
        <w:tc>
          <w:tcPr>
            <w:tcW w:w="880" w:type="dxa"/>
            <w:vAlign w:val="bottom"/>
            <w:shd w:val="clear" w:color="auto" w:fill="E8F0F8"/>
          </w:tcPr>
          <w:p>
            <w:pPr>
              <w:jc w:val="right"/>
              <w:ind w:right="4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2"/>
        </w:trPr>
        <w:tc>
          <w:tcPr>
            <w:tcW w:w="1680" w:type="dxa"/>
            <w:vAlign w:val="bottom"/>
            <w:shd w:val="clear" w:color="auto" w:fill="E8F0F8"/>
          </w:tcPr>
          <w:p>
            <w:pPr>
              <w:spacing w:after="0"/>
              <w:rPr>
                <w:sz w:val="14"/>
                <w:szCs w:val="14"/>
                <w:color w:val="auto"/>
              </w:rPr>
            </w:pPr>
          </w:p>
        </w:tc>
        <w:tc>
          <w:tcPr>
            <w:tcW w:w="6280" w:type="dxa"/>
            <w:vAlign w:val="bottom"/>
            <w:shd w:val="clear" w:color="auto" w:fill="E8F0F8"/>
          </w:tcPr>
          <w:p>
            <w:pPr>
              <w:ind w:left="200"/>
              <w:spacing w:after="0"/>
              <w:rPr>
                <w:sz w:val="20"/>
                <w:szCs w:val="20"/>
                <w:color w:val="auto"/>
              </w:rPr>
            </w:pPr>
            <w:r>
              <w:rPr>
                <w:rFonts w:ascii="Arial" w:cs="Arial" w:eastAsia="Arial" w:hAnsi="Arial"/>
                <w:sz w:val="14"/>
                <w:szCs w:val="14"/>
                <w:color w:val="auto"/>
              </w:rPr>
              <w:t>to assess and manage risks associated with our business and operations.</w:t>
            </w:r>
          </w:p>
        </w:tc>
        <w:tc>
          <w:tcPr>
            <w:tcW w:w="218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Caroline D. Dorsa</w:t>
            </w:r>
          </w:p>
        </w:tc>
        <w:tc>
          <w:tcPr>
            <w:tcW w:w="880" w:type="dxa"/>
            <w:vAlign w:val="bottom"/>
            <w:shd w:val="clear" w:color="auto" w:fill="E8F0F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E8F0F8"/>
          </w:tcPr>
          <w:p>
            <w:pPr>
              <w:spacing w:after="0"/>
              <w:rPr>
                <w:sz w:val="14"/>
                <w:szCs w:val="14"/>
                <w:color w:val="auto"/>
              </w:rPr>
            </w:pPr>
          </w:p>
        </w:tc>
        <w:tc>
          <w:tcPr>
            <w:tcW w:w="6280" w:type="dxa"/>
            <w:vAlign w:val="bottom"/>
            <w:vMerge w:val="restart"/>
            <w:shd w:val="clear" w:color="auto" w:fill="E8F0F8"/>
          </w:tcPr>
          <w:p>
            <w:pPr>
              <w:ind w:left="200"/>
              <w:spacing w:after="0"/>
              <w:rPr>
                <w:sz w:val="20"/>
                <w:szCs w:val="20"/>
                <w:color w:val="auto"/>
              </w:rPr>
            </w:pPr>
            <w:r>
              <w:rPr>
                <w:rFonts w:ascii="Arial" w:cs="Arial" w:eastAsia="Arial" w:hAnsi="Arial"/>
                <w:sz w:val="14"/>
                <w:szCs w:val="14"/>
                <w:color w:val="auto"/>
              </w:rPr>
              <w:t>For more information on our Board oversight of risks, please see “Board Risk Oversight”</w:t>
            </w:r>
          </w:p>
        </w:tc>
        <w:tc>
          <w:tcPr>
            <w:tcW w:w="218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Nancy L. Leaming</w:t>
            </w:r>
          </w:p>
        </w:tc>
        <w:tc>
          <w:tcPr>
            <w:tcW w:w="880" w:type="dxa"/>
            <w:vAlign w:val="bottom"/>
            <w:shd w:val="clear" w:color="auto" w:fill="E8F0F8"/>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680" w:type="dxa"/>
            <w:vAlign w:val="bottom"/>
            <w:shd w:val="clear" w:color="auto" w:fill="E8F0F8"/>
          </w:tcPr>
          <w:p>
            <w:pPr>
              <w:spacing w:after="0"/>
              <w:rPr>
                <w:sz w:val="7"/>
                <w:szCs w:val="7"/>
                <w:color w:val="auto"/>
              </w:rPr>
            </w:pPr>
          </w:p>
        </w:tc>
        <w:tc>
          <w:tcPr>
            <w:tcW w:w="6280" w:type="dxa"/>
            <w:vAlign w:val="bottom"/>
            <w:vMerge w:val="continue"/>
            <w:shd w:val="clear" w:color="auto" w:fill="E8F0F8"/>
          </w:tcPr>
          <w:p>
            <w:pPr>
              <w:spacing w:after="0"/>
              <w:rPr>
                <w:sz w:val="7"/>
                <w:szCs w:val="7"/>
                <w:color w:val="auto"/>
              </w:rPr>
            </w:pPr>
          </w:p>
        </w:tc>
        <w:tc>
          <w:tcPr>
            <w:tcW w:w="2180" w:type="dxa"/>
            <w:vAlign w:val="bottom"/>
            <w:vMerge w:val="restart"/>
            <w:shd w:val="clear" w:color="auto" w:fill="E8F0F8"/>
          </w:tcPr>
          <w:p>
            <w:pPr>
              <w:jc w:val="center"/>
              <w:spacing w:after="0"/>
              <w:rPr>
                <w:sz w:val="20"/>
                <w:szCs w:val="20"/>
                <w:color w:val="auto"/>
              </w:rPr>
            </w:pPr>
            <w:r>
              <w:rPr>
                <w:rFonts w:ascii="Arial" w:cs="Arial" w:eastAsia="Arial" w:hAnsi="Arial"/>
                <w:sz w:val="14"/>
                <w:szCs w:val="14"/>
                <w:color w:val="auto"/>
              </w:rPr>
              <w:t>Stephen A. Sherwin</w:t>
            </w:r>
          </w:p>
        </w:tc>
        <w:tc>
          <w:tcPr>
            <w:tcW w:w="880" w:type="dxa"/>
            <w:vAlign w:val="bottom"/>
            <w:shd w:val="clear" w:color="auto" w:fill="E8F0F8"/>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80" w:type="dxa"/>
            <w:vAlign w:val="bottom"/>
            <w:shd w:val="clear" w:color="auto" w:fill="E8F0F8"/>
          </w:tcPr>
          <w:p>
            <w:pPr>
              <w:spacing w:after="0"/>
              <w:rPr>
                <w:sz w:val="7"/>
                <w:szCs w:val="7"/>
                <w:color w:val="auto"/>
              </w:rPr>
            </w:pPr>
          </w:p>
        </w:tc>
        <w:tc>
          <w:tcPr>
            <w:tcW w:w="6280" w:type="dxa"/>
            <w:vAlign w:val="bottom"/>
            <w:vMerge w:val="restart"/>
            <w:shd w:val="clear" w:color="auto" w:fill="E8F0F8"/>
          </w:tcPr>
          <w:p>
            <w:pPr>
              <w:ind w:left="200"/>
              <w:spacing w:after="0"/>
              <w:rPr>
                <w:sz w:val="20"/>
                <w:szCs w:val="20"/>
                <w:color w:val="auto"/>
              </w:rPr>
            </w:pPr>
            <w:r>
              <w:rPr>
                <w:rFonts w:ascii="Arial" w:cs="Arial" w:eastAsia="Arial" w:hAnsi="Arial"/>
                <w:sz w:val="14"/>
                <w:szCs w:val="14"/>
                <w:color w:val="auto"/>
              </w:rPr>
              <w:t>below.</w:t>
            </w:r>
          </w:p>
        </w:tc>
        <w:tc>
          <w:tcPr>
            <w:tcW w:w="2180" w:type="dxa"/>
            <w:vAlign w:val="bottom"/>
            <w:vMerge w:val="continue"/>
            <w:shd w:val="clear" w:color="auto" w:fill="E8F0F8"/>
          </w:tcPr>
          <w:p>
            <w:pPr>
              <w:spacing w:after="0"/>
              <w:rPr>
                <w:sz w:val="7"/>
                <w:szCs w:val="7"/>
                <w:color w:val="auto"/>
              </w:rPr>
            </w:pPr>
          </w:p>
        </w:tc>
        <w:tc>
          <w:tcPr>
            <w:tcW w:w="880" w:type="dxa"/>
            <w:vAlign w:val="bottom"/>
            <w:shd w:val="clear" w:color="auto" w:fill="E8F0F8"/>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680" w:type="dxa"/>
            <w:vAlign w:val="bottom"/>
            <w:tcBorders>
              <w:bottom w:val="single" w:sz="8" w:color="E8F0F8"/>
            </w:tcBorders>
            <w:shd w:val="clear" w:color="auto" w:fill="E8F0F8"/>
          </w:tcPr>
          <w:p>
            <w:pPr>
              <w:spacing w:after="0"/>
              <w:rPr>
                <w:sz w:val="8"/>
                <w:szCs w:val="8"/>
                <w:color w:val="auto"/>
              </w:rPr>
            </w:pPr>
          </w:p>
        </w:tc>
        <w:tc>
          <w:tcPr>
            <w:tcW w:w="6280" w:type="dxa"/>
            <w:vAlign w:val="bottom"/>
            <w:tcBorders>
              <w:bottom w:val="single" w:sz="8" w:color="E8F0F8"/>
            </w:tcBorders>
            <w:vMerge w:val="continue"/>
            <w:shd w:val="clear" w:color="auto" w:fill="E8F0F8"/>
          </w:tcPr>
          <w:p>
            <w:pPr>
              <w:spacing w:after="0"/>
              <w:rPr>
                <w:sz w:val="8"/>
                <w:szCs w:val="8"/>
                <w:color w:val="auto"/>
              </w:rPr>
            </w:pPr>
          </w:p>
        </w:tc>
        <w:tc>
          <w:tcPr>
            <w:tcW w:w="2180" w:type="dxa"/>
            <w:vAlign w:val="bottom"/>
            <w:tcBorders>
              <w:bottom w:val="single" w:sz="8" w:color="E8F0F8"/>
            </w:tcBorders>
            <w:shd w:val="clear" w:color="auto" w:fill="E8F0F8"/>
          </w:tcPr>
          <w:p>
            <w:pPr>
              <w:spacing w:after="0"/>
              <w:rPr>
                <w:sz w:val="8"/>
                <w:szCs w:val="8"/>
                <w:color w:val="auto"/>
              </w:rPr>
            </w:pPr>
          </w:p>
        </w:tc>
        <w:tc>
          <w:tcPr>
            <w:tcW w:w="880" w:type="dxa"/>
            <w:vAlign w:val="bottom"/>
            <w:tcBorders>
              <w:bottom w:val="single" w:sz="8" w:color="E8F0F8"/>
            </w:tcBorders>
            <w:shd w:val="clear" w:color="auto" w:fill="E8F0F8"/>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1680" w:type="dxa"/>
            <w:vAlign w:val="bottom"/>
            <w:shd w:val="clear" w:color="auto" w:fill="BAD3EA"/>
          </w:tcPr>
          <w:p>
            <w:pPr>
              <w:ind w:left="60"/>
              <w:spacing w:after="0"/>
              <w:rPr>
                <w:sz w:val="20"/>
                <w:szCs w:val="20"/>
                <w:color w:val="auto"/>
              </w:rPr>
            </w:pPr>
            <w:r>
              <w:rPr>
                <w:rFonts w:ascii="Arial" w:cs="Arial" w:eastAsia="Arial" w:hAnsi="Arial"/>
                <w:sz w:val="14"/>
                <w:szCs w:val="14"/>
                <w:color w:val="auto"/>
              </w:rPr>
              <w:t>Science and</w:t>
            </w:r>
          </w:p>
        </w:tc>
        <w:tc>
          <w:tcPr>
            <w:tcW w:w="6280" w:type="dxa"/>
            <w:vAlign w:val="bottom"/>
            <w:shd w:val="clear" w:color="auto" w:fill="BAD3EA"/>
          </w:tcPr>
          <w:p>
            <w:pPr>
              <w:ind w:left="200"/>
              <w:spacing w:after="0"/>
              <w:rPr>
                <w:sz w:val="20"/>
                <w:szCs w:val="20"/>
                <w:color w:val="auto"/>
              </w:rPr>
            </w:pPr>
            <w:r>
              <w:rPr>
                <w:rFonts w:ascii="Arial" w:cs="Arial" w:eastAsia="Arial" w:hAnsi="Arial"/>
                <w:sz w:val="14"/>
                <w:szCs w:val="14"/>
                <w:color w:val="auto"/>
              </w:rPr>
              <w:t>Assists our Board of Directors with oversight of our key strategic decisions involving</w:t>
            </w:r>
          </w:p>
        </w:tc>
        <w:tc>
          <w:tcPr>
            <w:tcW w:w="2180" w:type="dxa"/>
            <w:vAlign w:val="bottom"/>
            <w:shd w:val="clear" w:color="auto" w:fill="BAD3EA"/>
          </w:tcPr>
          <w:p>
            <w:pPr>
              <w:jc w:val="center"/>
              <w:spacing w:after="0"/>
              <w:rPr>
                <w:sz w:val="20"/>
                <w:szCs w:val="20"/>
                <w:color w:val="auto"/>
              </w:rPr>
            </w:pPr>
            <w:r>
              <w:rPr>
                <w:rFonts w:ascii="Arial" w:cs="Arial" w:eastAsia="Arial" w:hAnsi="Arial"/>
                <w:sz w:val="14"/>
                <w:szCs w:val="14"/>
                <w:color w:val="auto"/>
              </w:rPr>
              <w:t>Richard C. Mulligan (Chair)</w:t>
            </w:r>
          </w:p>
        </w:tc>
        <w:tc>
          <w:tcPr>
            <w:tcW w:w="880" w:type="dxa"/>
            <w:vAlign w:val="bottom"/>
            <w:shd w:val="clear" w:color="auto" w:fill="BAD3EA"/>
          </w:tcPr>
          <w:p>
            <w:pPr>
              <w:jc w:val="right"/>
              <w:ind w:right="4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1680" w:type="dxa"/>
            <w:vAlign w:val="bottom"/>
            <w:shd w:val="clear" w:color="auto" w:fill="BAD3EA"/>
          </w:tcPr>
          <w:p>
            <w:pPr>
              <w:ind w:left="60"/>
              <w:spacing w:after="0"/>
              <w:rPr>
                <w:sz w:val="20"/>
                <w:szCs w:val="20"/>
                <w:color w:val="auto"/>
              </w:rPr>
            </w:pPr>
            <w:r>
              <w:rPr>
                <w:rFonts w:ascii="Arial" w:cs="Arial" w:eastAsia="Arial" w:hAnsi="Arial"/>
                <w:sz w:val="14"/>
                <w:szCs w:val="14"/>
                <w:color w:val="auto"/>
              </w:rPr>
              <w:t>Technology</w:t>
            </w:r>
          </w:p>
        </w:tc>
        <w:tc>
          <w:tcPr>
            <w:tcW w:w="6280" w:type="dxa"/>
            <w:vAlign w:val="bottom"/>
            <w:shd w:val="clear" w:color="auto" w:fill="BAD3EA"/>
          </w:tcPr>
          <w:p>
            <w:pPr>
              <w:ind w:left="200"/>
              <w:spacing w:after="0"/>
              <w:rPr>
                <w:sz w:val="20"/>
                <w:szCs w:val="20"/>
                <w:color w:val="auto"/>
              </w:rPr>
            </w:pPr>
            <w:r>
              <w:rPr>
                <w:rFonts w:ascii="Arial" w:cs="Arial" w:eastAsia="Arial" w:hAnsi="Arial"/>
                <w:sz w:val="14"/>
                <w:szCs w:val="14"/>
                <w:color w:val="auto"/>
              </w:rPr>
              <w:t>research and development matters and our intellectual property portfolio.</w:t>
            </w:r>
          </w:p>
        </w:tc>
        <w:tc>
          <w:tcPr>
            <w:tcW w:w="2180" w:type="dxa"/>
            <w:vAlign w:val="bottom"/>
            <w:shd w:val="clear" w:color="auto" w:fill="BAD3EA"/>
          </w:tcPr>
          <w:p>
            <w:pPr>
              <w:jc w:val="center"/>
              <w:spacing w:after="0"/>
              <w:rPr>
                <w:sz w:val="20"/>
                <w:szCs w:val="20"/>
                <w:color w:val="auto"/>
              </w:rPr>
            </w:pPr>
            <w:r>
              <w:rPr>
                <w:rFonts w:ascii="Arial" w:cs="Arial" w:eastAsia="Arial" w:hAnsi="Arial"/>
                <w:sz w:val="14"/>
                <w:szCs w:val="14"/>
                <w:color w:val="auto"/>
              </w:rPr>
              <w:t>Stelios Papadopoulos</w:t>
            </w:r>
          </w:p>
        </w:tc>
        <w:tc>
          <w:tcPr>
            <w:tcW w:w="880" w:type="dxa"/>
            <w:vAlign w:val="bottom"/>
            <w:shd w:val="clear" w:color="auto" w:fill="BAD3E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BAD3EA"/>
          </w:tcPr>
          <w:p>
            <w:pPr>
              <w:spacing w:after="0"/>
              <w:rPr>
                <w:sz w:val="14"/>
                <w:szCs w:val="14"/>
                <w:color w:val="auto"/>
              </w:rPr>
            </w:pPr>
          </w:p>
        </w:tc>
        <w:tc>
          <w:tcPr>
            <w:tcW w:w="6280" w:type="dxa"/>
            <w:vAlign w:val="bottom"/>
            <w:shd w:val="clear" w:color="auto" w:fill="BAD3EA"/>
          </w:tcPr>
          <w:p>
            <w:pPr>
              <w:spacing w:after="0"/>
              <w:rPr>
                <w:sz w:val="14"/>
                <w:szCs w:val="14"/>
                <w:color w:val="auto"/>
              </w:rPr>
            </w:pPr>
          </w:p>
        </w:tc>
        <w:tc>
          <w:tcPr>
            <w:tcW w:w="2180" w:type="dxa"/>
            <w:vAlign w:val="bottom"/>
            <w:shd w:val="clear" w:color="auto" w:fill="BAD3EA"/>
          </w:tcPr>
          <w:p>
            <w:pPr>
              <w:jc w:val="center"/>
              <w:spacing w:after="0"/>
              <w:rPr>
                <w:sz w:val="20"/>
                <w:szCs w:val="20"/>
                <w:color w:val="auto"/>
              </w:rPr>
            </w:pPr>
            <w:r>
              <w:rPr>
                <w:rFonts w:ascii="Arial" w:cs="Arial" w:eastAsia="Arial" w:hAnsi="Arial"/>
                <w:sz w:val="14"/>
                <w:szCs w:val="14"/>
                <w:color w:val="auto"/>
              </w:rPr>
              <w:t>Eric K. Rowinsky</w:t>
            </w:r>
          </w:p>
        </w:tc>
        <w:tc>
          <w:tcPr>
            <w:tcW w:w="880" w:type="dxa"/>
            <w:vAlign w:val="bottom"/>
            <w:shd w:val="clear" w:color="auto" w:fill="BAD3EA"/>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680" w:type="dxa"/>
            <w:vAlign w:val="bottom"/>
            <w:tcBorders>
              <w:bottom w:val="single" w:sz="8" w:color="BAD3EA"/>
            </w:tcBorders>
            <w:shd w:val="clear" w:color="auto" w:fill="BAD3EA"/>
          </w:tcPr>
          <w:p>
            <w:pPr>
              <w:spacing w:after="0"/>
              <w:rPr>
                <w:sz w:val="16"/>
                <w:szCs w:val="16"/>
                <w:color w:val="auto"/>
              </w:rPr>
            </w:pPr>
          </w:p>
        </w:tc>
        <w:tc>
          <w:tcPr>
            <w:tcW w:w="6280" w:type="dxa"/>
            <w:vAlign w:val="bottom"/>
            <w:tcBorders>
              <w:bottom w:val="single" w:sz="8" w:color="BAD3EA"/>
            </w:tcBorders>
            <w:shd w:val="clear" w:color="auto" w:fill="BAD3EA"/>
          </w:tcPr>
          <w:p>
            <w:pPr>
              <w:spacing w:after="0"/>
              <w:rPr>
                <w:sz w:val="16"/>
                <w:szCs w:val="16"/>
                <w:color w:val="auto"/>
              </w:rPr>
            </w:pPr>
          </w:p>
        </w:tc>
        <w:tc>
          <w:tcPr>
            <w:tcW w:w="218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4"/>
                <w:szCs w:val="14"/>
                <w:color w:val="auto"/>
              </w:rPr>
              <w:t>Stephen A. Sherwin</w:t>
            </w:r>
          </w:p>
        </w:tc>
        <w:tc>
          <w:tcPr>
            <w:tcW w:w="880" w:type="dxa"/>
            <w:vAlign w:val="bottom"/>
            <w:tcBorders>
              <w:bottom w:val="single" w:sz="8" w:color="BAD3EA"/>
            </w:tcBorders>
            <w:shd w:val="clear" w:color="auto" w:fill="BAD3EA"/>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628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200"/>
        <w:spacing w:after="0"/>
        <w:tabs>
          <w:tab w:leader="none" w:pos="400" w:val="left"/>
        </w:tabs>
        <w:rPr>
          <w:sz w:val="20"/>
          <w:szCs w:val="20"/>
          <w:color w:val="auto"/>
        </w:rPr>
      </w:pPr>
      <w:r>
        <w:rPr>
          <w:rFonts w:ascii="Arial" w:cs="Arial" w:eastAsia="Arial" w:hAnsi="Arial"/>
          <w:sz w:val="14"/>
          <w:szCs w:val="14"/>
          <w:color w:val="auto"/>
        </w:rPr>
        <w:t>†</w:t>
        <w:tab/>
        <w:t>Determined by our Board of Directors to be an audit committee financial expert.</w:t>
      </w:r>
    </w:p>
    <w:p>
      <w:pPr>
        <w:spacing w:after="0" w:line="104" w:lineRule="exact"/>
        <w:rPr>
          <w:sz w:val="20"/>
          <w:szCs w:val="20"/>
          <w:color w:val="auto"/>
        </w:rPr>
      </w:pPr>
    </w:p>
    <w:p>
      <w:pPr>
        <w:ind w:left="420" w:right="100" w:hanging="216"/>
        <w:spacing w:after="0" w:line="281" w:lineRule="auto"/>
        <w:tabs>
          <w:tab w:leader="none" w:pos="420" w:val="left"/>
        </w:tabs>
        <w:numPr>
          <w:ilvl w:val="0"/>
          <w:numId w:val="62"/>
        </w:numPr>
        <w:rPr>
          <w:rFonts w:ascii="Arial" w:cs="Arial" w:eastAsia="Arial" w:hAnsi="Arial"/>
          <w:sz w:val="16"/>
          <w:szCs w:val="16"/>
          <w:color w:val="1A6DBB"/>
        </w:rPr>
      </w:pPr>
      <w:r>
        <w:rPr>
          <w:rFonts w:ascii="Arial" w:cs="Arial" w:eastAsia="Arial" w:hAnsi="Arial"/>
          <w:sz w:val="16"/>
          <w:szCs w:val="16"/>
          <w:i w:val="1"/>
          <w:iCs w:val="1"/>
          <w:color w:val="1A6DBB"/>
        </w:rPr>
        <w:t xml:space="preserve">Attendance at Board and Committee Meetings. </w:t>
      </w:r>
      <w:r>
        <w:rPr>
          <w:rFonts w:ascii="Arial" w:cs="Arial" w:eastAsia="Arial" w:hAnsi="Arial"/>
          <w:sz w:val="16"/>
          <w:szCs w:val="16"/>
          <w:color w:val="000000"/>
        </w:rPr>
        <w:t>No director attended fewer than 75% of the total number of meetings of our Board of Directors and the</w:t>
      </w:r>
      <w:r>
        <w:rPr>
          <w:rFonts w:ascii="Arial" w:cs="Arial" w:eastAsia="Arial" w:hAnsi="Arial"/>
          <w:sz w:val="16"/>
          <w:szCs w:val="16"/>
          <w:i w:val="1"/>
          <w:iCs w:val="1"/>
          <w:color w:val="1A6DBB"/>
        </w:rPr>
        <w:t xml:space="preserve"> </w:t>
      </w:r>
      <w:r>
        <w:rPr>
          <w:rFonts w:ascii="Arial" w:cs="Arial" w:eastAsia="Arial" w:hAnsi="Arial"/>
          <w:sz w:val="16"/>
          <w:szCs w:val="16"/>
          <w:color w:val="000000"/>
        </w:rPr>
        <w:t>committees on which he or she served during 2018.</w:t>
      </w:r>
    </w:p>
    <w:p>
      <w:pPr>
        <w:spacing w:after="0" w:line="68" w:lineRule="exact"/>
        <w:rPr>
          <w:rFonts w:ascii="Arial" w:cs="Arial" w:eastAsia="Arial" w:hAnsi="Arial"/>
          <w:sz w:val="16"/>
          <w:szCs w:val="16"/>
          <w:color w:val="1A6DBB"/>
        </w:rPr>
      </w:pPr>
    </w:p>
    <w:p>
      <w:pPr>
        <w:ind w:left="420" w:right="120" w:hanging="216"/>
        <w:spacing w:after="0" w:line="258" w:lineRule="auto"/>
        <w:tabs>
          <w:tab w:leader="none" w:pos="420" w:val="left"/>
        </w:tabs>
        <w:numPr>
          <w:ilvl w:val="0"/>
          <w:numId w:val="62"/>
        </w:numPr>
        <w:rPr>
          <w:rFonts w:ascii="Arial" w:cs="Arial" w:eastAsia="Arial" w:hAnsi="Arial"/>
          <w:sz w:val="16"/>
          <w:szCs w:val="16"/>
          <w:color w:val="1A6DBB"/>
        </w:rPr>
      </w:pPr>
      <w:r>
        <w:rPr>
          <w:rFonts w:ascii="Arial" w:cs="Arial" w:eastAsia="Arial" w:hAnsi="Arial"/>
          <w:sz w:val="16"/>
          <w:szCs w:val="16"/>
          <w:i w:val="1"/>
          <w:iCs w:val="1"/>
          <w:color w:val="1A6DBB"/>
        </w:rPr>
        <w:t xml:space="preserve">Executive Sessions. </w:t>
      </w:r>
      <w:r>
        <w:rPr>
          <w:rFonts w:ascii="Arial" w:cs="Arial" w:eastAsia="Arial" w:hAnsi="Arial"/>
          <w:sz w:val="16"/>
          <w:szCs w:val="16"/>
          <w:color w:val="000000"/>
        </w:rPr>
        <w:t>Under our Corporate Governance Principles, the independent directors of our full Board of Directors are required to meet without</w:t>
      </w:r>
      <w:r>
        <w:rPr>
          <w:rFonts w:ascii="Arial" w:cs="Arial" w:eastAsia="Arial" w:hAnsi="Arial"/>
          <w:sz w:val="16"/>
          <w:szCs w:val="16"/>
          <w:i w:val="1"/>
          <w:iCs w:val="1"/>
          <w:color w:val="1A6DBB"/>
        </w:rPr>
        <w:t xml:space="preserve"> </w:t>
      </w:r>
      <w:r>
        <w:rPr>
          <w:rFonts w:ascii="Arial" w:cs="Arial" w:eastAsia="Arial" w:hAnsi="Arial"/>
          <w:sz w:val="16"/>
          <w:szCs w:val="16"/>
          <w:color w:val="000000"/>
        </w:rPr>
        <w:t>management present at least four times each year and may also meet without management present at such other times as determined by our Chairman or if requested by at least two other directors. In 2018 the independent directors of our full Board of Directors met without management present four times. Each committee of our Board of Directors also had numerous executive sessions throughout the year.</w:t>
      </w:r>
    </w:p>
    <w:p>
      <w:pPr>
        <w:spacing w:after="0" w:line="86" w:lineRule="exact"/>
        <w:rPr>
          <w:rFonts w:ascii="Arial" w:cs="Arial" w:eastAsia="Arial" w:hAnsi="Arial"/>
          <w:sz w:val="16"/>
          <w:szCs w:val="16"/>
          <w:color w:val="1A6DBB"/>
        </w:rPr>
      </w:pPr>
    </w:p>
    <w:p>
      <w:pPr>
        <w:ind w:left="420" w:right="400" w:hanging="216"/>
        <w:spacing w:after="0" w:line="281" w:lineRule="auto"/>
        <w:tabs>
          <w:tab w:leader="none" w:pos="420" w:val="left"/>
        </w:tabs>
        <w:numPr>
          <w:ilvl w:val="0"/>
          <w:numId w:val="62"/>
        </w:numPr>
        <w:rPr>
          <w:rFonts w:ascii="Arial" w:cs="Arial" w:eastAsia="Arial" w:hAnsi="Arial"/>
          <w:sz w:val="16"/>
          <w:szCs w:val="16"/>
          <w:color w:val="1A6DBB"/>
        </w:rPr>
      </w:pPr>
      <w:r>
        <w:rPr>
          <w:rFonts w:ascii="Arial" w:cs="Arial" w:eastAsia="Arial" w:hAnsi="Arial"/>
          <w:sz w:val="16"/>
          <w:szCs w:val="16"/>
          <w:i w:val="1"/>
          <w:iCs w:val="1"/>
          <w:color w:val="1A6DBB"/>
        </w:rPr>
        <w:t xml:space="preserve">Attendance at Stockholder Meeting. </w:t>
      </w:r>
      <w:r>
        <w:rPr>
          <w:rFonts w:ascii="Arial" w:cs="Arial" w:eastAsia="Arial" w:hAnsi="Arial"/>
          <w:sz w:val="16"/>
          <w:szCs w:val="16"/>
          <w:color w:val="000000"/>
        </w:rPr>
        <w:t>We expect all of our directors and director nominees to attend our annual meetings of stockholders. All of our</w:t>
      </w:r>
      <w:r>
        <w:rPr>
          <w:rFonts w:ascii="Arial" w:cs="Arial" w:eastAsia="Arial" w:hAnsi="Arial"/>
          <w:sz w:val="16"/>
          <w:szCs w:val="16"/>
          <w:i w:val="1"/>
          <w:iCs w:val="1"/>
          <w:color w:val="1A6DBB"/>
        </w:rPr>
        <w:t xml:space="preserve"> </w:t>
      </w:r>
      <w:r>
        <w:rPr>
          <w:rFonts w:ascii="Arial" w:cs="Arial" w:eastAsia="Arial" w:hAnsi="Arial"/>
          <w:sz w:val="16"/>
          <w:szCs w:val="16"/>
          <w:color w:val="000000"/>
        </w:rPr>
        <w:t>directors attended our 2018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69850</wp:posOffset>
            </wp:positionV>
            <wp:extent cx="420370" cy="1371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20370" cy="137160"/>
                    </a:xfrm>
                    <a:prstGeom prst="rect">
                      <a:avLst/>
                    </a:prstGeom>
                    <a:noFill/>
                  </pic:spPr>
                </pic:pic>
              </a:graphicData>
            </a:graphic>
          </wp:anchor>
        </w:drawing>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2"/>
          <w:szCs w:val="12"/>
          <w:color w:val="1A6DBB"/>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7019925</wp:posOffset>
            </wp:positionH>
            <wp:positionV relativeFrom="paragraph">
              <wp:posOffset>-71120</wp:posOffset>
            </wp:positionV>
            <wp:extent cx="102870" cy="946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63"/>
        </w:numPr>
        <w:rPr>
          <w:rFonts w:ascii="Arial" w:cs="Arial" w:eastAsia="Arial" w:hAnsi="Arial"/>
          <w:sz w:val="90"/>
          <w:szCs w:val="90"/>
          <w:color w:val="1A6DBB"/>
        </w:rPr>
      </w:pPr>
      <w:r>
        <w:rPr>
          <w:rFonts w:ascii="Arial" w:cs="Arial" w:eastAsia="Arial" w:hAnsi="Arial"/>
          <w:sz w:val="41"/>
          <w:szCs w:val="41"/>
          <w:color w:val="1A6DBB"/>
        </w:rPr>
        <w:t xml:space="preserve">Board of Directors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402590</wp:posOffset>
            </wp:positionV>
            <wp:extent cx="6997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0"/>
        <w:spacing w:after="0"/>
        <w:rPr>
          <w:sz w:val="20"/>
          <w:szCs w:val="20"/>
          <w:color w:val="auto"/>
        </w:rPr>
      </w:pPr>
      <w:r>
        <w:rPr>
          <w:rFonts w:ascii="Arial" w:cs="Arial" w:eastAsia="Arial" w:hAnsi="Arial"/>
          <w:sz w:val="22"/>
          <w:szCs w:val="22"/>
          <w:color w:val="1A6DBB"/>
        </w:rPr>
        <w:t>Director Compensation</w:t>
      </w:r>
    </w:p>
    <w:p>
      <w:pPr>
        <w:spacing w:after="0" w:line="107" w:lineRule="exact"/>
        <w:rPr>
          <w:sz w:val="20"/>
          <w:szCs w:val="20"/>
          <w:color w:val="auto"/>
        </w:rPr>
      </w:pPr>
    </w:p>
    <w:p>
      <w:pPr>
        <w:ind w:left="200" w:right="220"/>
        <w:spacing w:after="0" w:line="260" w:lineRule="auto"/>
        <w:rPr>
          <w:sz w:val="20"/>
          <w:szCs w:val="20"/>
          <w:color w:val="auto"/>
        </w:rPr>
      </w:pPr>
      <w:r>
        <w:rPr>
          <w:rFonts w:ascii="Arial" w:cs="Arial" w:eastAsia="Arial" w:hAnsi="Arial"/>
          <w:sz w:val="16"/>
          <w:szCs w:val="16"/>
          <w:color w:val="auto"/>
        </w:rPr>
        <w:t>This section describes our compensation program for our non-employee directors and shows the compensation paid to or earned by our non-employee directors during 2018. Mr. Vounatsos, our Chief Executive Officer, receives no compensation for his service on our Board of Directors.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1A6DBB"/>
        </w:rPr>
        <w:t>Retainers, Meeting Fees and Expenses</w:t>
      </w:r>
    </w:p>
    <w:p>
      <w:pPr>
        <w:spacing w:after="0" w:line="128" w:lineRule="exact"/>
        <w:rPr>
          <w:sz w:val="20"/>
          <w:szCs w:val="20"/>
          <w:color w:val="auto"/>
        </w:rPr>
      </w:pPr>
    </w:p>
    <w:p>
      <w:pPr>
        <w:ind w:left="200" w:right="120"/>
        <w:spacing w:after="0" w:line="260" w:lineRule="auto"/>
        <w:rPr>
          <w:sz w:val="20"/>
          <w:szCs w:val="20"/>
          <w:color w:val="auto"/>
        </w:rPr>
      </w:pPr>
      <w:r>
        <w:rPr>
          <w:rFonts w:ascii="Arial" w:cs="Arial" w:eastAsia="Arial" w:hAnsi="Arial"/>
          <w:sz w:val="16"/>
          <w:szCs w:val="16"/>
          <w:color w:val="auto"/>
        </w:rPr>
        <w:t>The following table presents the annual retainers and meeting fees for all non-employee members of our Board of Directors in effect in 2018, which were unchanged from 2017:</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4760" w:type="dxa"/>
            <w:vAlign w:val="bottom"/>
            <w:tcBorders>
              <w:top w:val="single" w:sz="8" w:color="auto"/>
              <w:bottom w:val="single" w:sz="8" w:color="auto"/>
            </w:tcBorders>
            <w:shd w:val="clear" w:color="auto" w:fill="1A6DBB"/>
          </w:tcPr>
          <w:p>
            <w:pPr>
              <w:ind w:left="80"/>
              <w:spacing w:after="0"/>
              <w:rPr>
                <w:sz w:val="20"/>
                <w:szCs w:val="20"/>
                <w:color w:val="auto"/>
              </w:rPr>
            </w:pPr>
            <w:r>
              <w:rPr>
                <w:rFonts w:ascii="Arial" w:cs="Arial" w:eastAsia="Arial" w:hAnsi="Arial"/>
                <w:sz w:val="16"/>
                <w:szCs w:val="16"/>
                <w:color w:val="FFFFFF"/>
              </w:rPr>
              <w:t>Retainers</w:t>
            </w:r>
          </w:p>
        </w:tc>
        <w:tc>
          <w:tcPr>
            <w:tcW w:w="300" w:type="dxa"/>
            <w:vAlign w:val="bottom"/>
            <w:tcBorders>
              <w:top w:val="single" w:sz="8" w:color="auto"/>
              <w:bottom w:val="single" w:sz="8" w:color="auto"/>
            </w:tcBorders>
            <w:shd w:val="clear" w:color="auto" w:fill="1A6DBB"/>
          </w:tcPr>
          <w:p>
            <w:pPr>
              <w:spacing w:after="0"/>
              <w:rPr>
                <w:sz w:val="17"/>
                <w:szCs w:val="17"/>
                <w:color w:val="auto"/>
              </w:rPr>
            </w:pPr>
          </w:p>
        </w:tc>
        <w:tc>
          <w:tcPr>
            <w:tcW w:w="530" w:type="dxa"/>
            <w:vAlign w:val="bottom"/>
            <w:tcBorders>
              <w:top w:val="single" w:sz="8" w:color="auto"/>
              <w:bottom w:val="single" w:sz="8" w:color="auto"/>
            </w:tcBorders>
            <w:shd w:val="clear" w:color="auto" w:fill="1A6DBB"/>
          </w:tcPr>
          <w:p>
            <w:pPr>
              <w:spacing w:after="0"/>
              <w:rPr>
                <w:sz w:val="17"/>
                <w:szCs w:val="17"/>
                <w:color w:val="auto"/>
              </w:rPr>
            </w:pPr>
          </w:p>
        </w:tc>
        <w:tc>
          <w:tcPr>
            <w:tcW w:w="4690" w:type="dxa"/>
            <w:vAlign w:val="bottom"/>
            <w:tcBorders>
              <w:top w:val="single" w:sz="8" w:color="auto"/>
              <w:bottom w:val="single" w:sz="8" w:color="auto"/>
            </w:tcBorders>
            <w:shd w:val="clear" w:color="auto" w:fill="1A6DBB"/>
          </w:tcPr>
          <w:p>
            <w:pPr>
              <w:ind w:left="250"/>
              <w:spacing w:after="0"/>
              <w:rPr>
                <w:sz w:val="20"/>
                <w:szCs w:val="20"/>
                <w:color w:val="auto"/>
              </w:rPr>
            </w:pPr>
            <w:r>
              <w:rPr>
                <w:rFonts w:ascii="Arial" w:cs="Arial" w:eastAsia="Arial" w:hAnsi="Arial"/>
                <w:sz w:val="16"/>
                <w:szCs w:val="16"/>
                <w:color w:val="FFFFFF"/>
              </w:rPr>
              <w:t>Meeting Fees</w:t>
            </w:r>
          </w:p>
        </w:tc>
        <w:tc>
          <w:tcPr>
            <w:tcW w:w="740" w:type="dxa"/>
            <w:vAlign w:val="bottom"/>
            <w:tcBorders>
              <w:top w:val="single" w:sz="8" w:color="auto"/>
              <w:bottom w:val="single" w:sz="8" w:color="auto"/>
            </w:tcBorders>
            <w:shd w:val="clear" w:color="auto" w:fill="1A6DBB"/>
          </w:tcPr>
          <w:p>
            <w:pPr>
              <w:spacing w:after="0"/>
              <w:rPr>
                <w:sz w:val="17"/>
                <w:szCs w:val="17"/>
                <w:color w:val="auto"/>
              </w:rPr>
            </w:pPr>
          </w:p>
        </w:tc>
      </w:tr>
      <w:tr>
        <w:trPr>
          <w:trHeight w:val="204"/>
        </w:trPr>
        <w:tc>
          <w:tcPr>
            <w:tcW w:w="4760" w:type="dxa"/>
            <w:vAlign w:val="bottom"/>
            <w:shd w:val="clear" w:color="auto" w:fill="E8F0F8"/>
          </w:tcPr>
          <w:p>
            <w:pPr>
              <w:ind w:left="60"/>
              <w:spacing w:after="0"/>
              <w:rPr>
                <w:sz w:val="20"/>
                <w:szCs w:val="20"/>
                <w:color w:val="auto"/>
              </w:rPr>
            </w:pPr>
            <w:r>
              <w:rPr>
                <w:rFonts w:ascii="Arial" w:cs="Arial" w:eastAsia="Arial" w:hAnsi="Arial"/>
                <w:sz w:val="16"/>
                <w:szCs w:val="16"/>
                <w:color w:val="auto"/>
              </w:rPr>
              <w:t>Annual Board Retainer</w:t>
            </w:r>
          </w:p>
        </w:tc>
        <w:tc>
          <w:tcPr>
            <w:tcW w:w="30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530" w:type="dxa"/>
            <w:vAlign w:val="bottom"/>
            <w:shd w:val="clear" w:color="auto" w:fill="E8F0F8"/>
          </w:tcPr>
          <w:p>
            <w:pPr>
              <w:jc w:val="right"/>
              <w:spacing w:after="0"/>
              <w:rPr>
                <w:sz w:val="20"/>
                <w:szCs w:val="20"/>
                <w:color w:val="auto"/>
              </w:rPr>
            </w:pPr>
            <w:r>
              <w:rPr>
                <w:rFonts w:ascii="Arial" w:cs="Arial" w:eastAsia="Arial" w:hAnsi="Arial"/>
                <w:sz w:val="16"/>
                <w:szCs w:val="16"/>
                <w:color w:val="auto"/>
                <w:w w:val="98"/>
              </w:rPr>
              <w:t>65,000</w:t>
            </w:r>
          </w:p>
        </w:tc>
        <w:tc>
          <w:tcPr>
            <w:tcW w:w="4690" w:type="dxa"/>
            <w:vAlign w:val="bottom"/>
            <w:shd w:val="clear" w:color="auto" w:fill="E8F0F8"/>
          </w:tcPr>
          <w:p>
            <w:pPr>
              <w:ind w:left="250"/>
              <w:spacing w:after="0"/>
              <w:rPr>
                <w:sz w:val="20"/>
                <w:szCs w:val="20"/>
                <w:color w:val="auto"/>
              </w:rPr>
            </w:pPr>
            <w:r>
              <w:rPr>
                <w:rFonts w:ascii="Arial" w:cs="Arial" w:eastAsia="Arial" w:hAnsi="Arial"/>
                <w:sz w:val="16"/>
                <w:szCs w:val="16"/>
                <w:color w:val="auto"/>
              </w:rPr>
              <w:t>Board of Directors Meetings (per meeting day):</w:t>
            </w:r>
          </w:p>
        </w:tc>
        <w:tc>
          <w:tcPr>
            <w:tcW w:w="740" w:type="dxa"/>
            <w:vAlign w:val="bottom"/>
            <w:shd w:val="clear" w:color="auto" w:fill="E8F0F8"/>
          </w:tcPr>
          <w:p>
            <w:pPr>
              <w:spacing w:after="0"/>
              <w:rPr>
                <w:sz w:val="17"/>
                <w:szCs w:val="17"/>
                <w:color w:val="auto"/>
              </w:rPr>
            </w:pPr>
          </w:p>
        </w:tc>
      </w:tr>
      <w:tr>
        <w:trPr>
          <w:trHeight w:val="230"/>
        </w:trPr>
        <w:tc>
          <w:tcPr>
            <w:tcW w:w="4760" w:type="dxa"/>
            <w:vAlign w:val="bottom"/>
            <w:shd w:val="clear" w:color="auto" w:fill="E8F0F8"/>
          </w:tcPr>
          <w:p>
            <w:pPr>
              <w:ind w:left="60"/>
              <w:spacing w:after="0"/>
              <w:rPr>
                <w:sz w:val="20"/>
                <w:szCs w:val="20"/>
                <w:color w:val="auto"/>
              </w:rPr>
            </w:pPr>
            <w:r>
              <w:rPr>
                <w:rFonts w:ascii="Arial" w:cs="Arial" w:eastAsia="Arial" w:hAnsi="Arial"/>
                <w:sz w:val="16"/>
                <w:szCs w:val="16"/>
                <w:color w:val="auto"/>
              </w:rPr>
              <w:t>Annual Retainers (in addition to Annual Board Retainer):</w:t>
            </w:r>
          </w:p>
        </w:tc>
        <w:tc>
          <w:tcPr>
            <w:tcW w:w="300" w:type="dxa"/>
            <w:vAlign w:val="bottom"/>
            <w:shd w:val="clear" w:color="auto" w:fill="E8F0F8"/>
          </w:tcPr>
          <w:p>
            <w:pPr>
              <w:spacing w:after="0"/>
              <w:rPr>
                <w:sz w:val="19"/>
                <w:szCs w:val="19"/>
                <w:color w:val="auto"/>
              </w:rPr>
            </w:pPr>
          </w:p>
        </w:tc>
        <w:tc>
          <w:tcPr>
            <w:tcW w:w="530" w:type="dxa"/>
            <w:vAlign w:val="bottom"/>
            <w:shd w:val="clear" w:color="auto" w:fill="E8F0F8"/>
          </w:tcPr>
          <w:p>
            <w:pPr>
              <w:spacing w:after="0"/>
              <w:rPr>
                <w:sz w:val="19"/>
                <w:szCs w:val="19"/>
                <w:color w:val="auto"/>
              </w:rPr>
            </w:pPr>
          </w:p>
        </w:tc>
        <w:tc>
          <w:tcPr>
            <w:tcW w:w="4690" w:type="dxa"/>
            <w:vAlign w:val="bottom"/>
            <w:shd w:val="clear" w:color="auto" w:fill="E8F0F8"/>
          </w:tcPr>
          <w:p>
            <w:pPr>
              <w:ind w:left="570"/>
              <w:spacing w:after="0"/>
              <w:rPr>
                <w:sz w:val="20"/>
                <w:szCs w:val="20"/>
                <w:color w:val="auto"/>
              </w:rPr>
            </w:pPr>
            <w:r>
              <w:rPr>
                <w:rFonts w:ascii="Arial" w:cs="Arial" w:eastAsia="Arial" w:hAnsi="Arial"/>
                <w:sz w:val="16"/>
                <w:szCs w:val="16"/>
                <w:color w:val="auto"/>
              </w:rPr>
              <w:t>In-person attendance</w:t>
            </w:r>
          </w:p>
        </w:tc>
        <w:tc>
          <w:tcPr>
            <w:tcW w:w="740" w:type="dxa"/>
            <w:vAlign w:val="bottom"/>
            <w:shd w:val="clear" w:color="auto" w:fill="E8F0F8"/>
          </w:tcPr>
          <w:p>
            <w:pPr>
              <w:jc w:val="right"/>
              <w:ind w:right="39"/>
              <w:spacing w:after="0"/>
              <w:rPr>
                <w:sz w:val="20"/>
                <w:szCs w:val="20"/>
                <w:color w:val="auto"/>
              </w:rPr>
            </w:pPr>
            <w:r>
              <w:rPr>
                <w:rFonts w:ascii="Arial" w:cs="Arial" w:eastAsia="Arial" w:hAnsi="Arial"/>
                <w:sz w:val="16"/>
                <w:szCs w:val="16"/>
                <w:color w:val="auto"/>
              </w:rPr>
              <w:t>$ 2,500</w:t>
            </w:r>
          </w:p>
        </w:tc>
      </w:tr>
      <w:tr>
        <w:trPr>
          <w:trHeight w:val="311"/>
        </w:trPr>
        <w:tc>
          <w:tcPr>
            <w:tcW w:w="4760" w:type="dxa"/>
            <w:vAlign w:val="bottom"/>
            <w:shd w:val="clear" w:color="auto" w:fill="E8F0F8"/>
          </w:tcPr>
          <w:p>
            <w:pPr>
              <w:spacing w:after="0"/>
              <w:rPr>
                <w:sz w:val="24"/>
                <w:szCs w:val="24"/>
                <w:color w:val="auto"/>
              </w:rPr>
            </w:pPr>
          </w:p>
        </w:tc>
        <w:tc>
          <w:tcPr>
            <w:tcW w:w="300" w:type="dxa"/>
            <w:vAlign w:val="bottom"/>
            <w:shd w:val="clear" w:color="auto" w:fill="E8F0F8"/>
          </w:tcPr>
          <w:p>
            <w:pPr>
              <w:spacing w:after="0"/>
              <w:rPr>
                <w:sz w:val="24"/>
                <w:szCs w:val="24"/>
                <w:color w:val="auto"/>
              </w:rPr>
            </w:pPr>
          </w:p>
        </w:tc>
        <w:tc>
          <w:tcPr>
            <w:tcW w:w="530" w:type="dxa"/>
            <w:vAlign w:val="bottom"/>
            <w:shd w:val="clear" w:color="auto" w:fill="E8F0F8"/>
          </w:tcPr>
          <w:p>
            <w:pPr>
              <w:spacing w:after="0"/>
              <w:rPr>
                <w:sz w:val="24"/>
                <w:szCs w:val="24"/>
                <w:color w:val="auto"/>
              </w:rPr>
            </w:pPr>
          </w:p>
        </w:tc>
        <w:tc>
          <w:tcPr>
            <w:tcW w:w="4690" w:type="dxa"/>
            <w:vAlign w:val="bottom"/>
            <w:shd w:val="clear" w:color="auto" w:fill="E8F0F8"/>
          </w:tcPr>
          <w:p>
            <w:pPr>
              <w:ind w:left="570"/>
              <w:spacing w:after="0"/>
              <w:rPr>
                <w:sz w:val="20"/>
                <w:szCs w:val="20"/>
                <w:color w:val="auto"/>
              </w:rPr>
            </w:pPr>
            <w:r>
              <w:rPr>
                <w:rFonts w:ascii="Arial" w:cs="Arial" w:eastAsia="Arial" w:hAnsi="Arial"/>
                <w:sz w:val="16"/>
                <w:szCs w:val="16"/>
                <w:color w:val="auto"/>
              </w:rPr>
              <w:t>Telephonic attendance</w:t>
            </w:r>
          </w:p>
        </w:tc>
        <w:tc>
          <w:tcPr>
            <w:tcW w:w="740" w:type="dxa"/>
            <w:vAlign w:val="bottom"/>
            <w:shd w:val="clear" w:color="auto" w:fill="E8F0F8"/>
          </w:tcPr>
          <w:p>
            <w:pPr>
              <w:jc w:val="right"/>
              <w:ind w:right="39"/>
              <w:spacing w:after="0"/>
              <w:rPr>
                <w:sz w:val="20"/>
                <w:szCs w:val="20"/>
                <w:color w:val="auto"/>
              </w:rPr>
            </w:pPr>
            <w:r>
              <w:rPr>
                <w:rFonts w:ascii="Arial" w:cs="Arial" w:eastAsia="Arial" w:hAnsi="Arial"/>
                <w:sz w:val="16"/>
                <w:szCs w:val="16"/>
                <w:color w:val="auto"/>
              </w:rPr>
              <w:t>$ 1,500</w:t>
            </w:r>
          </w:p>
        </w:tc>
      </w:tr>
      <w:tr>
        <w:trPr>
          <w:trHeight w:val="224"/>
        </w:trPr>
        <w:tc>
          <w:tcPr>
            <w:tcW w:w="4760" w:type="dxa"/>
            <w:vAlign w:val="bottom"/>
            <w:shd w:val="clear" w:color="auto" w:fill="E8F0F8"/>
          </w:tcPr>
          <w:p>
            <w:pPr>
              <w:ind w:left="400"/>
              <w:spacing w:after="0"/>
              <w:rPr>
                <w:sz w:val="20"/>
                <w:szCs w:val="20"/>
                <w:color w:val="auto"/>
              </w:rPr>
            </w:pPr>
            <w:r>
              <w:rPr>
                <w:rFonts w:ascii="Arial" w:cs="Arial" w:eastAsia="Arial" w:hAnsi="Arial"/>
                <w:sz w:val="16"/>
                <w:szCs w:val="16"/>
                <w:color w:val="auto"/>
              </w:rPr>
              <w:t>Independent Chairman of the Board</w:t>
            </w:r>
          </w:p>
        </w:tc>
        <w:tc>
          <w:tcPr>
            <w:tcW w:w="30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530" w:type="dxa"/>
            <w:vAlign w:val="bottom"/>
            <w:shd w:val="clear" w:color="auto" w:fill="E8F0F8"/>
          </w:tcPr>
          <w:p>
            <w:pPr>
              <w:jc w:val="right"/>
              <w:spacing w:after="0"/>
              <w:rPr>
                <w:sz w:val="20"/>
                <w:szCs w:val="20"/>
                <w:color w:val="auto"/>
              </w:rPr>
            </w:pPr>
            <w:r>
              <w:rPr>
                <w:rFonts w:ascii="Arial" w:cs="Arial" w:eastAsia="Arial" w:hAnsi="Arial"/>
                <w:sz w:val="16"/>
                <w:szCs w:val="16"/>
                <w:color w:val="auto"/>
                <w:w w:val="98"/>
              </w:rPr>
              <w:t>75,000</w:t>
            </w:r>
          </w:p>
        </w:tc>
        <w:tc>
          <w:tcPr>
            <w:tcW w:w="4690" w:type="dxa"/>
            <w:vAlign w:val="bottom"/>
            <w:shd w:val="clear" w:color="auto" w:fill="E8F0F8"/>
          </w:tcPr>
          <w:p>
            <w:pPr>
              <w:ind w:left="250"/>
              <w:spacing w:after="0"/>
              <w:rPr>
                <w:sz w:val="20"/>
                <w:szCs w:val="20"/>
                <w:color w:val="auto"/>
              </w:rPr>
            </w:pPr>
            <w:r>
              <w:rPr>
                <w:rFonts w:ascii="Arial" w:cs="Arial" w:eastAsia="Arial" w:hAnsi="Arial"/>
                <w:sz w:val="16"/>
                <w:szCs w:val="16"/>
                <w:color w:val="auto"/>
              </w:rPr>
              <w:t>Committee Meetings (per meeting attended by each such</w:t>
            </w:r>
          </w:p>
        </w:tc>
        <w:tc>
          <w:tcPr>
            <w:tcW w:w="740" w:type="dxa"/>
            <w:vAlign w:val="bottom"/>
            <w:shd w:val="clear" w:color="auto" w:fill="E8F0F8"/>
          </w:tcPr>
          <w:p>
            <w:pPr>
              <w:spacing w:after="0"/>
              <w:rPr>
                <w:sz w:val="19"/>
                <w:szCs w:val="19"/>
                <w:color w:val="auto"/>
              </w:rPr>
            </w:pPr>
          </w:p>
        </w:tc>
      </w:tr>
      <w:tr>
        <w:trPr>
          <w:trHeight w:val="195"/>
        </w:trPr>
        <w:tc>
          <w:tcPr>
            <w:tcW w:w="4760" w:type="dxa"/>
            <w:vAlign w:val="bottom"/>
            <w:shd w:val="clear" w:color="auto" w:fill="E8F0F8"/>
          </w:tcPr>
          <w:p>
            <w:pPr>
              <w:spacing w:after="0"/>
              <w:rPr>
                <w:sz w:val="16"/>
                <w:szCs w:val="16"/>
                <w:color w:val="auto"/>
              </w:rPr>
            </w:pPr>
          </w:p>
        </w:tc>
        <w:tc>
          <w:tcPr>
            <w:tcW w:w="300" w:type="dxa"/>
            <w:vAlign w:val="bottom"/>
            <w:shd w:val="clear" w:color="auto" w:fill="E8F0F8"/>
          </w:tcPr>
          <w:p>
            <w:pPr>
              <w:spacing w:after="0"/>
              <w:rPr>
                <w:sz w:val="16"/>
                <w:szCs w:val="16"/>
                <w:color w:val="auto"/>
              </w:rPr>
            </w:pPr>
          </w:p>
        </w:tc>
        <w:tc>
          <w:tcPr>
            <w:tcW w:w="530" w:type="dxa"/>
            <w:vAlign w:val="bottom"/>
            <w:shd w:val="clear" w:color="auto" w:fill="E8F0F8"/>
          </w:tcPr>
          <w:p>
            <w:pPr>
              <w:spacing w:after="0"/>
              <w:rPr>
                <w:sz w:val="16"/>
                <w:szCs w:val="16"/>
                <w:color w:val="auto"/>
              </w:rPr>
            </w:pPr>
          </w:p>
        </w:tc>
        <w:tc>
          <w:tcPr>
            <w:tcW w:w="4690" w:type="dxa"/>
            <w:vAlign w:val="bottom"/>
            <w:shd w:val="clear" w:color="auto" w:fill="E8F0F8"/>
          </w:tcPr>
          <w:p>
            <w:pPr>
              <w:ind w:left="410"/>
              <w:spacing w:after="0"/>
              <w:rPr>
                <w:sz w:val="20"/>
                <w:szCs w:val="20"/>
                <w:color w:val="auto"/>
              </w:rPr>
            </w:pPr>
            <w:r>
              <w:rPr>
                <w:rFonts w:ascii="Arial" w:cs="Arial" w:eastAsia="Arial" w:hAnsi="Arial"/>
                <w:sz w:val="16"/>
                <w:szCs w:val="16"/>
                <w:color w:val="auto"/>
              </w:rPr>
              <w:t>committee member in person or telephonically)</w:t>
            </w:r>
          </w:p>
        </w:tc>
        <w:tc>
          <w:tcPr>
            <w:tcW w:w="740" w:type="dxa"/>
            <w:vAlign w:val="bottom"/>
            <w:shd w:val="clear" w:color="auto" w:fill="E8F0F8"/>
          </w:tcPr>
          <w:p>
            <w:pPr>
              <w:jc w:val="right"/>
              <w:ind w:right="39"/>
              <w:spacing w:after="0"/>
              <w:rPr>
                <w:sz w:val="20"/>
                <w:szCs w:val="20"/>
                <w:color w:val="auto"/>
              </w:rPr>
            </w:pPr>
            <w:r>
              <w:rPr>
                <w:rFonts w:ascii="Arial" w:cs="Arial" w:eastAsia="Arial" w:hAnsi="Arial"/>
                <w:sz w:val="16"/>
                <w:szCs w:val="16"/>
                <w:color w:val="auto"/>
              </w:rPr>
              <w:t>$ 1,500</w:t>
            </w:r>
          </w:p>
        </w:tc>
      </w:tr>
      <w:tr>
        <w:trPr>
          <w:trHeight w:val="224"/>
        </w:trPr>
        <w:tc>
          <w:tcPr>
            <w:tcW w:w="4760" w:type="dxa"/>
            <w:vAlign w:val="bottom"/>
            <w:shd w:val="clear" w:color="auto" w:fill="E8F0F8"/>
          </w:tcPr>
          <w:p>
            <w:pPr>
              <w:ind w:left="380"/>
              <w:spacing w:after="0"/>
              <w:rPr>
                <w:sz w:val="20"/>
                <w:szCs w:val="20"/>
                <w:color w:val="auto"/>
              </w:rPr>
            </w:pPr>
            <w:r>
              <w:rPr>
                <w:rFonts w:ascii="Arial" w:cs="Arial" w:eastAsia="Arial" w:hAnsi="Arial"/>
                <w:sz w:val="16"/>
                <w:szCs w:val="16"/>
                <w:color w:val="auto"/>
              </w:rPr>
              <w:t>Audit Committee Chair</w:t>
            </w:r>
          </w:p>
        </w:tc>
        <w:tc>
          <w:tcPr>
            <w:tcW w:w="30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530" w:type="dxa"/>
            <w:vAlign w:val="bottom"/>
            <w:shd w:val="clear" w:color="auto" w:fill="E8F0F8"/>
          </w:tcPr>
          <w:p>
            <w:pPr>
              <w:jc w:val="right"/>
              <w:spacing w:after="0"/>
              <w:rPr>
                <w:sz w:val="20"/>
                <w:szCs w:val="20"/>
                <w:color w:val="auto"/>
              </w:rPr>
            </w:pPr>
            <w:r>
              <w:rPr>
                <w:rFonts w:ascii="Arial" w:cs="Arial" w:eastAsia="Arial" w:hAnsi="Arial"/>
                <w:sz w:val="16"/>
                <w:szCs w:val="16"/>
                <w:color w:val="auto"/>
                <w:w w:val="98"/>
              </w:rPr>
              <w:t>25,000</w:t>
            </w:r>
          </w:p>
        </w:tc>
        <w:tc>
          <w:tcPr>
            <w:tcW w:w="4690" w:type="dxa"/>
            <w:vAlign w:val="bottom"/>
            <w:shd w:val="clear" w:color="auto" w:fill="E8F0F8"/>
          </w:tcPr>
          <w:p>
            <w:pPr>
              <w:ind w:left="250"/>
              <w:spacing w:after="0"/>
              <w:rPr>
                <w:sz w:val="20"/>
                <w:szCs w:val="20"/>
                <w:color w:val="auto"/>
              </w:rPr>
            </w:pPr>
            <w:r>
              <w:rPr>
                <w:rFonts w:ascii="Arial" w:cs="Arial" w:eastAsia="Arial" w:hAnsi="Arial"/>
                <w:sz w:val="16"/>
                <w:szCs w:val="16"/>
                <w:color w:val="auto"/>
              </w:rPr>
              <w:t>Attendance at Annual Science and Technology Committee</w:t>
            </w:r>
          </w:p>
        </w:tc>
        <w:tc>
          <w:tcPr>
            <w:tcW w:w="740" w:type="dxa"/>
            <w:vAlign w:val="bottom"/>
            <w:shd w:val="clear" w:color="auto" w:fill="E8F0F8"/>
          </w:tcPr>
          <w:p>
            <w:pPr>
              <w:spacing w:after="0"/>
              <w:rPr>
                <w:sz w:val="19"/>
                <w:szCs w:val="19"/>
                <w:color w:val="auto"/>
              </w:rPr>
            </w:pPr>
          </w:p>
        </w:tc>
      </w:tr>
      <w:tr>
        <w:trPr>
          <w:trHeight w:val="230"/>
        </w:trPr>
        <w:tc>
          <w:tcPr>
            <w:tcW w:w="4760" w:type="dxa"/>
            <w:vAlign w:val="bottom"/>
            <w:shd w:val="clear" w:color="auto" w:fill="E8F0F8"/>
          </w:tcPr>
          <w:p>
            <w:pPr>
              <w:ind w:left="400"/>
              <w:spacing w:after="0"/>
              <w:rPr>
                <w:sz w:val="20"/>
                <w:szCs w:val="20"/>
                <w:color w:val="auto"/>
              </w:rPr>
            </w:pPr>
            <w:r>
              <w:rPr>
                <w:rFonts w:ascii="Arial" w:cs="Arial" w:eastAsia="Arial" w:hAnsi="Arial"/>
                <w:sz w:val="16"/>
                <w:szCs w:val="16"/>
                <w:color w:val="auto"/>
              </w:rPr>
              <w:t>Compensation and Management</w:t>
            </w:r>
          </w:p>
        </w:tc>
        <w:tc>
          <w:tcPr>
            <w:tcW w:w="300" w:type="dxa"/>
            <w:vAlign w:val="bottom"/>
            <w:shd w:val="clear" w:color="auto" w:fill="E8F0F8"/>
          </w:tcPr>
          <w:p>
            <w:pPr>
              <w:spacing w:after="0"/>
              <w:rPr>
                <w:sz w:val="19"/>
                <w:szCs w:val="19"/>
                <w:color w:val="auto"/>
              </w:rPr>
            </w:pPr>
          </w:p>
        </w:tc>
        <w:tc>
          <w:tcPr>
            <w:tcW w:w="530" w:type="dxa"/>
            <w:vAlign w:val="bottom"/>
            <w:shd w:val="clear" w:color="auto" w:fill="E8F0F8"/>
          </w:tcPr>
          <w:p>
            <w:pPr>
              <w:spacing w:after="0"/>
              <w:rPr>
                <w:sz w:val="19"/>
                <w:szCs w:val="19"/>
                <w:color w:val="auto"/>
              </w:rPr>
            </w:pPr>
          </w:p>
        </w:tc>
        <w:tc>
          <w:tcPr>
            <w:tcW w:w="4690" w:type="dxa"/>
            <w:vAlign w:val="bottom"/>
            <w:shd w:val="clear" w:color="auto" w:fill="E8F0F8"/>
          </w:tcPr>
          <w:p>
            <w:pPr>
              <w:ind w:left="410"/>
              <w:spacing w:after="0"/>
              <w:rPr>
                <w:sz w:val="20"/>
                <w:szCs w:val="20"/>
                <w:color w:val="auto"/>
              </w:rPr>
            </w:pPr>
            <w:r>
              <w:rPr>
                <w:rFonts w:ascii="Arial" w:cs="Arial" w:eastAsia="Arial" w:hAnsi="Arial"/>
                <w:sz w:val="16"/>
                <w:szCs w:val="16"/>
                <w:color w:val="auto"/>
              </w:rPr>
              <w:t>Portfolio Review (per day)</w:t>
            </w:r>
          </w:p>
        </w:tc>
        <w:tc>
          <w:tcPr>
            <w:tcW w:w="740" w:type="dxa"/>
            <w:vAlign w:val="bottom"/>
            <w:shd w:val="clear" w:color="auto" w:fill="E8F0F8"/>
          </w:tcPr>
          <w:p>
            <w:pPr>
              <w:jc w:val="right"/>
              <w:ind w:right="39"/>
              <w:spacing w:after="0"/>
              <w:rPr>
                <w:sz w:val="20"/>
                <w:szCs w:val="20"/>
                <w:color w:val="auto"/>
              </w:rPr>
            </w:pPr>
            <w:r>
              <w:rPr>
                <w:rFonts w:ascii="Arial" w:cs="Arial" w:eastAsia="Arial" w:hAnsi="Arial"/>
                <w:sz w:val="16"/>
                <w:szCs w:val="16"/>
                <w:color w:val="auto"/>
              </w:rPr>
              <w:t>$ 1,500</w:t>
            </w:r>
          </w:p>
        </w:tc>
      </w:tr>
      <w:tr>
        <w:trPr>
          <w:trHeight w:val="195"/>
        </w:trPr>
        <w:tc>
          <w:tcPr>
            <w:tcW w:w="4760" w:type="dxa"/>
            <w:vAlign w:val="bottom"/>
            <w:shd w:val="clear" w:color="auto" w:fill="E8F0F8"/>
          </w:tcPr>
          <w:p>
            <w:pPr>
              <w:ind w:left="560"/>
              <w:spacing w:after="0"/>
              <w:rPr>
                <w:sz w:val="20"/>
                <w:szCs w:val="20"/>
                <w:color w:val="auto"/>
              </w:rPr>
            </w:pPr>
            <w:r>
              <w:rPr>
                <w:rFonts w:ascii="Arial" w:cs="Arial" w:eastAsia="Arial" w:hAnsi="Arial"/>
                <w:sz w:val="16"/>
                <w:szCs w:val="16"/>
                <w:color w:val="auto"/>
              </w:rPr>
              <w:t>Development Committee Chair</w:t>
            </w:r>
          </w:p>
        </w:tc>
        <w:tc>
          <w:tcPr>
            <w:tcW w:w="30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530" w:type="dxa"/>
            <w:vAlign w:val="bottom"/>
            <w:shd w:val="clear" w:color="auto" w:fill="E8F0F8"/>
          </w:tcPr>
          <w:p>
            <w:pPr>
              <w:jc w:val="right"/>
              <w:spacing w:after="0"/>
              <w:rPr>
                <w:sz w:val="20"/>
                <w:szCs w:val="20"/>
                <w:color w:val="auto"/>
              </w:rPr>
            </w:pPr>
            <w:r>
              <w:rPr>
                <w:rFonts w:ascii="Arial" w:cs="Arial" w:eastAsia="Arial" w:hAnsi="Arial"/>
                <w:sz w:val="16"/>
                <w:szCs w:val="16"/>
                <w:color w:val="auto"/>
                <w:w w:val="98"/>
              </w:rPr>
              <w:t>20,000</w:t>
            </w:r>
          </w:p>
        </w:tc>
        <w:tc>
          <w:tcPr>
            <w:tcW w:w="4690" w:type="dxa"/>
            <w:vAlign w:val="bottom"/>
            <w:shd w:val="clear" w:color="auto" w:fill="E8F0F8"/>
          </w:tcPr>
          <w:p>
            <w:pPr>
              <w:spacing w:after="0"/>
              <w:rPr>
                <w:sz w:val="16"/>
                <w:szCs w:val="16"/>
                <w:color w:val="auto"/>
              </w:rPr>
            </w:pPr>
          </w:p>
        </w:tc>
        <w:tc>
          <w:tcPr>
            <w:tcW w:w="740" w:type="dxa"/>
            <w:vAlign w:val="bottom"/>
            <w:shd w:val="clear" w:color="auto" w:fill="E8F0F8"/>
          </w:tcPr>
          <w:p>
            <w:pPr>
              <w:spacing w:after="0"/>
              <w:rPr>
                <w:sz w:val="16"/>
                <w:szCs w:val="16"/>
                <w:color w:val="auto"/>
              </w:rPr>
            </w:pPr>
          </w:p>
        </w:tc>
      </w:tr>
      <w:tr>
        <w:trPr>
          <w:trHeight w:val="230"/>
        </w:trPr>
        <w:tc>
          <w:tcPr>
            <w:tcW w:w="4760" w:type="dxa"/>
            <w:vAlign w:val="bottom"/>
            <w:shd w:val="clear" w:color="auto" w:fill="E8F0F8"/>
          </w:tcPr>
          <w:p>
            <w:pPr>
              <w:ind w:left="400"/>
              <w:spacing w:after="0"/>
              <w:rPr>
                <w:sz w:val="20"/>
                <w:szCs w:val="20"/>
                <w:color w:val="auto"/>
              </w:rPr>
            </w:pPr>
            <w:r>
              <w:rPr>
                <w:rFonts w:ascii="Arial" w:cs="Arial" w:eastAsia="Arial" w:hAnsi="Arial"/>
                <w:sz w:val="16"/>
                <w:szCs w:val="16"/>
                <w:color w:val="auto"/>
              </w:rPr>
              <w:t>Corporate Governance Committee Chair</w:t>
            </w:r>
          </w:p>
        </w:tc>
        <w:tc>
          <w:tcPr>
            <w:tcW w:w="30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530" w:type="dxa"/>
            <w:vAlign w:val="bottom"/>
            <w:shd w:val="clear" w:color="auto" w:fill="E8F0F8"/>
          </w:tcPr>
          <w:p>
            <w:pPr>
              <w:jc w:val="right"/>
              <w:spacing w:after="0"/>
              <w:rPr>
                <w:sz w:val="20"/>
                <w:szCs w:val="20"/>
                <w:color w:val="auto"/>
              </w:rPr>
            </w:pPr>
            <w:r>
              <w:rPr>
                <w:rFonts w:ascii="Arial" w:cs="Arial" w:eastAsia="Arial" w:hAnsi="Arial"/>
                <w:sz w:val="16"/>
                <w:szCs w:val="16"/>
                <w:color w:val="auto"/>
                <w:w w:val="98"/>
              </w:rPr>
              <w:t>15,000</w:t>
            </w:r>
          </w:p>
        </w:tc>
        <w:tc>
          <w:tcPr>
            <w:tcW w:w="4690" w:type="dxa"/>
            <w:vAlign w:val="bottom"/>
            <w:shd w:val="clear" w:color="auto" w:fill="E8F0F8"/>
          </w:tcPr>
          <w:p>
            <w:pPr>
              <w:spacing w:after="0"/>
              <w:rPr>
                <w:sz w:val="19"/>
                <w:szCs w:val="19"/>
                <w:color w:val="auto"/>
              </w:rPr>
            </w:pPr>
          </w:p>
        </w:tc>
        <w:tc>
          <w:tcPr>
            <w:tcW w:w="740" w:type="dxa"/>
            <w:vAlign w:val="bottom"/>
            <w:shd w:val="clear" w:color="auto" w:fill="E8F0F8"/>
          </w:tcPr>
          <w:p>
            <w:pPr>
              <w:spacing w:after="0"/>
              <w:rPr>
                <w:sz w:val="19"/>
                <w:szCs w:val="19"/>
                <w:color w:val="auto"/>
              </w:rPr>
            </w:pPr>
          </w:p>
        </w:tc>
      </w:tr>
      <w:tr>
        <w:trPr>
          <w:trHeight w:val="230"/>
        </w:trPr>
        <w:tc>
          <w:tcPr>
            <w:tcW w:w="4760" w:type="dxa"/>
            <w:vAlign w:val="bottom"/>
            <w:shd w:val="clear" w:color="auto" w:fill="E8F0F8"/>
          </w:tcPr>
          <w:p>
            <w:pPr>
              <w:ind w:left="400"/>
              <w:spacing w:after="0"/>
              <w:rPr>
                <w:sz w:val="20"/>
                <w:szCs w:val="20"/>
                <w:color w:val="auto"/>
              </w:rPr>
            </w:pPr>
            <w:r>
              <w:rPr>
                <w:rFonts w:ascii="Arial" w:cs="Arial" w:eastAsia="Arial" w:hAnsi="Arial"/>
                <w:sz w:val="16"/>
                <w:szCs w:val="16"/>
                <w:color w:val="auto"/>
              </w:rPr>
              <w:t>Finance Committee Chair</w:t>
            </w:r>
          </w:p>
        </w:tc>
        <w:tc>
          <w:tcPr>
            <w:tcW w:w="30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530" w:type="dxa"/>
            <w:vAlign w:val="bottom"/>
            <w:shd w:val="clear" w:color="auto" w:fill="E8F0F8"/>
          </w:tcPr>
          <w:p>
            <w:pPr>
              <w:jc w:val="right"/>
              <w:spacing w:after="0"/>
              <w:rPr>
                <w:sz w:val="20"/>
                <w:szCs w:val="20"/>
                <w:color w:val="auto"/>
              </w:rPr>
            </w:pPr>
            <w:r>
              <w:rPr>
                <w:rFonts w:ascii="Arial" w:cs="Arial" w:eastAsia="Arial" w:hAnsi="Arial"/>
                <w:sz w:val="16"/>
                <w:szCs w:val="16"/>
                <w:color w:val="auto"/>
                <w:w w:val="98"/>
              </w:rPr>
              <w:t>15,000</w:t>
            </w:r>
          </w:p>
        </w:tc>
        <w:tc>
          <w:tcPr>
            <w:tcW w:w="4690" w:type="dxa"/>
            <w:vAlign w:val="bottom"/>
            <w:shd w:val="clear" w:color="auto" w:fill="E8F0F8"/>
          </w:tcPr>
          <w:p>
            <w:pPr>
              <w:spacing w:after="0"/>
              <w:rPr>
                <w:sz w:val="19"/>
                <w:szCs w:val="19"/>
                <w:color w:val="auto"/>
              </w:rPr>
            </w:pPr>
          </w:p>
        </w:tc>
        <w:tc>
          <w:tcPr>
            <w:tcW w:w="740" w:type="dxa"/>
            <w:vAlign w:val="bottom"/>
            <w:shd w:val="clear" w:color="auto" w:fill="E8F0F8"/>
          </w:tcPr>
          <w:p>
            <w:pPr>
              <w:spacing w:after="0"/>
              <w:rPr>
                <w:sz w:val="19"/>
                <w:szCs w:val="19"/>
                <w:color w:val="auto"/>
              </w:rPr>
            </w:pPr>
          </w:p>
        </w:tc>
      </w:tr>
      <w:tr>
        <w:trPr>
          <w:trHeight w:val="230"/>
        </w:trPr>
        <w:tc>
          <w:tcPr>
            <w:tcW w:w="4760" w:type="dxa"/>
            <w:vAlign w:val="bottom"/>
            <w:shd w:val="clear" w:color="auto" w:fill="E8F0F8"/>
          </w:tcPr>
          <w:p>
            <w:pPr>
              <w:ind w:left="400"/>
              <w:spacing w:after="0"/>
              <w:rPr>
                <w:sz w:val="20"/>
                <w:szCs w:val="20"/>
                <w:color w:val="auto"/>
              </w:rPr>
            </w:pPr>
            <w:r>
              <w:rPr>
                <w:rFonts w:ascii="Arial" w:cs="Arial" w:eastAsia="Arial" w:hAnsi="Arial"/>
                <w:sz w:val="16"/>
                <w:szCs w:val="16"/>
                <w:color w:val="auto"/>
              </w:rPr>
              <w:t>Risk Committee Chair</w:t>
            </w:r>
          </w:p>
        </w:tc>
        <w:tc>
          <w:tcPr>
            <w:tcW w:w="30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530" w:type="dxa"/>
            <w:vAlign w:val="bottom"/>
            <w:shd w:val="clear" w:color="auto" w:fill="E8F0F8"/>
          </w:tcPr>
          <w:p>
            <w:pPr>
              <w:jc w:val="right"/>
              <w:spacing w:after="0"/>
              <w:rPr>
                <w:sz w:val="20"/>
                <w:szCs w:val="20"/>
                <w:color w:val="auto"/>
              </w:rPr>
            </w:pPr>
            <w:r>
              <w:rPr>
                <w:rFonts w:ascii="Arial" w:cs="Arial" w:eastAsia="Arial" w:hAnsi="Arial"/>
                <w:sz w:val="16"/>
                <w:szCs w:val="16"/>
                <w:color w:val="auto"/>
                <w:w w:val="98"/>
              </w:rPr>
              <w:t>15,000</w:t>
            </w:r>
          </w:p>
        </w:tc>
        <w:tc>
          <w:tcPr>
            <w:tcW w:w="4690" w:type="dxa"/>
            <w:vAlign w:val="bottom"/>
            <w:shd w:val="clear" w:color="auto" w:fill="E8F0F8"/>
          </w:tcPr>
          <w:p>
            <w:pPr>
              <w:spacing w:after="0"/>
              <w:rPr>
                <w:sz w:val="19"/>
                <w:szCs w:val="19"/>
                <w:color w:val="auto"/>
              </w:rPr>
            </w:pPr>
          </w:p>
        </w:tc>
        <w:tc>
          <w:tcPr>
            <w:tcW w:w="740" w:type="dxa"/>
            <w:vAlign w:val="bottom"/>
            <w:shd w:val="clear" w:color="auto" w:fill="E8F0F8"/>
          </w:tcPr>
          <w:p>
            <w:pPr>
              <w:spacing w:after="0"/>
              <w:rPr>
                <w:sz w:val="19"/>
                <w:szCs w:val="19"/>
                <w:color w:val="auto"/>
              </w:rPr>
            </w:pPr>
          </w:p>
        </w:tc>
      </w:tr>
      <w:tr>
        <w:trPr>
          <w:trHeight w:val="230"/>
        </w:trPr>
        <w:tc>
          <w:tcPr>
            <w:tcW w:w="4760" w:type="dxa"/>
            <w:vAlign w:val="bottom"/>
            <w:shd w:val="clear" w:color="auto" w:fill="E8F0F8"/>
          </w:tcPr>
          <w:p>
            <w:pPr>
              <w:ind w:left="400"/>
              <w:spacing w:after="0"/>
              <w:rPr>
                <w:sz w:val="20"/>
                <w:szCs w:val="20"/>
                <w:color w:val="auto"/>
              </w:rPr>
            </w:pPr>
            <w:r>
              <w:rPr>
                <w:rFonts w:ascii="Arial" w:cs="Arial" w:eastAsia="Arial" w:hAnsi="Arial"/>
                <w:sz w:val="16"/>
                <w:szCs w:val="16"/>
                <w:color w:val="auto"/>
              </w:rPr>
              <w:t>Science and Technology Committee Chair</w:t>
            </w:r>
          </w:p>
        </w:tc>
        <w:tc>
          <w:tcPr>
            <w:tcW w:w="30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530" w:type="dxa"/>
            <w:vAlign w:val="bottom"/>
            <w:shd w:val="clear" w:color="auto" w:fill="E8F0F8"/>
          </w:tcPr>
          <w:p>
            <w:pPr>
              <w:jc w:val="right"/>
              <w:spacing w:after="0"/>
              <w:rPr>
                <w:sz w:val="20"/>
                <w:szCs w:val="20"/>
                <w:color w:val="auto"/>
              </w:rPr>
            </w:pPr>
            <w:r>
              <w:rPr>
                <w:rFonts w:ascii="Arial" w:cs="Arial" w:eastAsia="Arial" w:hAnsi="Arial"/>
                <w:sz w:val="16"/>
                <w:szCs w:val="16"/>
                <w:color w:val="auto"/>
                <w:w w:val="98"/>
              </w:rPr>
              <w:t>15,000</w:t>
            </w:r>
          </w:p>
        </w:tc>
        <w:tc>
          <w:tcPr>
            <w:tcW w:w="4690" w:type="dxa"/>
            <w:vAlign w:val="bottom"/>
            <w:shd w:val="clear" w:color="auto" w:fill="E8F0F8"/>
          </w:tcPr>
          <w:p>
            <w:pPr>
              <w:spacing w:after="0"/>
              <w:rPr>
                <w:sz w:val="19"/>
                <w:szCs w:val="19"/>
                <w:color w:val="auto"/>
              </w:rPr>
            </w:pPr>
          </w:p>
        </w:tc>
        <w:tc>
          <w:tcPr>
            <w:tcW w:w="740" w:type="dxa"/>
            <w:vAlign w:val="bottom"/>
            <w:shd w:val="clear" w:color="auto" w:fill="E8F0F8"/>
          </w:tcPr>
          <w:p>
            <w:pPr>
              <w:spacing w:after="0"/>
              <w:rPr>
                <w:sz w:val="19"/>
                <w:szCs w:val="19"/>
                <w:color w:val="auto"/>
              </w:rPr>
            </w:pPr>
          </w:p>
        </w:tc>
      </w:tr>
      <w:tr>
        <w:trPr>
          <w:trHeight w:val="229"/>
        </w:trPr>
        <w:tc>
          <w:tcPr>
            <w:tcW w:w="4760" w:type="dxa"/>
            <w:vAlign w:val="bottom"/>
            <w:tcBorders>
              <w:bottom w:val="single" w:sz="8" w:color="auto"/>
            </w:tcBorders>
            <w:shd w:val="clear" w:color="auto" w:fill="E8F0F8"/>
          </w:tcPr>
          <w:p>
            <w:pPr>
              <w:ind w:left="380"/>
              <w:spacing w:after="0"/>
              <w:rPr>
                <w:sz w:val="20"/>
                <w:szCs w:val="20"/>
                <w:color w:val="auto"/>
              </w:rPr>
            </w:pPr>
            <w:r>
              <w:rPr>
                <w:rFonts w:ascii="Arial" w:cs="Arial" w:eastAsia="Arial" w:hAnsi="Arial"/>
                <w:sz w:val="16"/>
                <w:szCs w:val="16"/>
                <w:color w:val="auto"/>
              </w:rPr>
              <w:t>Audit Committee Member (other than Chair)</w:t>
            </w:r>
          </w:p>
        </w:tc>
        <w:tc>
          <w:tcPr>
            <w:tcW w:w="30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53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6"/>
                <w:szCs w:val="16"/>
                <w:color w:val="auto"/>
              </w:rPr>
              <w:t>5,000</w:t>
            </w:r>
          </w:p>
        </w:tc>
        <w:tc>
          <w:tcPr>
            <w:tcW w:w="4690" w:type="dxa"/>
            <w:vAlign w:val="bottom"/>
            <w:tcBorders>
              <w:bottom w:val="single" w:sz="8" w:color="auto"/>
            </w:tcBorders>
            <w:shd w:val="clear" w:color="auto" w:fill="E8F0F8"/>
          </w:tcPr>
          <w:p>
            <w:pPr>
              <w:spacing w:after="0"/>
              <w:rPr>
                <w:sz w:val="19"/>
                <w:szCs w:val="19"/>
                <w:color w:val="auto"/>
              </w:rPr>
            </w:pPr>
          </w:p>
        </w:tc>
        <w:tc>
          <w:tcPr>
            <w:tcW w:w="740" w:type="dxa"/>
            <w:vAlign w:val="bottom"/>
            <w:tcBorders>
              <w:bottom w:val="single" w:sz="8" w:color="auto"/>
            </w:tcBorders>
            <w:shd w:val="clear" w:color="auto" w:fill="E8F0F8"/>
          </w:tcPr>
          <w:p>
            <w:pPr>
              <w:spacing w:after="0"/>
              <w:rPr>
                <w:sz w:val="19"/>
                <w:szCs w:val="19"/>
                <w:color w:val="auto"/>
              </w:rPr>
            </w:pPr>
          </w:p>
        </w:tc>
      </w:tr>
    </w:tbl>
    <w:p>
      <w:pPr>
        <w:spacing w:after="0" w:line="177" w:lineRule="exact"/>
        <w:rPr>
          <w:sz w:val="20"/>
          <w:szCs w:val="20"/>
          <w:color w:val="auto"/>
        </w:rPr>
      </w:pPr>
    </w:p>
    <w:p>
      <w:pPr>
        <w:sectPr>
          <w:pgSz w:w="11900" w:h="16838" w:orient="portrait"/>
          <w:cols w:equalWidth="0" w:num="1">
            <w:col w:w="11240"/>
          </w:cols>
          <w:pgMar w:left="240" w:top="459" w:right="419" w:bottom="1440" w:gutter="0" w:footer="0" w:header="0"/>
        </w:sectPr>
      </w:pPr>
    </w:p>
    <w:p>
      <w:pPr>
        <w:ind w:left="220" w:right="40"/>
        <w:spacing w:after="0" w:line="253" w:lineRule="auto"/>
        <w:rPr>
          <w:sz w:val="20"/>
          <w:szCs w:val="20"/>
          <w:color w:val="auto"/>
        </w:rPr>
      </w:pPr>
      <w:r>
        <w:rPr>
          <w:rFonts w:ascii="Arial" w:cs="Arial" w:eastAsia="Arial" w:hAnsi="Arial"/>
          <w:sz w:val="16"/>
          <w:szCs w:val="16"/>
          <w:color w:val="auto"/>
        </w:rPr>
        <w:t>Our non-employee directors are also eligible to be paid a fee of $1,000 for each full day of service to the Company other than in connection with meetings of our Board of Directors or one of its committees.</w:t>
      </w:r>
    </w:p>
    <w:p>
      <w:pPr>
        <w:spacing w:after="0" w:line="93" w:lineRule="exact"/>
        <w:rPr>
          <w:sz w:val="20"/>
          <w:szCs w:val="20"/>
          <w:color w:val="auto"/>
        </w:rPr>
      </w:pPr>
    </w:p>
    <w:p>
      <w:pPr>
        <w:ind w:left="220"/>
        <w:spacing w:after="0" w:line="247" w:lineRule="auto"/>
        <w:rPr>
          <w:sz w:val="20"/>
          <w:szCs w:val="20"/>
          <w:color w:val="auto"/>
        </w:rPr>
      </w:pPr>
      <w:r>
        <w:rPr>
          <w:rFonts w:ascii="Arial" w:cs="Arial" w:eastAsia="Arial" w:hAnsi="Arial"/>
          <w:sz w:val="16"/>
          <w:szCs w:val="16"/>
          <w:color w:val="auto"/>
        </w:rPr>
        <w:t>Our non-employee directors may defer all or part of their cash compensation under our Voluntary Board of Directors Savings Plan, which is similar to our Supplemental Savings Plan described in the narrative preceding the “2018 Non-Qualified Deferred Compensation Table” in Part 5 – Executive Compensation Matters of this Proxy Statement, but without any Company matching contributions. If a non-employee director chooses to defer compensation under our Voluntary Board of Directors Savings Plan, his or her notional account under the plan will periodically be credited with amounts of deemed investment earnings as if the deferred compensation was actually invested in the notional investment(s) selected by the director or in a default investment if the director does not make a selection. These notional investment options include the mutual funds available under our 401(k) plan as well as a fixed rate option which earns a rate of return determined each year by the Company’s retirement committee. For 2018 non-employee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296545</wp:posOffset>
            </wp:positionV>
            <wp:extent cx="685800" cy="1543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80"/>
        <w:spacing w:after="0" w:line="251" w:lineRule="auto"/>
        <w:rPr>
          <w:sz w:val="20"/>
          <w:szCs w:val="20"/>
          <w:color w:val="auto"/>
        </w:rPr>
      </w:pPr>
      <w:r>
        <w:rPr>
          <w:rFonts w:ascii="Arial" w:cs="Arial" w:eastAsia="Arial" w:hAnsi="Arial"/>
          <w:sz w:val="16"/>
          <w:szCs w:val="16"/>
          <w:color w:val="auto"/>
        </w:rPr>
        <w:t>director deferrals notionally invested in the fixed rate option, this rate of return was set at 5%. Deferrals notionally invested in the fixed rate option continue to be credited with the rate of return that was in effect during the year of deferral.</w:t>
      </w:r>
    </w:p>
    <w:p>
      <w:pPr>
        <w:spacing w:after="0" w:line="95" w:lineRule="exact"/>
        <w:rPr>
          <w:sz w:val="20"/>
          <w:szCs w:val="20"/>
          <w:color w:val="auto"/>
        </w:rPr>
      </w:pPr>
    </w:p>
    <w:p>
      <w:pPr>
        <w:jc w:val="both"/>
        <w:ind w:right="100"/>
        <w:spacing w:after="0" w:line="251" w:lineRule="auto"/>
        <w:rPr>
          <w:sz w:val="20"/>
          <w:szCs w:val="20"/>
          <w:color w:val="auto"/>
        </w:rPr>
      </w:pPr>
      <w:r>
        <w:rPr>
          <w:rFonts w:ascii="Arial" w:cs="Arial" w:eastAsia="Arial" w:hAnsi="Arial"/>
          <w:sz w:val="16"/>
          <w:szCs w:val="16"/>
          <w:color w:val="auto"/>
        </w:rPr>
        <w:t>Non-employee directors are also reimbursed for actual expenses incurred in attending meetings of our Board of Directors and any of its committees, as well as service to our Board of Directors or any of its committees that is unrelated to such meetings.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1A6DBB"/>
        </w:rPr>
        <w:t>Equity Awards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i w:val="1"/>
          <w:iCs w:val="1"/>
          <w:color w:val="427F3D"/>
        </w:rPr>
        <w:t>Awards Under Our Non-Employee Directors Equity Plan</w:t>
      </w:r>
    </w:p>
    <w:p>
      <w:pPr>
        <w:spacing w:after="0" w:line="129"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Our non-employee directors receive awards under our 2006 Non-Employee Directors Equity Plan (the Non-Employee Directors Equity Plan). The Non-Employee Directors Equity Plan was initially approved by our stockholders at our 2006 annual meeting of stockholders. In 2015 our stockholders approved an amendment to extend the term of the plan until June 10, 2025.</w:t>
      </w:r>
    </w:p>
    <w:p>
      <w:pPr>
        <w:spacing w:after="0" w:line="200" w:lineRule="exact"/>
        <w:rPr>
          <w:sz w:val="20"/>
          <w:szCs w:val="20"/>
          <w:color w:val="auto"/>
        </w:rPr>
      </w:pPr>
    </w:p>
    <w:p>
      <w:pPr>
        <w:sectPr>
          <w:pgSz w:w="11900" w:h="16838" w:orient="portrait"/>
          <w:cols w:equalWidth="0" w:num="2">
            <w:col w:w="5420" w:space="400"/>
            <w:col w:w="5420"/>
          </w:cols>
          <w:pgMar w:left="240" w:top="459" w:right="419" w:bottom="1440" w:gutter="0" w:footer="0" w:header="0"/>
          <w:type w:val="continuous"/>
        </w:sect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-62865</wp:posOffset>
            </wp:positionV>
            <wp:extent cx="102870" cy="946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7" w:lineRule="exact"/>
        <w:rPr>
          <w:sz w:val="20"/>
          <w:szCs w:val="20"/>
          <w:color w:val="auto"/>
        </w:rPr>
      </w:pPr>
    </w:p>
    <w:p>
      <w:pPr>
        <w:ind w:left="460"/>
        <w:spacing w:after="0"/>
        <w:rPr>
          <w:sz w:val="20"/>
          <w:szCs w:val="20"/>
          <w:color w:val="auto"/>
        </w:rPr>
      </w:pPr>
      <w:r>
        <w:rPr>
          <w:rFonts w:ascii="Arial" w:cs="Arial" w:eastAsia="Arial" w:hAnsi="Arial"/>
          <w:sz w:val="85"/>
          <w:szCs w:val="85"/>
          <w:color w:val="1A6DBB"/>
        </w:rPr>
        <w:t xml:space="preserve">3 </w:t>
      </w:r>
      <w:r>
        <w:rPr>
          <w:rFonts w:ascii="Arial" w:cs="Arial" w:eastAsia="Arial" w:hAnsi="Arial"/>
          <w:sz w:val="39"/>
          <w:szCs w:val="39"/>
          <w:color w:val="1A6DBB"/>
        </w:rPr>
        <w:t>Board of Directors</w:t>
      </w:r>
      <w:r>
        <w:rPr>
          <w:rFonts w:ascii="Arial" w:cs="Arial" w:eastAsia="Arial" w:hAnsi="Arial"/>
          <w:sz w:val="85"/>
          <w:szCs w:val="85"/>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45085</wp:posOffset>
            </wp:positionV>
            <wp:extent cx="6997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300"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427F3D"/>
        </w:rPr>
        <w:t>General Provisions of the Non-Employee Directors Equity Plan</w:t>
      </w:r>
    </w:p>
    <w:p>
      <w:pPr>
        <w:spacing w:after="0" w:line="129" w:lineRule="exact"/>
        <w:rPr>
          <w:sz w:val="20"/>
          <w:szCs w:val="20"/>
          <w:color w:val="auto"/>
        </w:rPr>
      </w:pPr>
    </w:p>
    <w:p>
      <w:pPr>
        <w:ind w:left="220"/>
        <w:spacing w:after="0" w:line="248" w:lineRule="auto"/>
        <w:rPr>
          <w:sz w:val="20"/>
          <w:szCs w:val="20"/>
          <w:color w:val="auto"/>
        </w:rPr>
      </w:pPr>
      <w:r>
        <w:rPr>
          <w:rFonts w:ascii="Arial" w:cs="Arial" w:eastAsia="Arial" w:hAnsi="Arial"/>
          <w:sz w:val="16"/>
          <w:szCs w:val="16"/>
          <w:color w:val="auto"/>
        </w:rPr>
        <w:t>Non-employee directors receive an annual award under the Non-Employee Directors Equity Plan effective on the date of each annual meeting of stockholders (or a pro rata award upon election other than at an annual meeting of stockholders). Under the Non-Employee Directors Equity Plan, a maximum of 17,500 shares of our common stock (or 30,000 shares for the independent Chairman of the Board) may be granted to a non-employee director pursuant to such annual awards each calendar year. Annual awards vest on the one-year anniversary of the date of grant or over a longer period determined in the discretion of Board of Directors.</w:t>
      </w:r>
    </w:p>
    <w:p>
      <w:pPr>
        <w:spacing w:after="0" w:line="98" w:lineRule="exact"/>
        <w:rPr>
          <w:sz w:val="20"/>
          <w:szCs w:val="20"/>
          <w:color w:val="auto"/>
        </w:rPr>
      </w:pPr>
    </w:p>
    <w:p>
      <w:pPr>
        <w:ind w:left="220" w:right="20"/>
        <w:spacing w:after="0" w:line="253" w:lineRule="auto"/>
        <w:rPr>
          <w:sz w:val="20"/>
          <w:szCs w:val="20"/>
          <w:color w:val="auto"/>
        </w:rPr>
      </w:pPr>
      <w:r>
        <w:rPr>
          <w:rFonts w:ascii="Arial" w:cs="Arial" w:eastAsia="Arial" w:hAnsi="Arial"/>
          <w:sz w:val="16"/>
          <w:szCs w:val="16"/>
          <w:color w:val="auto"/>
        </w:rPr>
        <w:t>Awards to non-employee directors are recommended by our C&amp;MD Committee and approved by our Board of Directors, with the independent Chairman recused from discussion and voting upon his own awards.</w:t>
      </w:r>
    </w:p>
    <w:p>
      <w:pPr>
        <w:spacing w:after="0" w:line="93" w:lineRule="exact"/>
        <w:rPr>
          <w:sz w:val="20"/>
          <w:szCs w:val="20"/>
          <w:color w:val="auto"/>
        </w:rPr>
      </w:pPr>
    </w:p>
    <w:p>
      <w:pPr>
        <w:ind w:left="220" w:right="60"/>
        <w:spacing w:after="0" w:line="248" w:lineRule="auto"/>
        <w:rPr>
          <w:sz w:val="20"/>
          <w:szCs w:val="20"/>
          <w:color w:val="auto"/>
        </w:rPr>
      </w:pPr>
      <w:r>
        <w:rPr>
          <w:rFonts w:ascii="Arial" w:cs="Arial" w:eastAsia="Arial" w:hAnsi="Arial"/>
          <w:sz w:val="16"/>
          <w:szCs w:val="16"/>
          <w:color w:val="auto"/>
        </w:rPr>
        <w:t>Awards granted under the Non-Employee Directors Equity Plan are subject to accelerated vesting upon termination of a director’s service by reason of death, disability or retirement and upon a change in control (as such terms are defined in the Non-Employee Directors Equity Plan). In addition, non-employee director awards will become fully vested upon an involuntary termination of a director’s service within two years following certain mergers or other corporate transactions, as described in the Non-Employee Directors Equity Plan.</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ind w:right="20"/>
        <w:spacing w:after="0" w:line="232" w:lineRule="auto"/>
        <w:rPr>
          <w:sz w:val="20"/>
          <w:szCs w:val="20"/>
          <w:color w:val="auto"/>
        </w:rPr>
      </w:pPr>
      <w:r>
        <w:rPr>
          <w:rFonts w:ascii="Arial" w:cs="Arial" w:eastAsia="Arial" w:hAnsi="Arial"/>
          <w:sz w:val="16"/>
          <w:szCs w:val="16"/>
          <w:color w:val="auto"/>
        </w:rPr>
        <w:t>group used for executive compensation purposes (as described below in our Compensation Discussion and Analysis) to assess its competitiveness and appropriateness. While the grant date fair values of the equity awards granted in 2018 were above the median of our peer group, the annual retainer for our non-employee directors was below the 25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of that same peer group. Overall, the total compensation levels were market competitive. Our C&amp;MD Committee and our Board of Directors believe that a somewhat heavier weighting towards equity awards than the weighting of equity awards of our peer group companies is appropriate because it further aligns the interests of our non-employee directors with those of our stockholders.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1A6DBB"/>
        </w:rPr>
        <w:t>10b5-1 Trading Plans</w:t>
      </w:r>
    </w:p>
    <w:p>
      <w:pPr>
        <w:spacing w:after="0" w:line="128"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Our non-employee directors must use pre-established trading plans to sell shares of our common stock from their personal accounts. Trading plans may only be entered into during an open trading window and when the director is not in possession of material non-public information about the Company. We require a waiting period following the establishment of a trading plan before any trades may be executed. Our policy is designed to provide safeguards while allowing our non-employee directors to have an opportunity to realize the value intended by the Company in granting equity-based awards.</w:t>
      </w:r>
    </w:p>
    <w:p>
      <w:pPr>
        <w:spacing w:after="0" w:line="181" w:lineRule="exact"/>
        <w:rPr>
          <w:sz w:val="20"/>
          <w:szCs w:val="20"/>
          <w:color w:val="auto"/>
        </w:rPr>
      </w:pPr>
    </w:p>
    <w:p>
      <w:pPr>
        <w:sectPr>
          <w:pgSz w:w="11900" w:h="16838" w:orient="portrait"/>
          <w:cols w:equalWidth="0" w:num="2">
            <w:col w:w="5480" w:space="340"/>
            <w:col w:w="5400"/>
          </w:cols>
          <w:pgMar w:left="240" w:top="459" w:right="439" w:bottom="1440" w:gutter="0" w:footer="0" w:header="0"/>
          <w:type w:val="continuous"/>
        </w:sectPr>
      </w:pPr>
    </w:p>
    <w:p>
      <w:pPr>
        <w:spacing w:after="0" w:line="185"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427F3D"/>
        </w:rPr>
        <w:t>Awards During 2018</w:t>
      </w:r>
    </w:p>
    <w:p>
      <w:pPr>
        <w:spacing w:after="0" w:line="129" w:lineRule="exact"/>
        <w:rPr>
          <w:sz w:val="20"/>
          <w:szCs w:val="20"/>
          <w:color w:val="auto"/>
        </w:rPr>
      </w:pPr>
    </w:p>
    <w:p>
      <w:pPr>
        <w:ind w:left="220"/>
        <w:spacing w:after="0" w:line="248" w:lineRule="auto"/>
        <w:rPr>
          <w:sz w:val="20"/>
          <w:szCs w:val="20"/>
          <w:color w:val="auto"/>
        </w:rPr>
      </w:pPr>
      <w:r>
        <w:rPr>
          <w:rFonts w:ascii="Arial" w:cs="Arial" w:eastAsia="Arial" w:hAnsi="Arial"/>
          <w:sz w:val="16"/>
          <w:szCs w:val="16"/>
          <w:color w:val="auto"/>
        </w:rPr>
        <w:t>In June 2018 our C&amp;MD Committee recommended, and our Board of Directors approved, annual awards with a grant date fair value of approximately $270,000 for each non-employee director and an additional annual award with a grant date fair value of approximately $175,000 for the independent Chairman. These annual awards were below the limits set forth in the Non-Employee Directors Equity Plan described above and were consistent with the awards made in 2017. The June 2018 annual awards were made in the form of restricted stock units (RSUs) vesting in full on the first anniversary of the grant date, generally subject to the director’s continued service.</w:t>
      </w:r>
    </w:p>
    <w:p>
      <w:pPr>
        <w:spacing w:after="0" w:line="98" w:lineRule="exact"/>
        <w:rPr>
          <w:sz w:val="20"/>
          <w:szCs w:val="20"/>
          <w:color w:val="auto"/>
        </w:rPr>
      </w:pPr>
    </w:p>
    <w:p>
      <w:pPr>
        <w:ind w:left="220" w:right="80"/>
        <w:spacing w:after="0" w:line="260" w:lineRule="auto"/>
        <w:rPr>
          <w:sz w:val="20"/>
          <w:szCs w:val="20"/>
          <w:color w:val="auto"/>
        </w:rPr>
      </w:pPr>
      <w:r>
        <w:rPr>
          <w:rFonts w:ascii="Arial" w:cs="Arial" w:eastAsia="Arial" w:hAnsi="Arial"/>
          <w:sz w:val="16"/>
          <w:szCs w:val="16"/>
          <w:color w:val="auto"/>
        </w:rPr>
        <w:t>Periodically we review our compensation program for our non-employee directors in relation to those of the peer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277495</wp:posOffset>
            </wp:positionV>
            <wp:extent cx="685800" cy="1543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1A6DBB"/>
        </w:rPr>
        <w:t>Non-Employee Director Stock Ownership Guidelines</w:t>
      </w:r>
    </w:p>
    <w:p>
      <w:pPr>
        <w:spacing w:after="0" w:line="128" w:lineRule="exact"/>
        <w:rPr>
          <w:sz w:val="20"/>
          <w:szCs w:val="20"/>
          <w:color w:val="auto"/>
        </w:rPr>
      </w:pPr>
    </w:p>
    <w:p>
      <w:pPr>
        <w:ind w:right="1060"/>
        <w:spacing w:after="0" w:line="260" w:lineRule="auto"/>
        <w:rPr>
          <w:sz w:val="20"/>
          <w:szCs w:val="20"/>
          <w:color w:val="auto"/>
        </w:rPr>
      </w:pPr>
      <w:r>
        <w:rPr>
          <w:rFonts w:ascii="Arial" w:cs="Arial" w:eastAsia="Arial" w:hAnsi="Arial"/>
          <w:sz w:val="16"/>
          <w:szCs w:val="16"/>
          <w:color w:val="auto"/>
        </w:rPr>
        <w:t>We maintain the following stock ownership guidelines for our non-employee directors: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100" w:type="dxa"/>
            <w:vAlign w:val="bottom"/>
            <w:shd w:val="clear" w:color="auto" w:fill="1A6DBB"/>
          </w:tcPr>
          <w:p>
            <w:pPr>
              <w:ind w:left="80"/>
              <w:spacing w:after="0"/>
              <w:rPr>
                <w:sz w:val="20"/>
                <w:szCs w:val="20"/>
                <w:color w:val="auto"/>
              </w:rPr>
            </w:pPr>
            <w:r>
              <w:rPr>
                <w:rFonts w:ascii="Arial" w:cs="Arial" w:eastAsia="Arial" w:hAnsi="Arial"/>
                <w:sz w:val="14"/>
                <w:szCs w:val="14"/>
                <w:color w:val="FFFFFF"/>
              </w:rPr>
              <w:t>Position</w:t>
            </w:r>
          </w:p>
        </w:tc>
        <w:tc>
          <w:tcPr>
            <w:tcW w:w="3300" w:type="dxa"/>
            <w:vAlign w:val="bottom"/>
            <w:shd w:val="clear" w:color="auto" w:fill="1A6DBB"/>
          </w:tcPr>
          <w:p>
            <w:pPr>
              <w:ind w:left="120"/>
              <w:spacing w:after="0"/>
              <w:rPr>
                <w:sz w:val="20"/>
                <w:szCs w:val="20"/>
                <w:color w:val="auto"/>
              </w:rPr>
            </w:pPr>
            <w:r>
              <w:rPr>
                <w:rFonts w:ascii="Arial" w:cs="Arial" w:eastAsia="Arial" w:hAnsi="Arial"/>
                <w:sz w:val="14"/>
                <w:szCs w:val="14"/>
                <w:color w:val="FFFFFF"/>
              </w:rPr>
              <w:t>Stock Ownership Requirement</w:t>
            </w:r>
            <w:r>
              <w:rPr>
                <w:rFonts w:ascii="Arial" w:cs="Arial" w:eastAsia="Arial" w:hAnsi="Arial"/>
                <w:sz w:val="24"/>
                <w:szCs w:val="24"/>
                <w:color w:val="FFFFFF"/>
                <w:vertAlign w:val="superscript"/>
              </w:rPr>
              <w:t>(1)</w:t>
            </w:r>
          </w:p>
        </w:tc>
      </w:tr>
      <w:tr>
        <w:trPr>
          <w:trHeight w:val="231"/>
        </w:trPr>
        <w:tc>
          <w:tcPr>
            <w:tcW w:w="2100" w:type="dxa"/>
            <w:vAlign w:val="bottom"/>
            <w:shd w:val="clear" w:color="auto" w:fill="E8F0F8"/>
          </w:tcPr>
          <w:p>
            <w:pPr>
              <w:ind w:left="100"/>
              <w:spacing w:after="0"/>
              <w:rPr>
                <w:sz w:val="20"/>
                <w:szCs w:val="20"/>
                <w:color w:val="auto"/>
              </w:rPr>
            </w:pPr>
            <w:r>
              <w:rPr>
                <w:rFonts w:ascii="Arial" w:cs="Arial" w:eastAsia="Arial" w:hAnsi="Arial"/>
                <w:sz w:val="16"/>
                <w:szCs w:val="16"/>
                <w:color w:val="auto"/>
              </w:rPr>
              <w:t>Independent</w:t>
            </w:r>
          </w:p>
        </w:tc>
        <w:tc>
          <w:tcPr>
            <w:tcW w:w="3300" w:type="dxa"/>
            <w:vAlign w:val="bottom"/>
            <w:shd w:val="clear" w:color="auto" w:fill="E8F0F8"/>
          </w:tcPr>
          <w:p>
            <w:pPr>
              <w:ind w:left="120"/>
              <w:spacing w:after="0"/>
              <w:rPr>
                <w:sz w:val="20"/>
                <w:szCs w:val="20"/>
                <w:color w:val="auto"/>
              </w:rPr>
            </w:pPr>
            <w:r>
              <w:rPr>
                <w:rFonts w:ascii="Arial" w:cs="Arial" w:eastAsia="Arial" w:hAnsi="Arial"/>
                <w:sz w:val="16"/>
                <w:szCs w:val="16"/>
                <w:color w:val="auto"/>
              </w:rPr>
              <w:t>Number of shares equal in value to 5x the</w:t>
            </w:r>
          </w:p>
        </w:tc>
      </w:tr>
      <w:tr>
        <w:trPr>
          <w:trHeight w:val="189"/>
        </w:trPr>
        <w:tc>
          <w:tcPr>
            <w:tcW w:w="2100" w:type="dxa"/>
            <w:vAlign w:val="bottom"/>
            <w:shd w:val="clear" w:color="auto" w:fill="E8F0F8"/>
          </w:tcPr>
          <w:p>
            <w:pPr>
              <w:ind w:left="100"/>
              <w:spacing w:after="0"/>
              <w:rPr>
                <w:sz w:val="20"/>
                <w:szCs w:val="20"/>
                <w:color w:val="auto"/>
              </w:rPr>
            </w:pPr>
            <w:r>
              <w:rPr>
                <w:rFonts w:ascii="Arial" w:cs="Arial" w:eastAsia="Arial" w:hAnsi="Arial"/>
                <w:sz w:val="16"/>
                <w:szCs w:val="16"/>
                <w:color w:val="auto"/>
              </w:rPr>
              <w:t>Chairman</w:t>
            </w:r>
          </w:p>
        </w:tc>
        <w:tc>
          <w:tcPr>
            <w:tcW w:w="3300" w:type="dxa"/>
            <w:vAlign w:val="bottom"/>
            <w:shd w:val="clear" w:color="auto" w:fill="E8F0F8"/>
          </w:tcPr>
          <w:p>
            <w:pPr>
              <w:ind w:left="120"/>
              <w:spacing w:after="0"/>
              <w:rPr>
                <w:sz w:val="20"/>
                <w:szCs w:val="20"/>
                <w:color w:val="auto"/>
              </w:rPr>
            </w:pPr>
            <w:r>
              <w:rPr>
                <w:rFonts w:ascii="Arial" w:cs="Arial" w:eastAsia="Arial" w:hAnsi="Arial"/>
                <w:sz w:val="16"/>
                <w:szCs w:val="16"/>
                <w:color w:val="auto"/>
              </w:rPr>
              <w:t>total annual cash retainer for (i) the</w:t>
            </w:r>
          </w:p>
        </w:tc>
      </w:tr>
      <w:tr>
        <w:trPr>
          <w:trHeight w:val="189"/>
        </w:trPr>
        <w:tc>
          <w:tcPr>
            <w:tcW w:w="2100" w:type="dxa"/>
            <w:vAlign w:val="bottom"/>
            <w:shd w:val="clear" w:color="auto" w:fill="E8F0F8"/>
          </w:tcPr>
          <w:p>
            <w:pPr>
              <w:spacing w:after="0"/>
              <w:rPr>
                <w:sz w:val="16"/>
                <w:szCs w:val="16"/>
                <w:color w:val="auto"/>
              </w:rPr>
            </w:pPr>
          </w:p>
        </w:tc>
        <w:tc>
          <w:tcPr>
            <w:tcW w:w="3300" w:type="dxa"/>
            <w:vAlign w:val="bottom"/>
            <w:shd w:val="clear" w:color="auto" w:fill="E8F0F8"/>
          </w:tcPr>
          <w:p>
            <w:pPr>
              <w:ind w:left="120"/>
              <w:spacing w:after="0"/>
              <w:rPr>
                <w:sz w:val="20"/>
                <w:szCs w:val="20"/>
                <w:color w:val="auto"/>
              </w:rPr>
            </w:pPr>
            <w:r>
              <w:rPr>
                <w:rFonts w:ascii="Arial" w:cs="Arial" w:eastAsia="Arial" w:hAnsi="Arial"/>
                <w:sz w:val="16"/>
                <w:szCs w:val="16"/>
                <w:color w:val="auto"/>
              </w:rPr>
              <w:t>independent Chairman position and</w:t>
            </w:r>
          </w:p>
        </w:tc>
      </w:tr>
      <w:tr>
        <w:trPr>
          <w:trHeight w:val="221"/>
        </w:trPr>
        <w:tc>
          <w:tcPr>
            <w:tcW w:w="2100" w:type="dxa"/>
            <w:vAlign w:val="bottom"/>
            <w:tcBorders>
              <w:bottom w:val="single" w:sz="8" w:color="E8F0F8"/>
            </w:tcBorders>
            <w:shd w:val="clear" w:color="auto" w:fill="E8F0F8"/>
          </w:tcPr>
          <w:p>
            <w:pPr>
              <w:spacing w:after="0"/>
              <w:rPr>
                <w:sz w:val="19"/>
                <w:szCs w:val="19"/>
                <w:color w:val="auto"/>
              </w:rPr>
            </w:pPr>
          </w:p>
        </w:tc>
        <w:tc>
          <w:tcPr>
            <w:tcW w:w="3300" w:type="dxa"/>
            <w:vAlign w:val="bottom"/>
            <w:tcBorders>
              <w:bottom w:val="single" w:sz="8" w:color="E8F0F8"/>
            </w:tcBorders>
            <w:shd w:val="clear" w:color="auto" w:fill="E8F0F8"/>
          </w:tcPr>
          <w:p>
            <w:pPr>
              <w:ind w:left="120"/>
              <w:spacing w:after="0"/>
              <w:rPr>
                <w:sz w:val="20"/>
                <w:szCs w:val="20"/>
                <w:color w:val="auto"/>
              </w:rPr>
            </w:pPr>
            <w:r>
              <w:rPr>
                <w:rFonts w:ascii="Arial" w:cs="Arial" w:eastAsia="Arial" w:hAnsi="Arial"/>
                <w:sz w:val="16"/>
                <w:szCs w:val="16"/>
                <w:color w:val="auto"/>
              </w:rPr>
              <w:t>(ii) other non-employee Board members</w:t>
            </w:r>
          </w:p>
        </w:tc>
      </w:tr>
      <w:tr>
        <w:trPr>
          <w:trHeight w:val="231"/>
        </w:trPr>
        <w:tc>
          <w:tcPr>
            <w:tcW w:w="2100" w:type="dxa"/>
            <w:vAlign w:val="bottom"/>
            <w:shd w:val="clear" w:color="auto" w:fill="BAD3EA"/>
          </w:tcPr>
          <w:p>
            <w:pPr>
              <w:ind w:left="100"/>
              <w:spacing w:after="0"/>
              <w:rPr>
                <w:sz w:val="20"/>
                <w:szCs w:val="20"/>
                <w:color w:val="auto"/>
              </w:rPr>
            </w:pPr>
            <w:r>
              <w:rPr>
                <w:rFonts w:ascii="Arial" w:cs="Arial" w:eastAsia="Arial" w:hAnsi="Arial"/>
                <w:sz w:val="16"/>
                <w:szCs w:val="16"/>
                <w:color w:val="auto"/>
              </w:rPr>
              <w:t>Non-Employee</w:t>
            </w:r>
          </w:p>
        </w:tc>
        <w:tc>
          <w:tcPr>
            <w:tcW w:w="3300" w:type="dxa"/>
            <w:vAlign w:val="bottom"/>
            <w:shd w:val="clear" w:color="auto" w:fill="BAD3EA"/>
          </w:tcPr>
          <w:p>
            <w:pPr>
              <w:ind w:left="120"/>
              <w:spacing w:after="0"/>
              <w:rPr>
                <w:sz w:val="20"/>
                <w:szCs w:val="20"/>
                <w:color w:val="auto"/>
              </w:rPr>
            </w:pPr>
            <w:r>
              <w:rPr>
                <w:rFonts w:ascii="Arial" w:cs="Arial" w:eastAsia="Arial" w:hAnsi="Arial"/>
                <w:sz w:val="16"/>
                <w:szCs w:val="16"/>
                <w:color w:val="auto"/>
              </w:rPr>
              <w:t>Number of shares equal in value to 5x the</w:t>
            </w:r>
          </w:p>
        </w:tc>
      </w:tr>
      <w:tr>
        <w:trPr>
          <w:trHeight w:val="189"/>
        </w:trPr>
        <w:tc>
          <w:tcPr>
            <w:tcW w:w="2100" w:type="dxa"/>
            <w:vAlign w:val="bottom"/>
            <w:shd w:val="clear" w:color="auto" w:fill="BAD3EA"/>
          </w:tcPr>
          <w:p>
            <w:pPr>
              <w:ind w:left="100"/>
              <w:spacing w:after="0"/>
              <w:rPr>
                <w:sz w:val="20"/>
                <w:szCs w:val="20"/>
                <w:color w:val="auto"/>
              </w:rPr>
            </w:pPr>
            <w:r>
              <w:rPr>
                <w:rFonts w:ascii="Arial" w:cs="Arial" w:eastAsia="Arial" w:hAnsi="Arial"/>
                <w:sz w:val="16"/>
                <w:szCs w:val="16"/>
                <w:color w:val="auto"/>
              </w:rPr>
              <w:t>Directors</w:t>
            </w:r>
          </w:p>
        </w:tc>
        <w:tc>
          <w:tcPr>
            <w:tcW w:w="3300" w:type="dxa"/>
            <w:vAlign w:val="bottom"/>
            <w:shd w:val="clear" w:color="auto" w:fill="BAD3EA"/>
          </w:tcPr>
          <w:p>
            <w:pPr>
              <w:ind w:left="120"/>
              <w:spacing w:after="0"/>
              <w:rPr>
                <w:sz w:val="20"/>
                <w:szCs w:val="20"/>
                <w:color w:val="auto"/>
              </w:rPr>
            </w:pPr>
            <w:r>
              <w:rPr>
                <w:rFonts w:ascii="Arial" w:cs="Arial" w:eastAsia="Arial" w:hAnsi="Arial"/>
                <w:sz w:val="16"/>
                <w:szCs w:val="16"/>
                <w:color w:val="auto"/>
              </w:rPr>
              <w:t>annual cash retainer for non-employee</w:t>
            </w:r>
          </w:p>
        </w:tc>
      </w:tr>
      <w:tr>
        <w:trPr>
          <w:trHeight w:val="198"/>
        </w:trPr>
        <w:tc>
          <w:tcPr>
            <w:tcW w:w="2100" w:type="dxa"/>
            <w:vAlign w:val="bottom"/>
            <w:tcBorders>
              <w:bottom w:val="single" w:sz="8" w:color="auto"/>
            </w:tcBorders>
            <w:shd w:val="clear" w:color="auto" w:fill="BAD3EA"/>
          </w:tcPr>
          <w:p>
            <w:pPr>
              <w:ind w:left="100"/>
              <w:spacing w:after="0"/>
              <w:rPr>
                <w:sz w:val="20"/>
                <w:szCs w:val="20"/>
                <w:color w:val="auto"/>
              </w:rPr>
            </w:pPr>
            <w:r>
              <w:rPr>
                <w:rFonts w:ascii="Arial" w:cs="Arial" w:eastAsia="Arial" w:hAnsi="Arial"/>
                <w:sz w:val="16"/>
                <w:szCs w:val="16"/>
                <w:color w:val="auto"/>
              </w:rPr>
              <w:t>(excluding Chairman)</w:t>
            </w:r>
          </w:p>
        </w:tc>
        <w:tc>
          <w:tcPr>
            <w:tcW w:w="3300" w:type="dxa"/>
            <w:vAlign w:val="bottom"/>
            <w:tcBorders>
              <w:bottom w:val="single" w:sz="8" w:color="auto"/>
            </w:tcBorders>
            <w:shd w:val="clear" w:color="auto" w:fill="BAD3EA"/>
          </w:tcPr>
          <w:p>
            <w:pPr>
              <w:ind w:left="120"/>
              <w:spacing w:after="0"/>
              <w:rPr>
                <w:sz w:val="20"/>
                <w:szCs w:val="20"/>
                <w:color w:val="auto"/>
              </w:rPr>
            </w:pPr>
            <w:r>
              <w:rPr>
                <w:rFonts w:ascii="Arial" w:cs="Arial" w:eastAsia="Arial" w:hAnsi="Arial"/>
                <w:sz w:val="16"/>
                <w:szCs w:val="16"/>
                <w:color w:val="auto"/>
              </w:rPr>
              <w:t>Board members</w:t>
            </w:r>
          </w:p>
        </w:tc>
      </w:tr>
    </w:tbl>
    <w:p>
      <w:pPr>
        <w:spacing w:after="0" w:line="5" w:lineRule="exact"/>
        <w:rPr>
          <w:sz w:val="20"/>
          <w:szCs w:val="20"/>
          <w:color w:val="auto"/>
        </w:rPr>
      </w:pPr>
    </w:p>
    <w:p>
      <w:pPr>
        <w:ind w:left="220" w:right="340" w:hanging="216"/>
        <w:spacing w:after="0" w:line="250" w:lineRule="auto"/>
        <w:tabs>
          <w:tab w:leader="none" w:pos="2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Each non-employee director has five years from the date of initial election or appointment to meet the stock ownership requirement. All of our current non-employee directors meet the stock ownership requirement.</w:t>
      </w:r>
    </w:p>
    <w:p>
      <w:pPr>
        <w:spacing w:after="0" w:line="200" w:lineRule="exact"/>
        <w:rPr>
          <w:sz w:val="20"/>
          <w:szCs w:val="20"/>
          <w:color w:val="auto"/>
        </w:rPr>
      </w:pPr>
    </w:p>
    <w:p>
      <w:pPr>
        <w:sectPr>
          <w:pgSz w:w="11900" w:h="16838" w:orient="portrait"/>
          <w:cols w:equalWidth="0" w:num="2">
            <w:col w:w="5440" w:space="380"/>
            <w:col w:w="5400"/>
          </w:cols>
          <w:pgMar w:left="240" w:top="459" w:right="439" w:bottom="1440" w:gutter="0" w:footer="0" w:header="0"/>
          <w:type w:val="continuous"/>
        </w:sectPr>
      </w:pPr>
    </w:p>
    <w:p>
      <w:pPr>
        <w:spacing w:after="0" w:line="105"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-62865</wp:posOffset>
            </wp:positionV>
            <wp:extent cx="102870" cy="946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65"/>
        </w:numPr>
        <w:rPr>
          <w:rFonts w:ascii="Arial" w:cs="Arial" w:eastAsia="Arial" w:hAnsi="Arial"/>
          <w:sz w:val="90"/>
          <w:szCs w:val="90"/>
          <w:color w:val="1A6DBB"/>
        </w:rPr>
      </w:pPr>
      <w:r>
        <w:rPr>
          <w:rFonts w:ascii="Arial" w:cs="Arial" w:eastAsia="Arial" w:hAnsi="Arial"/>
          <w:sz w:val="41"/>
          <w:szCs w:val="41"/>
          <w:color w:val="1A6DBB"/>
        </w:rPr>
        <w:t xml:space="preserve">Board of Directors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1A6DBB"/>
        </w:rPr>
        <w:t>2018 Director Compensation</w:t>
      </w:r>
    </w:p>
    <w:p>
      <w:pPr>
        <w:spacing w:after="0" w:line="140" w:lineRule="exact"/>
        <w:rPr>
          <w:sz w:val="20"/>
          <w:szCs w:val="20"/>
          <w:color w:val="auto"/>
        </w:rPr>
      </w:pPr>
    </w:p>
    <w:tbl>
      <w:tblPr>
        <w:tblLayout w:type="fixed"/>
        <w:tblInd w:w="220" w:type="dxa"/>
        <w:tblCellMar>
          <w:top w:w="0" w:type="dxa"/>
          <w:left w:w="0" w:type="dxa"/>
          <w:bottom w:w="0" w:type="dxa"/>
          <w:right w:w="0" w:type="dxa"/>
        </w:tblCellMar>
      </w:tblPr>
      <w:tr>
        <w:trPr>
          <w:trHeight w:val="221"/>
        </w:trPr>
        <w:tc>
          <w:tcPr>
            <w:tcW w:w="3700" w:type="dxa"/>
            <w:vAlign w:val="bottom"/>
            <w:shd w:val="clear" w:color="auto" w:fill="1A6DBB"/>
          </w:tcPr>
          <w:p>
            <w:pPr>
              <w:spacing w:after="0"/>
              <w:rPr>
                <w:sz w:val="19"/>
                <w:szCs w:val="19"/>
                <w:color w:val="auto"/>
              </w:rPr>
            </w:pPr>
          </w:p>
        </w:tc>
        <w:tc>
          <w:tcPr>
            <w:tcW w:w="1440" w:type="dxa"/>
            <w:vAlign w:val="bottom"/>
            <w:shd w:val="clear" w:color="auto" w:fill="1A6DBB"/>
          </w:tcPr>
          <w:p>
            <w:pPr>
              <w:jc w:val="center"/>
              <w:ind w:left="123"/>
              <w:spacing w:after="0"/>
              <w:rPr>
                <w:sz w:val="20"/>
                <w:szCs w:val="20"/>
                <w:color w:val="auto"/>
              </w:rPr>
            </w:pPr>
            <w:r>
              <w:rPr>
                <w:rFonts w:ascii="Arial" w:cs="Arial" w:eastAsia="Arial" w:hAnsi="Arial"/>
                <w:sz w:val="14"/>
                <w:szCs w:val="14"/>
                <w:color w:val="FFFFFF"/>
              </w:rPr>
              <w:t>Fees</w:t>
            </w:r>
          </w:p>
        </w:tc>
        <w:tc>
          <w:tcPr>
            <w:tcW w:w="1260" w:type="dxa"/>
            <w:vAlign w:val="bottom"/>
            <w:shd w:val="clear" w:color="auto" w:fill="1A6DBB"/>
          </w:tcPr>
          <w:p>
            <w:pPr>
              <w:spacing w:after="0"/>
              <w:rPr>
                <w:sz w:val="19"/>
                <w:szCs w:val="19"/>
                <w:color w:val="auto"/>
              </w:rPr>
            </w:pPr>
          </w:p>
        </w:tc>
        <w:tc>
          <w:tcPr>
            <w:tcW w:w="206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Change in Pension</w:t>
            </w:r>
          </w:p>
        </w:tc>
        <w:tc>
          <w:tcPr>
            <w:tcW w:w="1500" w:type="dxa"/>
            <w:vAlign w:val="bottom"/>
            <w:shd w:val="clear" w:color="auto" w:fill="1A6DBB"/>
          </w:tcPr>
          <w:p>
            <w:pPr>
              <w:spacing w:after="0"/>
              <w:rPr>
                <w:sz w:val="19"/>
                <w:szCs w:val="19"/>
                <w:color w:val="auto"/>
              </w:rPr>
            </w:pPr>
          </w:p>
        </w:tc>
        <w:tc>
          <w:tcPr>
            <w:tcW w:w="1060" w:type="dxa"/>
            <w:vAlign w:val="bottom"/>
            <w:shd w:val="clear" w:color="auto" w:fill="1A6DBB"/>
          </w:tcPr>
          <w:p>
            <w:pPr>
              <w:spacing w:after="0"/>
              <w:rPr>
                <w:sz w:val="19"/>
                <w:szCs w:val="19"/>
                <w:color w:val="auto"/>
              </w:rPr>
            </w:pPr>
          </w:p>
        </w:tc>
      </w:tr>
      <w:tr>
        <w:trPr>
          <w:trHeight w:val="162"/>
        </w:trPr>
        <w:tc>
          <w:tcPr>
            <w:tcW w:w="3700" w:type="dxa"/>
            <w:vAlign w:val="bottom"/>
            <w:shd w:val="clear" w:color="auto" w:fill="1A6DBB"/>
          </w:tcPr>
          <w:p>
            <w:pPr>
              <w:spacing w:after="0"/>
              <w:rPr>
                <w:sz w:val="14"/>
                <w:szCs w:val="14"/>
                <w:color w:val="auto"/>
              </w:rPr>
            </w:pPr>
          </w:p>
        </w:tc>
        <w:tc>
          <w:tcPr>
            <w:tcW w:w="1440" w:type="dxa"/>
            <w:vAlign w:val="bottom"/>
            <w:shd w:val="clear" w:color="auto" w:fill="1A6DBB"/>
          </w:tcPr>
          <w:p>
            <w:pPr>
              <w:jc w:val="center"/>
              <w:ind w:left="143"/>
              <w:spacing w:after="0"/>
              <w:rPr>
                <w:sz w:val="20"/>
                <w:szCs w:val="20"/>
                <w:color w:val="auto"/>
              </w:rPr>
            </w:pPr>
            <w:r>
              <w:rPr>
                <w:rFonts w:ascii="Arial" w:cs="Arial" w:eastAsia="Arial" w:hAnsi="Arial"/>
                <w:sz w:val="14"/>
                <w:szCs w:val="14"/>
                <w:color w:val="FFFFFF"/>
              </w:rPr>
              <w:t>Earned or</w:t>
            </w:r>
          </w:p>
        </w:tc>
        <w:tc>
          <w:tcPr>
            <w:tcW w:w="1260" w:type="dxa"/>
            <w:vAlign w:val="bottom"/>
            <w:shd w:val="clear" w:color="auto" w:fill="1A6DBB"/>
          </w:tcPr>
          <w:p>
            <w:pPr>
              <w:spacing w:after="0"/>
              <w:rPr>
                <w:sz w:val="14"/>
                <w:szCs w:val="14"/>
                <w:color w:val="auto"/>
              </w:rPr>
            </w:pPr>
          </w:p>
        </w:tc>
        <w:tc>
          <w:tcPr>
            <w:tcW w:w="206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Value and Nonqualified</w:t>
            </w:r>
          </w:p>
        </w:tc>
        <w:tc>
          <w:tcPr>
            <w:tcW w:w="1500" w:type="dxa"/>
            <w:vAlign w:val="bottom"/>
            <w:shd w:val="clear" w:color="auto" w:fill="1A6DBB"/>
          </w:tcPr>
          <w:p>
            <w:pPr>
              <w:spacing w:after="0"/>
              <w:rPr>
                <w:sz w:val="14"/>
                <w:szCs w:val="14"/>
                <w:color w:val="auto"/>
              </w:rPr>
            </w:pPr>
          </w:p>
        </w:tc>
        <w:tc>
          <w:tcPr>
            <w:tcW w:w="1060" w:type="dxa"/>
            <w:vAlign w:val="bottom"/>
            <w:shd w:val="clear" w:color="auto" w:fill="1A6DBB"/>
          </w:tcPr>
          <w:p>
            <w:pPr>
              <w:spacing w:after="0"/>
              <w:rPr>
                <w:sz w:val="14"/>
                <w:szCs w:val="14"/>
                <w:color w:val="auto"/>
              </w:rPr>
            </w:pPr>
          </w:p>
        </w:tc>
      </w:tr>
      <w:tr>
        <w:trPr>
          <w:trHeight w:val="155"/>
        </w:trPr>
        <w:tc>
          <w:tcPr>
            <w:tcW w:w="3700" w:type="dxa"/>
            <w:vAlign w:val="bottom"/>
            <w:shd w:val="clear" w:color="auto" w:fill="1A6DBB"/>
          </w:tcPr>
          <w:p>
            <w:pPr>
              <w:spacing w:after="0"/>
              <w:rPr>
                <w:sz w:val="13"/>
                <w:szCs w:val="13"/>
                <w:color w:val="auto"/>
              </w:rPr>
            </w:pPr>
          </w:p>
        </w:tc>
        <w:tc>
          <w:tcPr>
            <w:tcW w:w="1440" w:type="dxa"/>
            <w:vAlign w:val="bottom"/>
            <w:shd w:val="clear" w:color="auto" w:fill="1A6DBB"/>
          </w:tcPr>
          <w:p>
            <w:pPr>
              <w:jc w:val="center"/>
              <w:ind w:left="123"/>
              <w:spacing w:after="0" w:line="155" w:lineRule="exact"/>
              <w:rPr>
                <w:sz w:val="20"/>
                <w:szCs w:val="20"/>
                <w:color w:val="auto"/>
              </w:rPr>
            </w:pPr>
            <w:r>
              <w:rPr>
                <w:rFonts w:ascii="Arial" w:cs="Arial" w:eastAsia="Arial" w:hAnsi="Arial"/>
                <w:sz w:val="14"/>
                <w:szCs w:val="14"/>
                <w:color w:val="FFFFFF"/>
              </w:rPr>
              <w:t>Paid in</w:t>
            </w:r>
          </w:p>
        </w:tc>
        <w:tc>
          <w:tcPr>
            <w:tcW w:w="1260" w:type="dxa"/>
            <w:vAlign w:val="bottom"/>
            <w:shd w:val="clear" w:color="auto" w:fill="1A6DBB"/>
          </w:tcPr>
          <w:p>
            <w:pPr>
              <w:jc w:val="center"/>
              <w:spacing w:after="0" w:line="155" w:lineRule="exact"/>
              <w:rPr>
                <w:sz w:val="20"/>
                <w:szCs w:val="20"/>
                <w:color w:val="auto"/>
              </w:rPr>
            </w:pPr>
            <w:r>
              <w:rPr>
                <w:rFonts w:ascii="Arial" w:cs="Arial" w:eastAsia="Arial" w:hAnsi="Arial"/>
                <w:sz w:val="14"/>
                <w:szCs w:val="14"/>
                <w:color w:val="FFFFFF"/>
              </w:rPr>
              <w:t>Stock</w:t>
            </w:r>
          </w:p>
        </w:tc>
        <w:tc>
          <w:tcPr>
            <w:tcW w:w="2060" w:type="dxa"/>
            <w:vAlign w:val="bottom"/>
            <w:shd w:val="clear" w:color="auto" w:fill="1A6DBB"/>
          </w:tcPr>
          <w:p>
            <w:pPr>
              <w:jc w:val="center"/>
              <w:spacing w:after="0" w:line="155" w:lineRule="exact"/>
              <w:rPr>
                <w:sz w:val="20"/>
                <w:szCs w:val="20"/>
                <w:color w:val="auto"/>
              </w:rPr>
            </w:pPr>
            <w:r>
              <w:rPr>
                <w:rFonts w:ascii="Arial" w:cs="Arial" w:eastAsia="Arial" w:hAnsi="Arial"/>
                <w:sz w:val="14"/>
                <w:szCs w:val="14"/>
                <w:color w:val="FFFFFF"/>
              </w:rPr>
              <w:t>Deferred Compensation</w:t>
            </w:r>
          </w:p>
        </w:tc>
        <w:tc>
          <w:tcPr>
            <w:tcW w:w="1500" w:type="dxa"/>
            <w:vAlign w:val="bottom"/>
            <w:shd w:val="clear" w:color="auto" w:fill="1A6DBB"/>
          </w:tcPr>
          <w:p>
            <w:pPr>
              <w:jc w:val="center"/>
              <w:spacing w:after="0" w:line="155" w:lineRule="exact"/>
              <w:rPr>
                <w:sz w:val="20"/>
                <w:szCs w:val="20"/>
                <w:color w:val="auto"/>
              </w:rPr>
            </w:pPr>
            <w:r>
              <w:rPr>
                <w:rFonts w:ascii="Arial" w:cs="Arial" w:eastAsia="Arial" w:hAnsi="Arial"/>
                <w:sz w:val="14"/>
                <w:szCs w:val="14"/>
                <w:color w:val="FFFFFF"/>
              </w:rPr>
              <w:t>All Other</w:t>
            </w:r>
          </w:p>
        </w:tc>
        <w:tc>
          <w:tcPr>
            <w:tcW w:w="1060" w:type="dxa"/>
            <w:vAlign w:val="bottom"/>
            <w:shd w:val="clear" w:color="auto" w:fill="1A6DBB"/>
          </w:tcPr>
          <w:p>
            <w:pPr>
              <w:spacing w:after="0"/>
              <w:rPr>
                <w:sz w:val="13"/>
                <w:szCs w:val="13"/>
                <w:color w:val="auto"/>
              </w:rPr>
            </w:pPr>
          </w:p>
        </w:tc>
      </w:tr>
      <w:tr>
        <w:trPr>
          <w:trHeight w:val="170"/>
        </w:trPr>
        <w:tc>
          <w:tcPr>
            <w:tcW w:w="3700" w:type="dxa"/>
            <w:vAlign w:val="bottom"/>
            <w:shd w:val="clear" w:color="auto" w:fill="1A6DBB"/>
          </w:tcPr>
          <w:p>
            <w:pPr>
              <w:ind w:left="60"/>
              <w:spacing w:after="0"/>
              <w:rPr>
                <w:sz w:val="20"/>
                <w:szCs w:val="20"/>
                <w:color w:val="auto"/>
              </w:rPr>
            </w:pPr>
            <w:r>
              <w:rPr>
                <w:rFonts w:ascii="Arial" w:cs="Arial" w:eastAsia="Arial" w:hAnsi="Arial"/>
                <w:sz w:val="14"/>
                <w:szCs w:val="14"/>
                <w:color w:val="FFFFFF"/>
              </w:rPr>
              <w:t>Name</w:t>
            </w:r>
          </w:p>
        </w:tc>
        <w:tc>
          <w:tcPr>
            <w:tcW w:w="1440" w:type="dxa"/>
            <w:vAlign w:val="bottom"/>
            <w:shd w:val="clear" w:color="auto" w:fill="1A6DBB"/>
          </w:tcPr>
          <w:p>
            <w:pPr>
              <w:jc w:val="center"/>
              <w:ind w:left="143"/>
              <w:spacing w:after="0" w:line="170" w:lineRule="exact"/>
              <w:rPr>
                <w:sz w:val="20"/>
                <w:szCs w:val="20"/>
                <w:color w:val="auto"/>
              </w:rPr>
            </w:pPr>
            <w:r>
              <w:rPr>
                <w:rFonts w:ascii="Arial" w:cs="Arial" w:eastAsia="Arial" w:hAnsi="Arial"/>
                <w:sz w:val="12"/>
                <w:szCs w:val="12"/>
                <w:color w:val="FFFFFF"/>
              </w:rPr>
              <w:t>Cash</w:t>
            </w:r>
            <w:r>
              <w:rPr>
                <w:rFonts w:ascii="Arial" w:cs="Arial" w:eastAsia="Arial" w:hAnsi="Arial"/>
                <w:sz w:val="19"/>
                <w:szCs w:val="19"/>
                <w:color w:val="FFFFFF"/>
                <w:vertAlign w:val="superscript"/>
              </w:rPr>
              <w:t>(1)</w:t>
            </w:r>
          </w:p>
        </w:tc>
        <w:tc>
          <w:tcPr>
            <w:tcW w:w="1260" w:type="dxa"/>
            <w:vAlign w:val="bottom"/>
            <w:shd w:val="clear" w:color="auto" w:fill="1A6DBB"/>
          </w:tcPr>
          <w:p>
            <w:pPr>
              <w:jc w:val="center"/>
              <w:spacing w:after="0" w:line="170" w:lineRule="exact"/>
              <w:rPr>
                <w:sz w:val="20"/>
                <w:szCs w:val="20"/>
                <w:color w:val="auto"/>
              </w:rPr>
            </w:pPr>
            <w:r>
              <w:rPr>
                <w:rFonts w:ascii="Arial" w:cs="Arial" w:eastAsia="Arial" w:hAnsi="Arial"/>
                <w:sz w:val="12"/>
                <w:szCs w:val="12"/>
                <w:color w:val="FFFFFF"/>
              </w:rPr>
              <w:t>Awards</w:t>
            </w:r>
            <w:r>
              <w:rPr>
                <w:rFonts w:ascii="Arial" w:cs="Arial" w:eastAsia="Arial" w:hAnsi="Arial"/>
                <w:sz w:val="19"/>
                <w:szCs w:val="19"/>
                <w:color w:val="FFFFFF"/>
                <w:vertAlign w:val="superscript"/>
              </w:rPr>
              <w:t>(2)</w:t>
            </w:r>
          </w:p>
        </w:tc>
        <w:tc>
          <w:tcPr>
            <w:tcW w:w="2060" w:type="dxa"/>
            <w:vAlign w:val="bottom"/>
            <w:shd w:val="clear" w:color="auto" w:fill="1A6DBB"/>
          </w:tcPr>
          <w:p>
            <w:pPr>
              <w:jc w:val="center"/>
              <w:spacing w:after="0" w:line="170" w:lineRule="exact"/>
              <w:rPr>
                <w:sz w:val="20"/>
                <w:szCs w:val="20"/>
                <w:color w:val="auto"/>
              </w:rPr>
            </w:pPr>
            <w:r>
              <w:rPr>
                <w:rFonts w:ascii="Arial" w:cs="Arial" w:eastAsia="Arial" w:hAnsi="Arial"/>
                <w:sz w:val="12"/>
                <w:szCs w:val="12"/>
                <w:color w:val="FFFFFF"/>
              </w:rPr>
              <w:t>Earnings</w:t>
            </w:r>
            <w:r>
              <w:rPr>
                <w:rFonts w:ascii="Arial" w:cs="Arial" w:eastAsia="Arial" w:hAnsi="Arial"/>
                <w:sz w:val="19"/>
                <w:szCs w:val="19"/>
                <w:color w:val="FFFFFF"/>
                <w:vertAlign w:val="superscript"/>
              </w:rPr>
              <w:t>(3)</w:t>
            </w:r>
          </w:p>
        </w:tc>
        <w:tc>
          <w:tcPr>
            <w:tcW w:w="1500" w:type="dxa"/>
            <w:vAlign w:val="bottom"/>
            <w:shd w:val="clear" w:color="auto" w:fill="1A6DBB"/>
          </w:tcPr>
          <w:p>
            <w:pPr>
              <w:jc w:val="center"/>
              <w:ind w:left="2"/>
              <w:spacing w:after="0" w:line="170" w:lineRule="exact"/>
              <w:rPr>
                <w:sz w:val="20"/>
                <w:szCs w:val="20"/>
                <w:color w:val="auto"/>
              </w:rPr>
            </w:pPr>
            <w:r>
              <w:rPr>
                <w:rFonts w:ascii="Arial" w:cs="Arial" w:eastAsia="Arial" w:hAnsi="Arial"/>
                <w:sz w:val="12"/>
                <w:szCs w:val="12"/>
                <w:color w:val="FFFFFF"/>
              </w:rPr>
              <w:t>Compensation</w:t>
            </w:r>
            <w:r>
              <w:rPr>
                <w:rFonts w:ascii="Arial" w:cs="Arial" w:eastAsia="Arial" w:hAnsi="Arial"/>
                <w:sz w:val="19"/>
                <w:szCs w:val="19"/>
                <w:color w:val="FFFFFF"/>
                <w:vertAlign w:val="superscript"/>
              </w:rPr>
              <w:t>(4)</w:t>
            </w:r>
          </w:p>
        </w:tc>
        <w:tc>
          <w:tcPr>
            <w:tcW w:w="1060" w:type="dxa"/>
            <w:vAlign w:val="bottom"/>
            <w:shd w:val="clear" w:color="auto" w:fill="1A6DBB"/>
          </w:tcPr>
          <w:p>
            <w:pPr>
              <w:jc w:val="center"/>
              <w:spacing w:after="0"/>
              <w:rPr>
                <w:sz w:val="20"/>
                <w:szCs w:val="20"/>
                <w:color w:val="auto"/>
              </w:rPr>
            </w:pPr>
            <w:r>
              <w:rPr>
                <w:rFonts w:ascii="Arial" w:cs="Arial" w:eastAsia="Arial" w:hAnsi="Arial"/>
                <w:sz w:val="14"/>
                <w:szCs w:val="14"/>
                <w:color w:val="FFFFFF"/>
                <w:w w:val="96"/>
              </w:rPr>
              <w:t>Total</w:t>
            </w:r>
          </w:p>
        </w:tc>
      </w:tr>
      <w:tr>
        <w:trPr>
          <w:trHeight w:val="171"/>
        </w:trPr>
        <w:tc>
          <w:tcPr>
            <w:tcW w:w="3700" w:type="dxa"/>
            <w:vAlign w:val="bottom"/>
            <w:shd w:val="clear" w:color="auto" w:fill="1A6DBB"/>
          </w:tcPr>
          <w:p>
            <w:pPr>
              <w:ind w:left="60"/>
              <w:spacing w:after="0"/>
              <w:rPr>
                <w:sz w:val="20"/>
                <w:szCs w:val="20"/>
                <w:color w:val="auto"/>
              </w:rPr>
            </w:pPr>
            <w:r>
              <w:rPr>
                <w:rFonts w:ascii="Arial" w:cs="Arial" w:eastAsia="Arial" w:hAnsi="Arial"/>
                <w:sz w:val="14"/>
                <w:szCs w:val="14"/>
                <w:color w:val="FFFFFF"/>
              </w:rPr>
              <w:t>(a)</w:t>
            </w:r>
          </w:p>
        </w:tc>
        <w:tc>
          <w:tcPr>
            <w:tcW w:w="1440" w:type="dxa"/>
            <w:vAlign w:val="bottom"/>
            <w:shd w:val="clear" w:color="auto" w:fill="1A6DBB"/>
          </w:tcPr>
          <w:p>
            <w:pPr>
              <w:jc w:val="center"/>
              <w:ind w:left="143"/>
              <w:spacing w:after="0"/>
              <w:rPr>
                <w:sz w:val="20"/>
                <w:szCs w:val="20"/>
                <w:color w:val="auto"/>
              </w:rPr>
            </w:pPr>
            <w:r>
              <w:rPr>
                <w:rFonts w:ascii="Arial" w:cs="Arial" w:eastAsia="Arial" w:hAnsi="Arial"/>
                <w:sz w:val="14"/>
                <w:szCs w:val="14"/>
                <w:color w:val="FFFFFF"/>
              </w:rPr>
              <w:t>(b)</w:t>
            </w:r>
          </w:p>
        </w:tc>
        <w:tc>
          <w:tcPr>
            <w:tcW w:w="126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(c)</w:t>
            </w:r>
          </w:p>
        </w:tc>
        <w:tc>
          <w:tcPr>
            <w:tcW w:w="2060" w:type="dxa"/>
            <w:vAlign w:val="bottom"/>
            <w:shd w:val="clear" w:color="auto" w:fill="1A6DBB"/>
          </w:tcPr>
          <w:p>
            <w:pPr>
              <w:jc w:val="center"/>
              <w:spacing w:after="0"/>
              <w:rPr>
                <w:sz w:val="20"/>
                <w:szCs w:val="20"/>
                <w:color w:val="auto"/>
              </w:rPr>
            </w:pPr>
            <w:r>
              <w:rPr>
                <w:rFonts w:ascii="Arial" w:cs="Arial" w:eastAsia="Arial" w:hAnsi="Arial"/>
                <w:sz w:val="14"/>
                <w:szCs w:val="14"/>
                <w:color w:val="FFFFFF"/>
                <w:w w:val="93"/>
              </w:rPr>
              <w:t>(d)</w:t>
            </w:r>
          </w:p>
        </w:tc>
        <w:tc>
          <w:tcPr>
            <w:tcW w:w="1500" w:type="dxa"/>
            <w:vAlign w:val="bottom"/>
            <w:shd w:val="clear" w:color="auto" w:fill="1A6DBB"/>
          </w:tcPr>
          <w:p>
            <w:pPr>
              <w:jc w:val="center"/>
              <w:ind w:left="2"/>
              <w:spacing w:after="0"/>
              <w:rPr>
                <w:sz w:val="20"/>
                <w:szCs w:val="20"/>
                <w:color w:val="auto"/>
              </w:rPr>
            </w:pPr>
            <w:r>
              <w:rPr>
                <w:rFonts w:ascii="Arial" w:cs="Arial" w:eastAsia="Arial" w:hAnsi="Arial"/>
                <w:sz w:val="14"/>
                <w:szCs w:val="14"/>
                <w:color w:val="FFFFFF"/>
              </w:rPr>
              <w:t>(e)</w:t>
            </w:r>
          </w:p>
        </w:tc>
        <w:tc>
          <w:tcPr>
            <w:tcW w:w="106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(f)</w:t>
            </w:r>
          </w:p>
        </w:tc>
      </w:tr>
      <w:tr>
        <w:trPr>
          <w:trHeight w:val="247"/>
        </w:trPr>
        <w:tc>
          <w:tcPr>
            <w:tcW w:w="3700" w:type="dxa"/>
            <w:vAlign w:val="bottom"/>
            <w:shd w:val="clear" w:color="auto" w:fill="E8F0F8"/>
          </w:tcPr>
          <w:p>
            <w:pPr>
              <w:ind w:left="60"/>
              <w:spacing w:after="0"/>
              <w:rPr>
                <w:sz w:val="20"/>
                <w:szCs w:val="20"/>
                <w:color w:val="auto"/>
              </w:rPr>
            </w:pPr>
            <w:r>
              <w:rPr>
                <w:rFonts w:ascii="Arial" w:cs="Arial" w:eastAsia="Arial" w:hAnsi="Arial"/>
                <w:sz w:val="16"/>
                <w:szCs w:val="16"/>
                <w:color w:val="auto"/>
              </w:rPr>
              <w:t>Alexander J. Denner</w:t>
            </w:r>
          </w:p>
        </w:tc>
        <w:tc>
          <w:tcPr>
            <w:tcW w:w="1440" w:type="dxa"/>
            <w:vAlign w:val="bottom"/>
            <w:shd w:val="clear" w:color="auto" w:fill="E8F0F8"/>
          </w:tcPr>
          <w:p>
            <w:pPr>
              <w:jc w:val="center"/>
              <w:ind w:left="143"/>
              <w:spacing w:after="0"/>
              <w:rPr>
                <w:sz w:val="20"/>
                <w:szCs w:val="20"/>
                <w:color w:val="auto"/>
              </w:rPr>
            </w:pPr>
            <w:r>
              <w:rPr>
                <w:rFonts w:ascii="Arial" w:cs="Arial" w:eastAsia="Arial" w:hAnsi="Arial"/>
                <w:sz w:val="16"/>
                <w:szCs w:val="16"/>
                <w:color w:val="auto"/>
              </w:rPr>
              <w:t>$139,000</w:t>
            </w:r>
          </w:p>
        </w:tc>
        <w:tc>
          <w:tcPr>
            <w:tcW w:w="1260" w:type="dxa"/>
            <w:vAlign w:val="bottom"/>
            <w:shd w:val="clear" w:color="auto" w:fill="E8F0F8"/>
          </w:tcPr>
          <w:p>
            <w:pPr>
              <w:jc w:val="center"/>
              <w:spacing w:after="0"/>
              <w:rPr>
                <w:sz w:val="20"/>
                <w:szCs w:val="20"/>
                <w:color w:val="auto"/>
              </w:rPr>
            </w:pPr>
            <w:r>
              <w:rPr>
                <w:rFonts w:ascii="Arial" w:cs="Arial" w:eastAsia="Arial" w:hAnsi="Arial"/>
                <w:sz w:val="16"/>
                <w:szCs w:val="16"/>
                <w:color w:val="auto"/>
              </w:rPr>
              <w:t>$269,447</w:t>
            </w:r>
          </w:p>
        </w:tc>
        <w:tc>
          <w:tcPr>
            <w:tcW w:w="2060" w:type="dxa"/>
            <w:vAlign w:val="bottom"/>
            <w:shd w:val="clear" w:color="auto" w:fill="E8F0F8"/>
          </w:tcPr>
          <w:p>
            <w:pPr>
              <w:jc w:val="center"/>
              <w:spacing w:after="0"/>
              <w:rPr>
                <w:sz w:val="20"/>
                <w:szCs w:val="20"/>
                <w:color w:val="auto"/>
              </w:rPr>
            </w:pPr>
            <w:r>
              <w:rPr>
                <w:rFonts w:ascii="Arial" w:cs="Arial" w:eastAsia="Arial" w:hAnsi="Arial"/>
                <w:sz w:val="16"/>
                <w:szCs w:val="16"/>
                <w:color w:val="auto"/>
                <w:w w:val="99"/>
              </w:rPr>
              <w:t>—</w:t>
            </w:r>
          </w:p>
        </w:tc>
        <w:tc>
          <w:tcPr>
            <w:tcW w:w="1500" w:type="dxa"/>
            <w:vAlign w:val="bottom"/>
            <w:shd w:val="clear" w:color="auto" w:fill="E8F0F8"/>
          </w:tcPr>
          <w:p>
            <w:pPr>
              <w:jc w:val="center"/>
              <w:ind w:left="2"/>
              <w:spacing w:after="0"/>
              <w:rPr>
                <w:sz w:val="20"/>
                <w:szCs w:val="20"/>
                <w:color w:val="auto"/>
              </w:rPr>
            </w:pPr>
            <w:r>
              <w:rPr>
                <w:rFonts w:ascii="Arial" w:cs="Arial" w:eastAsia="Arial" w:hAnsi="Arial"/>
                <w:sz w:val="16"/>
                <w:szCs w:val="16"/>
                <w:color w:val="auto"/>
              </w:rPr>
              <w:t>$5,000</w:t>
            </w:r>
          </w:p>
        </w:tc>
        <w:tc>
          <w:tcPr>
            <w:tcW w:w="1060" w:type="dxa"/>
            <w:vAlign w:val="bottom"/>
            <w:shd w:val="clear" w:color="auto" w:fill="E8F0F8"/>
          </w:tcPr>
          <w:p>
            <w:pPr>
              <w:jc w:val="center"/>
              <w:spacing w:after="0"/>
              <w:rPr>
                <w:sz w:val="20"/>
                <w:szCs w:val="20"/>
                <w:color w:val="auto"/>
              </w:rPr>
            </w:pPr>
            <w:r>
              <w:rPr>
                <w:rFonts w:ascii="Arial" w:cs="Arial" w:eastAsia="Arial" w:hAnsi="Arial"/>
                <w:sz w:val="16"/>
                <w:szCs w:val="16"/>
                <w:color w:val="auto"/>
              </w:rPr>
              <w:t>$413,447</w:t>
            </w:r>
          </w:p>
        </w:tc>
      </w:tr>
      <w:tr>
        <w:trPr>
          <w:trHeight w:val="266"/>
        </w:trPr>
        <w:tc>
          <w:tcPr>
            <w:tcW w:w="3700" w:type="dxa"/>
            <w:vAlign w:val="bottom"/>
            <w:shd w:val="clear" w:color="auto" w:fill="BAD3EA"/>
          </w:tcPr>
          <w:p>
            <w:pPr>
              <w:ind w:left="80"/>
              <w:spacing w:after="0"/>
              <w:rPr>
                <w:sz w:val="20"/>
                <w:szCs w:val="20"/>
                <w:color w:val="auto"/>
              </w:rPr>
            </w:pPr>
            <w:r>
              <w:rPr>
                <w:rFonts w:ascii="Arial" w:cs="Arial" w:eastAsia="Arial" w:hAnsi="Arial"/>
                <w:sz w:val="16"/>
                <w:szCs w:val="16"/>
                <w:color w:val="auto"/>
              </w:rPr>
              <w:t>Caroline D. Dorsa</w:t>
            </w:r>
          </w:p>
        </w:tc>
        <w:tc>
          <w:tcPr>
            <w:tcW w:w="1440" w:type="dxa"/>
            <w:vAlign w:val="bottom"/>
            <w:shd w:val="clear" w:color="auto" w:fill="BAD3EA"/>
          </w:tcPr>
          <w:p>
            <w:pPr>
              <w:jc w:val="center"/>
              <w:ind w:left="143"/>
              <w:spacing w:after="0"/>
              <w:rPr>
                <w:sz w:val="20"/>
                <w:szCs w:val="20"/>
                <w:color w:val="auto"/>
              </w:rPr>
            </w:pPr>
            <w:r>
              <w:rPr>
                <w:rFonts w:ascii="Arial" w:cs="Arial" w:eastAsia="Arial" w:hAnsi="Arial"/>
                <w:sz w:val="16"/>
                <w:szCs w:val="16"/>
                <w:color w:val="auto"/>
              </w:rPr>
              <w:t>$143,000</w:t>
            </w:r>
          </w:p>
        </w:tc>
        <w:tc>
          <w:tcPr>
            <w:tcW w:w="1260" w:type="dxa"/>
            <w:vAlign w:val="bottom"/>
            <w:shd w:val="clear" w:color="auto" w:fill="BAD3EA"/>
          </w:tcPr>
          <w:p>
            <w:pPr>
              <w:jc w:val="center"/>
              <w:spacing w:after="0"/>
              <w:rPr>
                <w:sz w:val="20"/>
                <w:szCs w:val="20"/>
                <w:color w:val="auto"/>
              </w:rPr>
            </w:pPr>
            <w:r>
              <w:rPr>
                <w:rFonts w:ascii="Arial" w:cs="Arial" w:eastAsia="Arial" w:hAnsi="Arial"/>
                <w:sz w:val="16"/>
                <w:szCs w:val="16"/>
                <w:color w:val="auto"/>
              </w:rPr>
              <w:t>$269,447</w:t>
            </w:r>
          </w:p>
        </w:tc>
        <w:tc>
          <w:tcPr>
            <w:tcW w:w="2060" w:type="dxa"/>
            <w:vAlign w:val="bottom"/>
            <w:shd w:val="clear" w:color="auto" w:fill="BAD3EA"/>
          </w:tcPr>
          <w:p>
            <w:pPr>
              <w:jc w:val="center"/>
              <w:spacing w:after="0"/>
              <w:rPr>
                <w:sz w:val="20"/>
                <w:szCs w:val="20"/>
                <w:color w:val="auto"/>
              </w:rPr>
            </w:pPr>
            <w:r>
              <w:rPr>
                <w:rFonts w:ascii="Arial" w:cs="Arial" w:eastAsia="Arial" w:hAnsi="Arial"/>
                <w:sz w:val="16"/>
                <w:szCs w:val="16"/>
                <w:color w:val="auto"/>
                <w:w w:val="99"/>
              </w:rPr>
              <w:t>—</w:t>
            </w:r>
          </w:p>
        </w:tc>
        <w:tc>
          <w:tcPr>
            <w:tcW w:w="1500" w:type="dxa"/>
            <w:vAlign w:val="bottom"/>
            <w:shd w:val="clear" w:color="auto" w:fill="BAD3EA"/>
          </w:tcPr>
          <w:p>
            <w:pPr>
              <w:jc w:val="center"/>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BAD3EA"/>
          </w:tcPr>
          <w:p>
            <w:pPr>
              <w:jc w:val="center"/>
              <w:spacing w:after="0"/>
              <w:rPr>
                <w:sz w:val="20"/>
                <w:szCs w:val="20"/>
                <w:color w:val="auto"/>
              </w:rPr>
            </w:pPr>
            <w:r>
              <w:rPr>
                <w:rFonts w:ascii="Arial" w:cs="Arial" w:eastAsia="Arial" w:hAnsi="Arial"/>
                <w:sz w:val="16"/>
                <w:szCs w:val="16"/>
                <w:color w:val="auto"/>
              </w:rPr>
              <w:t>$412,447</w:t>
            </w:r>
          </w:p>
        </w:tc>
      </w:tr>
      <w:tr>
        <w:trPr>
          <w:trHeight w:val="247"/>
        </w:trPr>
        <w:tc>
          <w:tcPr>
            <w:tcW w:w="3700" w:type="dxa"/>
            <w:vAlign w:val="bottom"/>
            <w:shd w:val="clear" w:color="auto" w:fill="E8F0F8"/>
          </w:tcPr>
          <w:p>
            <w:pPr>
              <w:ind w:left="80"/>
              <w:spacing w:after="0"/>
              <w:rPr>
                <w:sz w:val="20"/>
                <w:szCs w:val="20"/>
                <w:color w:val="auto"/>
              </w:rPr>
            </w:pPr>
            <w:r>
              <w:rPr>
                <w:rFonts w:ascii="Arial" w:cs="Arial" w:eastAsia="Arial" w:hAnsi="Arial"/>
                <w:sz w:val="16"/>
                <w:szCs w:val="16"/>
                <w:color w:val="auto"/>
              </w:rPr>
              <w:t>Nancy L. Leaming</w:t>
            </w:r>
          </w:p>
        </w:tc>
        <w:tc>
          <w:tcPr>
            <w:tcW w:w="1440" w:type="dxa"/>
            <w:vAlign w:val="bottom"/>
            <w:shd w:val="clear" w:color="auto" w:fill="E8F0F8"/>
          </w:tcPr>
          <w:p>
            <w:pPr>
              <w:jc w:val="center"/>
              <w:ind w:left="143"/>
              <w:spacing w:after="0"/>
              <w:rPr>
                <w:sz w:val="20"/>
                <w:szCs w:val="20"/>
                <w:color w:val="auto"/>
              </w:rPr>
            </w:pPr>
            <w:r>
              <w:rPr>
                <w:rFonts w:ascii="Arial" w:cs="Arial" w:eastAsia="Arial" w:hAnsi="Arial"/>
                <w:sz w:val="16"/>
                <w:szCs w:val="16"/>
                <w:color w:val="auto"/>
              </w:rPr>
              <w:t>$120,500</w:t>
            </w:r>
          </w:p>
        </w:tc>
        <w:tc>
          <w:tcPr>
            <w:tcW w:w="1260" w:type="dxa"/>
            <w:vAlign w:val="bottom"/>
            <w:shd w:val="clear" w:color="auto" w:fill="E8F0F8"/>
          </w:tcPr>
          <w:p>
            <w:pPr>
              <w:jc w:val="center"/>
              <w:spacing w:after="0"/>
              <w:rPr>
                <w:sz w:val="20"/>
                <w:szCs w:val="20"/>
                <w:color w:val="auto"/>
              </w:rPr>
            </w:pPr>
            <w:r>
              <w:rPr>
                <w:rFonts w:ascii="Arial" w:cs="Arial" w:eastAsia="Arial" w:hAnsi="Arial"/>
                <w:sz w:val="16"/>
                <w:szCs w:val="16"/>
                <w:color w:val="auto"/>
              </w:rPr>
              <w:t>$269,447</w:t>
            </w:r>
          </w:p>
        </w:tc>
        <w:tc>
          <w:tcPr>
            <w:tcW w:w="2060" w:type="dxa"/>
            <w:vAlign w:val="bottom"/>
            <w:shd w:val="clear" w:color="auto" w:fill="E8F0F8"/>
          </w:tcPr>
          <w:p>
            <w:pPr>
              <w:jc w:val="center"/>
              <w:spacing w:after="0"/>
              <w:rPr>
                <w:sz w:val="20"/>
                <w:szCs w:val="20"/>
                <w:color w:val="auto"/>
              </w:rPr>
            </w:pPr>
            <w:r>
              <w:rPr>
                <w:rFonts w:ascii="Arial" w:cs="Arial" w:eastAsia="Arial" w:hAnsi="Arial"/>
                <w:sz w:val="16"/>
                <w:szCs w:val="16"/>
                <w:color w:val="auto"/>
                <w:w w:val="99"/>
              </w:rPr>
              <w:t>—</w:t>
            </w:r>
          </w:p>
        </w:tc>
        <w:tc>
          <w:tcPr>
            <w:tcW w:w="1500" w:type="dxa"/>
            <w:vAlign w:val="bottom"/>
            <w:shd w:val="clear" w:color="auto" w:fill="E8F0F8"/>
          </w:tcPr>
          <w:p>
            <w:pPr>
              <w:jc w:val="center"/>
              <w:ind w:left="2"/>
              <w:spacing w:after="0"/>
              <w:rPr>
                <w:sz w:val="20"/>
                <w:szCs w:val="20"/>
                <w:color w:val="auto"/>
              </w:rPr>
            </w:pPr>
            <w:r>
              <w:rPr>
                <w:rFonts w:ascii="Arial" w:cs="Arial" w:eastAsia="Arial" w:hAnsi="Arial"/>
                <w:sz w:val="16"/>
                <w:szCs w:val="16"/>
                <w:color w:val="auto"/>
              </w:rPr>
              <w:t>$10,280</w:t>
            </w:r>
          </w:p>
        </w:tc>
        <w:tc>
          <w:tcPr>
            <w:tcW w:w="1060" w:type="dxa"/>
            <w:vAlign w:val="bottom"/>
            <w:shd w:val="clear" w:color="auto" w:fill="E8F0F8"/>
          </w:tcPr>
          <w:p>
            <w:pPr>
              <w:jc w:val="center"/>
              <w:spacing w:after="0"/>
              <w:rPr>
                <w:sz w:val="20"/>
                <w:szCs w:val="20"/>
                <w:color w:val="auto"/>
              </w:rPr>
            </w:pPr>
            <w:r>
              <w:rPr>
                <w:rFonts w:ascii="Arial" w:cs="Arial" w:eastAsia="Arial" w:hAnsi="Arial"/>
                <w:sz w:val="16"/>
                <w:szCs w:val="16"/>
                <w:color w:val="auto"/>
              </w:rPr>
              <w:t>$400,227</w:t>
            </w:r>
          </w:p>
        </w:tc>
      </w:tr>
      <w:tr>
        <w:trPr>
          <w:trHeight w:val="266"/>
        </w:trPr>
        <w:tc>
          <w:tcPr>
            <w:tcW w:w="3700" w:type="dxa"/>
            <w:vAlign w:val="bottom"/>
            <w:shd w:val="clear" w:color="auto" w:fill="BAD3EA"/>
          </w:tcPr>
          <w:p>
            <w:pPr>
              <w:ind w:left="80"/>
              <w:spacing w:after="0"/>
              <w:rPr>
                <w:sz w:val="20"/>
                <w:szCs w:val="20"/>
                <w:color w:val="auto"/>
              </w:rPr>
            </w:pPr>
            <w:r>
              <w:rPr>
                <w:rFonts w:ascii="Arial" w:cs="Arial" w:eastAsia="Arial" w:hAnsi="Arial"/>
                <w:sz w:val="16"/>
                <w:szCs w:val="16"/>
                <w:color w:val="auto"/>
              </w:rPr>
              <w:t>Richard C. Mulligan</w:t>
            </w:r>
          </w:p>
        </w:tc>
        <w:tc>
          <w:tcPr>
            <w:tcW w:w="1440" w:type="dxa"/>
            <w:vAlign w:val="bottom"/>
            <w:shd w:val="clear" w:color="auto" w:fill="BAD3EA"/>
          </w:tcPr>
          <w:p>
            <w:pPr>
              <w:jc w:val="center"/>
              <w:ind w:left="143"/>
              <w:spacing w:after="0"/>
              <w:rPr>
                <w:sz w:val="20"/>
                <w:szCs w:val="20"/>
                <w:color w:val="auto"/>
              </w:rPr>
            </w:pPr>
            <w:r>
              <w:rPr>
                <w:rFonts w:ascii="Arial" w:cs="Arial" w:eastAsia="Arial" w:hAnsi="Arial"/>
                <w:sz w:val="16"/>
                <w:szCs w:val="16"/>
                <w:color w:val="auto"/>
              </w:rPr>
              <w:t>$138,500</w:t>
            </w:r>
          </w:p>
        </w:tc>
        <w:tc>
          <w:tcPr>
            <w:tcW w:w="1260" w:type="dxa"/>
            <w:vAlign w:val="bottom"/>
            <w:shd w:val="clear" w:color="auto" w:fill="BAD3EA"/>
          </w:tcPr>
          <w:p>
            <w:pPr>
              <w:jc w:val="center"/>
              <w:spacing w:after="0"/>
              <w:rPr>
                <w:sz w:val="20"/>
                <w:szCs w:val="20"/>
                <w:color w:val="auto"/>
              </w:rPr>
            </w:pPr>
            <w:r>
              <w:rPr>
                <w:rFonts w:ascii="Arial" w:cs="Arial" w:eastAsia="Arial" w:hAnsi="Arial"/>
                <w:sz w:val="16"/>
                <w:szCs w:val="16"/>
                <w:color w:val="auto"/>
              </w:rPr>
              <w:t>$269,447</w:t>
            </w:r>
          </w:p>
        </w:tc>
        <w:tc>
          <w:tcPr>
            <w:tcW w:w="2060" w:type="dxa"/>
            <w:vAlign w:val="bottom"/>
            <w:shd w:val="clear" w:color="auto" w:fill="BAD3EA"/>
          </w:tcPr>
          <w:p>
            <w:pPr>
              <w:jc w:val="center"/>
              <w:spacing w:after="0"/>
              <w:rPr>
                <w:sz w:val="20"/>
                <w:szCs w:val="20"/>
                <w:color w:val="auto"/>
              </w:rPr>
            </w:pPr>
            <w:r>
              <w:rPr>
                <w:rFonts w:ascii="Arial" w:cs="Arial" w:eastAsia="Arial" w:hAnsi="Arial"/>
                <w:sz w:val="16"/>
                <w:szCs w:val="16"/>
                <w:color w:val="auto"/>
                <w:w w:val="99"/>
              </w:rPr>
              <w:t>—</w:t>
            </w:r>
          </w:p>
        </w:tc>
        <w:tc>
          <w:tcPr>
            <w:tcW w:w="1500" w:type="dxa"/>
            <w:vAlign w:val="bottom"/>
            <w:shd w:val="clear" w:color="auto" w:fill="BAD3EA"/>
          </w:tcPr>
          <w:p>
            <w:pPr>
              <w:jc w:val="center"/>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BAD3EA"/>
          </w:tcPr>
          <w:p>
            <w:pPr>
              <w:jc w:val="center"/>
              <w:spacing w:after="0"/>
              <w:rPr>
                <w:sz w:val="20"/>
                <w:szCs w:val="20"/>
                <w:color w:val="auto"/>
              </w:rPr>
            </w:pPr>
            <w:r>
              <w:rPr>
                <w:rFonts w:ascii="Arial" w:cs="Arial" w:eastAsia="Arial" w:hAnsi="Arial"/>
                <w:sz w:val="16"/>
                <w:szCs w:val="16"/>
                <w:color w:val="auto"/>
              </w:rPr>
              <w:t>$407,947</w:t>
            </w:r>
          </w:p>
        </w:tc>
      </w:tr>
      <w:tr>
        <w:trPr>
          <w:trHeight w:val="247"/>
        </w:trPr>
        <w:tc>
          <w:tcPr>
            <w:tcW w:w="3700" w:type="dxa"/>
            <w:vAlign w:val="bottom"/>
            <w:shd w:val="clear" w:color="auto" w:fill="E8F0F8"/>
          </w:tcPr>
          <w:p>
            <w:pPr>
              <w:ind w:left="80"/>
              <w:spacing w:after="0"/>
              <w:rPr>
                <w:sz w:val="20"/>
                <w:szCs w:val="20"/>
                <w:color w:val="auto"/>
              </w:rPr>
            </w:pPr>
            <w:r>
              <w:rPr>
                <w:rFonts w:ascii="Arial" w:cs="Arial" w:eastAsia="Arial" w:hAnsi="Arial"/>
                <w:sz w:val="16"/>
                <w:szCs w:val="16"/>
                <w:color w:val="auto"/>
              </w:rPr>
              <w:t>Robert W. Pangia</w:t>
            </w:r>
          </w:p>
        </w:tc>
        <w:tc>
          <w:tcPr>
            <w:tcW w:w="1440" w:type="dxa"/>
            <w:vAlign w:val="bottom"/>
            <w:shd w:val="clear" w:color="auto" w:fill="E8F0F8"/>
          </w:tcPr>
          <w:p>
            <w:pPr>
              <w:jc w:val="center"/>
              <w:ind w:left="143"/>
              <w:spacing w:after="0"/>
              <w:rPr>
                <w:sz w:val="20"/>
                <w:szCs w:val="20"/>
                <w:color w:val="auto"/>
              </w:rPr>
            </w:pPr>
            <w:r>
              <w:rPr>
                <w:rFonts w:ascii="Arial" w:cs="Arial" w:eastAsia="Arial" w:hAnsi="Arial"/>
                <w:sz w:val="16"/>
                <w:szCs w:val="16"/>
                <w:color w:val="auto"/>
              </w:rPr>
              <w:t>$140,500</w:t>
            </w:r>
          </w:p>
        </w:tc>
        <w:tc>
          <w:tcPr>
            <w:tcW w:w="1260" w:type="dxa"/>
            <w:vAlign w:val="bottom"/>
            <w:shd w:val="clear" w:color="auto" w:fill="E8F0F8"/>
          </w:tcPr>
          <w:p>
            <w:pPr>
              <w:jc w:val="center"/>
              <w:spacing w:after="0"/>
              <w:rPr>
                <w:sz w:val="20"/>
                <w:szCs w:val="20"/>
                <w:color w:val="auto"/>
              </w:rPr>
            </w:pPr>
            <w:r>
              <w:rPr>
                <w:rFonts w:ascii="Arial" w:cs="Arial" w:eastAsia="Arial" w:hAnsi="Arial"/>
                <w:sz w:val="16"/>
                <w:szCs w:val="16"/>
                <w:color w:val="auto"/>
              </w:rPr>
              <w:t>$269,447</w:t>
            </w:r>
          </w:p>
        </w:tc>
        <w:tc>
          <w:tcPr>
            <w:tcW w:w="2060" w:type="dxa"/>
            <w:vAlign w:val="bottom"/>
            <w:shd w:val="clear" w:color="auto" w:fill="E8F0F8"/>
          </w:tcPr>
          <w:p>
            <w:pPr>
              <w:jc w:val="center"/>
              <w:spacing w:after="0"/>
              <w:rPr>
                <w:sz w:val="20"/>
                <w:szCs w:val="20"/>
                <w:color w:val="auto"/>
              </w:rPr>
            </w:pPr>
            <w:r>
              <w:rPr>
                <w:rFonts w:ascii="Arial" w:cs="Arial" w:eastAsia="Arial" w:hAnsi="Arial"/>
                <w:sz w:val="16"/>
                <w:szCs w:val="16"/>
                <w:color w:val="auto"/>
              </w:rPr>
              <w:t>$72,763</w:t>
            </w:r>
          </w:p>
        </w:tc>
        <w:tc>
          <w:tcPr>
            <w:tcW w:w="1500" w:type="dxa"/>
            <w:vAlign w:val="bottom"/>
            <w:shd w:val="clear" w:color="auto" w:fill="E8F0F8"/>
          </w:tcPr>
          <w:p>
            <w:pPr>
              <w:jc w:val="center"/>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E8F0F8"/>
          </w:tcPr>
          <w:p>
            <w:pPr>
              <w:jc w:val="center"/>
              <w:spacing w:after="0"/>
              <w:rPr>
                <w:sz w:val="20"/>
                <w:szCs w:val="20"/>
                <w:color w:val="auto"/>
              </w:rPr>
            </w:pPr>
            <w:r>
              <w:rPr>
                <w:rFonts w:ascii="Arial" w:cs="Arial" w:eastAsia="Arial" w:hAnsi="Arial"/>
                <w:sz w:val="16"/>
                <w:szCs w:val="16"/>
                <w:color w:val="auto"/>
              </w:rPr>
              <w:t>$482,710</w:t>
            </w:r>
          </w:p>
        </w:tc>
      </w:tr>
      <w:tr>
        <w:trPr>
          <w:trHeight w:val="266"/>
        </w:trPr>
        <w:tc>
          <w:tcPr>
            <w:tcW w:w="3700" w:type="dxa"/>
            <w:vAlign w:val="bottom"/>
            <w:shd w:val="clear" w:color="auto" w:fill="BAD3EA"/>
          </w:tcPr>
          <w:p>
            <w:pPr>
              <w:ind w:left="80"/>
              <w:spacing w:after="0"/>
              <w:rPr>
                <w:sz w:val="20"/>
                <w:szCs w:val="20"/>
                <w:color w:val="auto"/>
              </w:rPr>
            </w:pPr>
            <w:r>
              <w:rPr>
                <w:rFonts w:ascii="Arial" w:cs="Arial" w:eastAsia="Arial" w:hAnsi="Arial"/>
                <w:sz w:val="16"/>
                <w:szCs w:val="16"/>
                <w:color w:val="auto"/>
              </w:rPr>
              <w:t>Stelios Papadopoulos</w:t>
            </w:r>
          </w:p>
        </w:tc>
        <w:tc>
          <w:tcPr>
            <w:tcW w:w="1440" w:type="dxa"/>
            <w:vAlign w:val="bottom"/>
            <w:shd w:val="clear" w:color="auto" w:fill="BAD3EA"/>
          </w:tcPr>
          <w:p>
            <w:pPr>
              <w:jc w:val="center"/>
              <w:ind w:left="143"/>
              <w:spacing w:after="0"/>
              <w:rPr>
                <w:sz w:val="20"/>
                <w:szCs w:val="20"/>
                <w:color w:val="auto"/>
              </w:rPr>
            </w:pPr>
            <w:r>
              <w:rPr>
                <w:rFonts w:ascii="Arial" w:cs="Arial" w:eastAsia="Arial" w:hAnsi="Arial"/>
                <w:sz w:val="16"/>
                <w:szCs w:val="16"/>
                <w:color w:val="auto"/>
              </w:rPr>
              <w:t>$144,500</w:t>
            </w:r>
          </w:p>
        </w:tc>
        <w:tc>
          <w:tcPr>
            <w:tcW w:w="1260" w:type="dxa"/>
            <w:vAlign w:val="bottom"/>
            <w:shd w:val="clear" w:color="auto" w:fill="BAD3EA"/>
          </w:tcPr>
          <w:p>
            <w:pPr>
              <w:jc w:val="center"/>
              <w:spacing w:after="0"/>
              <w:rPr>
                <w:sz w:val="20"/>
                <w:szCs w:val="20"/>
                <w:color w:val="auto"/>
              </w:rPr>
            </w:pPr>
            <w:r>
              <w:rPr>
                <w:rFonts w:ascii="Arial" w:cs="Arial" w:eastAsia="Arial" w:hAnsi="Arial"/>
                <w:sz w:val="16"/>
                <w:szCs w:val="16"/>
                <w:color w:val="auto"/>
              </w:rPr>
              <w:t>$443,976</w:t>
            </w:r>
          </w:p>
        </w:tc>
        <w:tc>
          <w:tcPr>
            <w:tcW w:w="2060" w:type="dxa"/>
            <w:vAlign w:val="bottom"/>
            <w:shd w:val="clear" w:color="auto" w:fill="BAD3EA"/>
          </w:tcPr>
          <w:p>
            <w:pPr>
              <w:jc w:val="center"/>
              <w:spacing w:after="0"/>
              <w:rPr>
                <w:sz w:val="20"/>
                <w:szCs w:val="20"/>
                <w:color w:val="auto"/>
              </w:rPr>
            </w:pPr>
            <w:r>
              <w:rPr>
                <w:rFonts w:ascii="Arial" w:cs="Arial" w:eastAsia="Arial" w:hAnsi="Arial"/>
                <w:sz w:val="16"/>
                <w:szCs w:val="16"/>
                <w:color w:val="auto"/>
                <w:w w:val="99"/>
              </w:rPr>
              <w:t>—</w:t>
            </w:r>
          </w:p>
        </w:tc>
        <w:tc>
          <w:tcPr>
            <w:tcW w:w="1500" w:type="dxa"/>
            <w:vAlign w:val="bottom"/>
            <w:shd w:val="clear" w:color="auto" w:fill="BAD3EA"/>
          </w:tcPr>
          <w:p>
            <w:pPr>
              <w:jc w:val="center"/>
              <w:ind w:left="2"/>
              <w:spacing w:after="0"/>
              <w:rPr>
                <w:sz w:val="20"/>
                <w:szCs w:val="20"/>
                <w:color w:val="auto"/>
              </w:rPr>
            </w:pPr>
            <w:r>
              <w:rPr>
                <w:rFonts w:ascii="Arial" w:cs="Arial" w:eastAsia="Arial" w:hAnsi="Arial"/>
                <w:sz w:val="16"/>
                <w:szCs w:val="16"/>
                <w:color w:val="auto"/>
              </w:rPr>
              <w:t>$25,000</w:t>
            </w:r>
          </w:p>
        </w:tc>
        <w:tc>
          <w:tcPr>
            <w:tcW w:w="1060" w:type="dxa"/>
            <w:vAlign w:val="bottom"/>
            <w:shd w:val="clear" w:color="auto" w:fill="BAD3EA"/>
          </w:tcPr>
          <w:p>
            <w:pPr>
              <w:jc w:val="center"/>
              <w:spacing w:after="0"/>
              <w:rPr>
                <w:sz w:val="20"/>
                <w:szCs w:val="20"/>
                <w:color w:val="auto"/>
              </w:rPr>
            </w:pPr>
            <w:r>
              <w:rPr>
                <w:rFonts w:ascii="Arial" w:cs="Arial" w:eastAsia="Arial" w:hAnsi="Arial"/>
                <w:sz w:val="16"/>
                <w:szCs w:val="16"/>
                <w:color w:val="auto"/>
              </w:rPr>
              <w:t>$613,476</w:t>
            </w:r>
          </w:p>
        </w:tc>
      </w:tr>
      <w:tr>
        <w:trPr>
          <w:trHeight w:val="247"/>
        </w:trPr>
        <w:tc>
          <w:tcPr>
            <w:tcW w:w="3700" w:type="dxa"/>
            <w:vAlign w:val="bottom"/>
            <w:shd w:val="clear" w:color="auto" w:fill="E8F0F8"/>
          </w:tcPr>
          <w:p>
            <w:pPr>
              <w:ind w:left="80"/>
              <w:spacing w:after="0"/>
              <w:rPr>
                <w:sz w:val="20"/>
                <w:szCs w:val="20"/>
                <w:color w:val="auto"/>
              </w:rPr>
            </w:pPr>
            <w:r>
              <w:rPr>
                <w:rFonts w:ascii="Arial" w:cs="Arial" w:eastAsia="Arial" w:hAnsi="Arial"/>
                <w:sz w:val="16"/>
                <w:szCs w:val="16"/>
                <w:color w:val="auto"/>
              </w:rPr>
              <w:t>Brian S. Posner</w:t>
            </w:r>
          </w:p>
        </w:tc>
        <w:tc>
          <w:tcPr>
            <w:tcW w:w="1440" w:type="dxa"/>
            <w:vAlign w:val="bottom"/>
            <w:shd w:val="clear" w:color="auto" w:fill="E8F0F8"/>
          </w:tcPr>
          <w:p>
            <w:pPr>
              <w:jc w:val="center"/>
              <w:ind w:left="143"/>
              <w:spacing w:after="0"/>
              <w:rPr>
                <w:sz w:val="20"/>
                <w:szCs w:val="20"/>
                <w:color w:val="auto"/>
              </w:rPr>
            </w:pPr>
            <w:r>
              <w:rPr>
                <w:rFonts w:ascii="Arial" w:cs="Arial" w:eastAsia="Arial" w:hAnsi="Arial"/>
                <w:sz w:val="16"/>
                <w:szCs w:val="16"/>
                <w:color w:val="auto"/>
              </w:rPr>
              <w:t>$158,000</w:t>
            </w:r>
          </w:p>
        </w:tc>
        <w:tc>
          <w:tcPr>
            <w:tcW w:w="1260" w:type="dxa"/>
            <w:vAlign w:val="bottom"/>
            <w:shd w:val="clear" w:color="auto" w:fill="E8F0F8"/>
          </w:tcPr>
          <w:p>
            <w:pPr>
              <w:jc w:val="center"/>
              <w:spacing w:after="0"/>
              <w:rPr>
                <w:sz w:val="20"/>
                <w:szCs w:val="20"/>
                <w:color w:val="auto"/>
              </w:rPr>
            </w:pPr>
            <w:r>
              <w:rPr>
                <w:rFonts w:ascii="Arial" w:cs="Arial" w:eastAsia="Arial" w:hAnsi="Arial"/>
                <w:sz w:val="16"/>
                <w:szCs w:val="16"/>
                <w:color w:val="auto"/>
              </w:rPr>
              <w:t>$269,447</w:t>
            </w:r>
          </w:p>
        </w:tc>
        <w:tc>
          <w:tcPr>
            <w:tcW w:w="2060" w:type="dxa"/>
            <w:vAlign w:val="bottom"/>
            <w:shd w:val="clear" w:color="auto" w:fill="E8F0F8"/>
          </w:tcPr>
          <w:p>
            <w:pPr>
              <w:jc w:val="center"/>
              <w:spacing w:after="0"/>
              <w:rPr>
                <w:sz w:val="20"/>
                <w:szCs w:val="20"/>
                <w:color w:val="auto"/>
              </w:rPr>
            </w:pPr>
            <w:r>
              <w:rPr>
                <w:rFonts w:ascii="Arial" w:cs="Arial" w:eastAsia="Arial" w:hAnsi="Arial"/>
                <w:sz w:val="16"/>
                <w:szCs w:val="16"/>
                <w:color w:val="auto"/>
                <w:w w:val="99"/>
              </w:rPr>
              <w:t>—</w:t>
            </w:r>
          </w:p>
        </w:tc>
        <w:tc>
          <w:tcPr>
            <w:tcW w:w="1500" w:type="dxa"/>
            <w:vAlign w:val="bottom"/>
            <w:shd w:val="clear" w:color="auto" w:fill="E8F0F8"/>
          </w:tcPr>
          <w:p>
            <w:pPr>
              <w:jc w:val="center"/>
              <w:ind w:left="2"/>
              <w:spacing w:after="0"/>
              <w:rPr>
                <w:sz w:val="20"/>
                <w:szCs w:val="20"/>
                <w:color w:val="auto"/>
              </w:rPr>
            </w:pPr>
            <w:r>
              <w:rPr>
                <w:rFonts w:ascii="Arial" w:cs="Arial" w:eastAsia="Arial" w:hAnsi="Arial"/>
                <w:sz w:val="16"/>
                <w:szCs w:val="16"/>
                <w:color w:val="auto"/>
              </w:rPr>
              <w:t>$25,000</w:t>
            </w:r>
          </w:p>
        </w:tc>
        <w:tc>
          <w:tcPr>
            <w:tcW w:w="1060" w:type="dxa"/>
            <w:vAlign w:val="bottom"/>
            <w:shd w:val="clear" w:color="auto" w:fill="E8F0F8"/>
          </w:tcPr>
          <w:p>
            <w:pPr>
              <w:jc w:val="center"/>
              <w:spacing w:after="0"/>
              <w:rPr>
                <w:sz w:val="20"/>
                <w:szCs w:val="20"/>
                <w:color w:val="auto"/>
              </w:rPr>
            </w:pPr>
            <w:r>
              <w:rPr>
                <w:rFonts w:ascii="Arial" w:cs="Arial" w:eastAsia="Arial" w:hAnsi="Arial"/>
                <w:sz w:val="16"/>
                <w:szCs w:val="16"/>
                <w:color w:val="auto"/>
              </w:rPr>
              <w:t>$452,447</w:t>
            </w:r>
          </w:p>
        </w:tc>
      </w:tr>
      <w:tr>
        <w:trPr>
          <w:trHeight w:val="266"/>
        </w:trPr>
        <w:tc>
          <w:tcPr>
            <w:tcW w:w="3700" w:type="dxa"/>
            <w:vAlign w:val="bottom"/>
            <w:shd w:val="clear" w:color="auto" w:fill="BAD3EA"/>
          </w:tcPr>
          <w:p>
            <w:pPr>
              <w:ind w:left="80"/>
              <w:spacing w:after="0"/>
              <w:rPr>
                <w:sz w:val="20"/>
                <w:szCs w:val="20"/>
                <w:color w:val="auto"/>
              </w:rPr>
            </w:pPr>
            <w:r>
              <w:rPr>
                <w:rFonts w:ascii="Arial" w:cs="Arial" w:eastAsia="Arial" w:hAnsi="Arial"/>
                <w:sz w:val="16"/>
                <w:szCs w:val="16"/>
                <w:color w:val="auto"/>
              </w:rPr>
              <w:t>Eric K. Rowinsky</w:t>
            </w:r>
          </w:p>
        </w:tc>
        <w:tc>
          <w:tcPr>
            <w:tcW w:w="1440" w:type="dxa"/>
            <w:vAlign w:val="bottom"/>
            <w:shd w:val="clear" w:color="auto" w:fill="BAD3EA"/>
          </w:tcPr>
          <w:p>
            <w:pPr>
              <w:jc w:val="center"/>
              <w:ind w:left="143"/>
              <w:spacing w:after="0"/>
              <w:rPr>
                <w:sz w:val="20"/>
                <w:szCs w:val="20"/>
                <w:color w:val="auto"/>
              </w:rPr>
            </w:pPr>
            <w:r>
              <w:rPr>
                <w:rFonts w:ascii="Arial" w:cs="Arial" w:eastAsia="Arial" w:hAnsi="Arial"/>
                <w:sz w:val="16"/>
                <w:szCs w:val="16"/>
                <w:color w:val="auto"/>
              </w:rPr>
              <w:t>$138,500</w:t>
            </w:r>
          </w:p>
        </w:tc>
        <w:tc>
          <w:tcPr>
            <w:tcW w:w="1260" w:type="dxa"/>
            <w:vAlign w:val="bottom"/>
            <w:shd w:val="clear" w:color="auto" w:fill="BAD3EA"/>
          </w:tcPr>
          <w:p>
            <w:pPr>
              <w:jc w:val="center"/>
              <w:spacing w:after="0"/>
              <w:rPr>
                <w:sz w:val="20"/>
                <w:szCs w:val="20"/>
                <w:color w:val="auto"/>
              </w:rPr>
            </w:pPr>
            <w:r>
              <w:rPr>
                <w:rFonts w:ascii="Arial" w:cs="Arial" w:eastAsia="Arial" w:hAnsi="Arial"/>
                <w:sz w:val="16"/>
                <w:szCs w:val="16"/>
                <w:color w:val="auto"/>
              </w:rPr>
              <w:t>$269,447</w:t>
            </w:r>
          </w:p>
        </w:tc>
        <w:tc>
          <w:tcPr>
            <w:tcW w:w="2060" w:type="dxa"/>
            <w:vAlign w:val="bottom"/>
            <w:shd w:val="clear" w:color="auto" w:fill="BAD3EA"/>
          </w:tcPr>
          <w:p>
            <w:pPr>
              <w:jc w:val="center"/>
              <w:spacing w:after="0"/>
              <w:rPr>
                <w:sz w:val="20"/>
                <w:szCs w:val="20"/>
                <w:color w:val="auto"/>
              </w:rPr>
            </w:pPr>
            <w:r>
              <w:rPr>
                <w:rFonts w:ascii="Arial" w:cs="Arial" w:eastAsia="Arial" w:hAnsi="Arial"/>
                <w:sz w:val="16"/>
                <w:szCs w:val="16"/>
                <w:color w:val="auto"/>
                <w:w w:val="99"/>
              </w:rPr>
              <w:t>—</w:t>
            </w:r>
          </w:p>
        </w:tc>
        <w:tc>
          <w:tcPr>
            <w:tcW w:w="1500" w:type="dxa"/>
            <w:vAlign w:val="bottom"/>
            <w:shd w:val="clear" w:color="auto" w:fill="BAD3EA"/>
          </w:tcPr>
          <w:p>
            <w:pPr>
              <w:jc w:val="center"/>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BAD3EA"/>
          </w:tcPr>
          <w:p>
            <w:pPr>
              <w:jc w:val="center"/>
              <w:spacing w:after="0"/>
              <w:rPr>
                <w:sz w:val="20"/>
                <w:szCs w:val="20"/>
                <w:color w:val="auto"/>
              </w:rPr>
            </w:pPr>
            <w:r>
              <w:rPr>
                <w:rFonts w:ascii="Arial" w:cs="Arial" w:eastAsia="Arial" w:hAnsi="Arial"/>
                <w:sz w:val="16"/>
                <w:szCs w:val="16"/>
                <w:color w:val="auto"/>
              </w:rPr>
              <w:t>$407,947</w:t>
            </w:r>
          </w:p>
        </w:tc>
      </w:tr>
      <w:tr>
        <w:trPr>
          <w:trHeight w:val="247"/>
        </w:trPr>
        <w:tc>
          <w:tcPr>
            <w:tcW w:w="3700" w:type="dxa"/>
            <w:vAlign w:val="bottom"/>
            <w:shd w:val="clear" w:color="auto" w:fill="E8F0F8"/>
          </w:tcPr>
          <w:p>
            <w:pPr>
              <w:ind w:left="80"/>
              <w:spacing w:after="0"/>
              <w:rPr>
                <w:sz w:val="20"/>
                <w:szCs w:val="20"/>
                <w:color w:val="auto"/>
              </w:rPr>
            </w:pPr>
            <w:r>
              <w:rPr>
                <w:rFonts w:ascii="Arial" w:cs="Arial" w:eastAsia="Arial" w:hAnsi="Arial"/>
                <w:sz w:val="16"/>
                <w:szCs w:val="16"/>
                <w:color w:val="auto"/>
              </w:rPr>
              <w:t>Lynn Schenk</w:t>
            </w:r>
          </w:p>
        </w:tc>
        <w:tc>
          <w:tcPr>
            <w:tcW w:w="1440" w:type="dxa"/>
            <w:vAlign w:val="bottom"/>
            <w:shd w:val="clear" w:color="auto" w:fill="E8F0F8"/>
          </w:tcPr>
          <w:p>
            <w:pPr>
              <w:jc w:val="center"/>
              <w:ind w:left="143"/>
              <w:spacing w:after="0"/>
              <w:rPr>
                <w:sz w:val="20"/>
                <w:szCs w:val="20"/>
                <w:color w:val="auto"/>
              </w:rPr>
            </w:pPr>
            <w:r>
              <w:rPr>
                <w:rFonts w:ascii="Arial" w:cs="Arial" w:eastAsia="Arial" w:hAnsi="Arial"/>
                <w:sz w:val="16"/>
                <w:szCs w:val="16"/>
                <w:color w:val="auto"/>
              </w:rPr>
              <w:t>$134,000</w:t>
            </w:r>
          </w:p>
        </w:tc>
        <w:tc>
          <w:tcPr>
            <w:tcW w:w="1260" w:type="dxa"/>
            <w:vAlign w:val="bottom"/>
            <w:shd w:val="clear" w:color="auto" w:fill="E8F0F8"/>
          </w:tcPr>
          <w:p>
            <w:pPr>
              <w:jc w:val="center"/>
              <w:spacing w:after="0"/>
              <w:rPr>
                <w:sz w:val="20"/>
                <w:szCs w:val="20"/>
                <w:color w:val="auto"/>
              </w:rPr>
            </w:pPr>
            <w:r>
              <w:rPr>
                <w:rFonts w:ascii="Arial" w:cs="Arial" w:eastAsia="Arial" w:hAnsi="Arial"/>
                <w:sz w:val="16"/>
                <w:szCs w:val="16"/>
                <w:color w:val="auto"/>
              </w:rPr>
              <w:t>$269,447</w:t>
            </w:r>
          </w:p>
        </w:tc>
        <w:tc>
          <w:tcPr>
            <w:tcW w:w="2060" w:type="dxa"/>
            <w:vAlign w:val="bottom"/>
            <w:shd w:val="clear" w:color="auto" w:fill="E8F0F8"/>
          </w:tcPr>
          <w:p>
            <w:pPr>
              <w:jc w:val="center"/>
              <w:spacing w:after="0"/>
              <w:rPr>
                <w:sz w:val="20"/>
                <w:szCs w:val="20"/>
                <w:color w:val="auto"/>
              </w:rPr>
            </w:pPr>
            <w:r>
              <w:rPr>
                <w:rFonts w:ascii="Arial" w:cs="Arial" w:eastAsia="Arial" w:hAnsi="Arial"/>
                <w:sz w:val="16"/>
                <w:szCs w:val="16"/>
                <w:color w:val="auto"/>
                <w:w w:val="99"/>
              </w:rPr>
              <w:t>—</w:t>
            </w:r>
          </w:p>
        </w:tc>
        <w:tc>
          <w:tcPr>
            <w:tcW w:w="1500" w:type="dxa"/>
            <w:vAlign w:val="bottom"/>
            <w:shd w:val="clear" w:color="auto" w:fill="E8F0F8"/>
          </w:tcPr>
          <w:p>
            <w:pPr>
              <w:jc w:val="center"/>
              <w:ind w:left="2"/>
              <w:spacing w:after="0"/>
              <w:rPr>
                <w:sz w:val="20"/>
                <w:szCs w:val="20"/>
                <w:color w:val="auto"/>
              </w:rPr>
            </w:pPr>
            <w:r>
              <w:rPr>
                <w:rFonts w:ascii="Arial" w:cs="Arial" w:eastAsia="Arial" w:hAnsi="Arial"/>
                <w:sz w:val="16"/>
                <w:szCs w:val="16"/>
                <w:color w:val="auto"/>
              </w:rPr>
              <w:t>$25,000</w:t>
            </w:r>
          </w:p>
        </w:tc>
        <w:tc>
          <w:tcPr>
            <w:tcW w:w="1060" w:type="dxa"/>
            <w:vAlign w:val="bottom"/>
            <w:shd w:val="clear" w:color="auto" w:fill="E8F0F8"/>
          </w:tcPr>
          <w:p>
            <w:pPr>
              <w:jc w:val="center"/>
              <w:spacing w:after="0"/>
              <w:rPr>
                <w:sz w:val="20"/>
                <w:szCs w:val="20"/>
                <w:color w:val="auto"/>
              </w:rPr>
            </w:pPr>
            <w:r>
              <w:rPr>
                <w:rFonts w:ascii="Arial" w:cs="Arial" w:eastAsia="Arial" w:hAnsi="Arial"/>
                <w:sz w:val="16"/>
                <w:szCs w:val="16"/>
                <w:color w:val="auto"/>
              </w:rPr>
              <w:t>$428,447</w:t>
            </w:r>
          </w:p>
        </w:tc>
      </w:tr>
      <w:tr>
        <w:trPr>
          <w:trHeight w:val="250"/>
        </w:trPr>
        <w:tc>
          <w:tcPr>
            <w:tcW w:w="3700" w:type="dxa"/>
            <w:vAlign w:val="bottom"/>
            <w:tcBorders>
              <w:bottom w:val="single" w:sz="8" w:color="auto"/>
            </w:tcBorders>
            <w:shd w:val="clear" w:color="auto" w:fill="BAD3EA"/>
          </w:tcPr>
          <w:p>
            <w:pPr>
              <w:ind w:left="80"/>
              <w:spacing w:after="0"/>
              <w:rPr>
                <w:sz w:val="20"/>
                <w:szCs w:val="20"/>
                <w:color w:val="auto"/>
              </w:rPr>
            </w:pPr>
            <w:r>
              <w:rPr>
                <w:rFonts w:ascii="Arial" w:cs="Arial" w:eastAsia="Arial" w:hAnsi="Arial"/>
                <w:sz w:val="16"/>
                <w:szCs w:val="16"/>
                <w:color w:val="auto"/>
              </w:rPr>
              <w:t>Stephen A. Sherwin</w:t>
            </w:r>
          </w:p>
        </w:tc>
        <w:tc>
          <w:tcPr>
            <w:tcW w:w="1440" w:type="dxa"/>
            <w:vAlign w:val="bottom"/>
            <w:tcBorders>
              <w:bottom w:val="single" w:sz="8" w:color="auto"/>
            </w:tcBorders>
            <w:shd w:val="clear" w:color="auto" w:fill="BAD3EA"/>
          </w:tcPr>
          <w:p>
            <w:pPr>
              <w:jc w:val="center"/>
              <w:ind w:left="143"/>
              <w:spacing w:after="0"/>
              <w:rPr>
                <w:sz w:val="20"/>
                <w:szCs w:val="20"/>
                <w:color w:val="auto"/>
              </w:rPr>
            </w:pPr>
            <w:r>
              <w:rPr>
                <w:rFonts w:ascii="Arial" w:cs="Arial" w:eastAsia="Arial" w:hAnsi="Arial"/>
                <w:sz w:val="16"/>
                <w:szCs w:val="16"/>
                <w:color w:val="auto"/>
              </w:rPr>
              <w:t>$124,500</w:t>
            </w:r>
          </w:p>
        </w:tc>
        <w:tc>
          <w:tcPr>
            <w:tcW w:w="1260" w:type="dxa"/>
            <w:vAlign w:val="bottom"/>
            <w:tcBorders>
              <w:bottom w:val="single" w:sz="8" w:color="auto"/>
            </w:tcBorders>
            <w:shd w:val="clear" w:color="auto" w:fill="BAD3EA"/>
          </w:tcPr>
          <w:p>
            <w:pPr>
              <w:jc w:val="center"/>
              <w:spacing w:after="0"/>
              <w:rPr>
                <w:sz w:val="20"/>
                <w:szCs w:val="20"/>
                <w:color w:val="auto"/>
              </w:rPr>
            </w:pPr>
            <w:r>
              <w:rPr>
                <w:rFonts w:ascii="Arial" w:cs="Arial" w:eastAsia="Arial" w:hAnsi="Arial"/>
                <w:sz w:val="16"/>
                <w:szCs w:val="16"/>
                <w:color w:val="auto"/>
              </w:rPr>
              <w:t>$269,447</w:t>
            </w:r>
          </w:p>
        </w:tc>
        <w:tc>
          <w:tcPr>
            <w:tcW w:w="2060" w:type="dxa"/>
            <w:vAlign w:val="bottom"/>
            <w:tcBorders>
              <w:bottom w:val="single" w:sz="8" w:color="auto"/>
            </w:tcBorders>
            <w:shd w:val="clear" w:color="auto" w:fill="BAD3EA"/>
          </w:tcPr>
          <w:p>
            <w:pPr>
              <w:jc w:val="center"/>
              <w:spacing w:after="0"/>
              <w:rPr>
                <w:sz w:val="20"/>
                <w:szCs w:val="20"/>
                <w:color w:val="auto"/>
              </w:rPr>
            </w:pPr>
            <w:r>
              <w:rPr>
                <w:rFonts w:ascii="Arial" w:cs="Arial" w:eastAsia="Arial" w:hAnsi="Arial"/>
                <w:sz w:val="16"/>
                <w:szCs w:val="16"/>
                <w:color w:val="auto"/>
                <w:w w:val="99"/>
              </w:rPr>
              <w:t>—</w:t>
            </w:r>
          </w:p>
        </w:tc>
        <w:tc>
          <w:tcPr>
            <w:tcW w:w="1500" w:type="dxa"/>
            <w:vAlign w:val="bottom"/>
            <w:tcBorders>
              <w:bottom w:val="single" w:sz="8" w:color="auto"/>
            </w:tcBorders>
            <w:shd w:val="clear" w:color="auto" w:fill="BAD3EA"/>
          </w:tcPr>
          <w:p>
            <w:pPr>
              <w:jc w:val="center"/>
              <w:ind w:left="2"/>
              <w:spacing w:after="0"/>
              <w:rPr>
                <w:sz w:val="20"/>
                <w:szCs w:val="20"/>
                <w:color w:val="auto"/>
              </w:rPr>
            </w:pPr>
            <w:r>
              <w:rPr>
                <w:rFonts w:ascii="Arial" w:cs="Arial" w:eastAsia="Arial" w:hAnsi="Arial"/>
                <w:sz w:val="16"/>
                <w:szCs w:val="16"/>
                <w:color w:val="auto"/>
              </w:rPr>
              <w:t>$25,000</w:t>
            </w:r>
          </w:p>
        </w:tc>
        <w:tc>
          <w:tcPr>
            <w:tcW w:w="1060" w:type="dxa"/>
            <w:vAlign w:val="bottom"/>
            <w:tcBorders>
              <w:bottom w:val="single" w:sz="8" w:color="auto"/>
            </w:tcBorders>
            <w:shd w:val="clear" w:color="auto" w:fill="BAD3EA"/>
          </w:tcPr>
          <w:p>
            <w:pPr>
              <w:jc w:val="center"/>
              <w:spacing w:after="0"/>
              <w:rPr>
                <w:sz w:val="20"/>
                <w:szCs w:val="20"/>
                <w:color w:val="auto"/>
              </w:rPr>
            </w:pPr>
            <w:r>
              <w:rPr>
                <w:rFonts w:ascii="Arial" w:cs="Arial" w:eastAsia="Arial" w:hAnsi="Arial"/>
                <w:sz w:val="16"/>
                <w:szCs w:val="16"/>
                <w:color w:val="auto"/>
              </w:rPr>
              <w:t>$418,947</w:t>
            </w:r>
          </w:p>
        </w:tc>
      </w:tr>
    </w:tbl>
    <w:p>
      <w:pPr>
        <w:ind w:left="200"/>
        <w:spacing w:after="0"/>
        <w:rPr>
          <w:sz w:val="20"/>
          <w:szCs w:val="20"/>
          <w:color w:val="auto"/>
        </w:rPr>
      </w:pPr>
      <w:r>
        <w:rPr>
          <w:rFonts w:ascii="Arial" w:cs="Arial" w:eastAsia="Arial" w:hAnsi="Arial"/>
          <w:sz w:val="14"/>
          <w:szCs w:val="14"/>
          <w:i w:val="1"/>
          <w:iCs w:val="1"/>
          <w:color w:val="auto"/>
        </w:rPr>
        <w:t>Notes to the 2018 Director Compensation Table</w:t>
      </w:r>
    </w:p>
    <w:p>
      <w:pPr>
        <w:spacing w:after="0" w:line="6" w:lineRule="exact"/>
        <w:rPr>
          <w:sz w:val="20"/>
          <w:szCs w:val="20"/>
          <w:color w:val="auto"/>
        </w:rPr>
      </w:pPr>
    </w:p>
    <w:p>
      <w:pPr>
        <w:ind w:left="420" w:right="60" w:hanging="216"/>
        <w:spacing w:after="0" w:line="241" w:lineRule="auto"/>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$1,500 of fees received by each director in 2018 for fees earned in 2017 and $3,000 of fees earned by each of Dr. Denner, Mr. Posner and Dr. Rowinsky in 2018 but which were paid in 2019.</w:t>
      </w:r>
    </w:p>
    <w:p>
      <w:pPr>
        <w:ind w:left="420" w:right="40" w:hanging="216"/>
        <w:spacing w:after="0" w:line="241" w:lineRule="auto"/>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amounts in column (c) represent the grant date fair value of RSU awards made in 2018 to non-employee directors under the Non-Employee Directors Equity Plan, as described in the narrative preceding this table. These RSUs are scheduled to vest in full and be settled in shares on the first anniversary of the grant date, generally subject to continued service. Grant date fair values were computed in accordance with Accounting Standards Codification (ASC) 718 and determined by multiplying the number of RSUs awarded by the fair market value of the Company’s common stock on the relevant grant date.</w:t>
      </w:r>
    </w:p>
    <w:p>
      <w:pPr>
        <w:spacing w:after="0" w:line="1" w:lineRule="exact"/>
        <w:rPr>
          <w:rFonts w:ascii="Arial" w:cs="Arial" w:eastAsia="Arial" w:hAnsi="Arial"/>
          <w:sz w:val="14"/>
          <w:szCs w:val="14"/>
          <w:color w:val="auto"/>
        </w:rPr>
      </w:pPr>
    </w:p>
    <w:p>
      <w:pPr>
        <w:jc w:val="both"/>
        <w:ind w:left="420" w:right="280" w:hanging="216"/>
        <w:spacing w:after="0" w:line="241" w:lineRule="auto"/>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amounts in column (d) represent earnings under the Voluntary Board of Directors Savings Plan that are in excess of 120% of the average applicable federal long-term rate. The federal long-term rate for 2018 applied in this calculation is 3.06%, which was the federal long-term rate effective in January 2018 when the Fixed Rate Option (FRO) under this plan was established for 2018. Only Mr. Pangia has deferred compensation notionally invested in the FRO.</w:t>
      </w:r>
    </w:p>
    <w:p>
      <w:pPr>
        <w:spacing w:after="0" w:line="1" w:lineRule="exact"/>
        <w:rPr>
          <w:rFonts w:ascii="Arial" w:cs="Arial" w:eastAsia="Arial" w:hAnsi="Arial"/>
          <w:sz w:val="14"/>
          <w:szCs w:val="14"/>
          <w:color w:val="auto"/>
        </w:rPr>
      </w:pPr>
    </w:p>
    <w:p>
      <w:pPr>
        <w:ind w:left="420" w:right="240" w:hanging="216"/>
        <w:spacing w:after="0" w:line="245" w:lineRule="auto"/>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amounts in column (e) represent the amount of matching contributions made in 2018 by the Biogen Foundation on behalf of the director pursuant to the terms of a matching gift program offered by the Biogen Foundation to all U.S. employees and non-employee directors of Biogen. Under the matching gift program, the Biogen Foundation matches gifts to eligible U.S.-based non-profit organizations, in accordance with the Biogen Foundation’s guidelines, up to an annual maximum per donor amount of $25,000 per calendar year and up to a program total of $1.5 million per calendar year. The matching contributions made by the Biogen Foundation are not taxable income to the director, and the director may not take any tax deductions for such matching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75565</wp:posOffset>
            </wp:positionV>
            <wp:extent cx="685800" cy="1543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-71120</wp:posOffset>
            </wp:positionV>
            <wp:extent cx="102870" cy="946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67"/>
        </w:numPr>
        <w:rPr>
          <w:rFonts w:ascii="Arial" w:cs="Arial" w:eastAsia="Arial" w:hAnsi="Arial"/>
          <w:sz w:val="90"/>
          <w:szCs w:val="90"/>
          <w:color w:val="1A6DBB"/>
        </w:rPr>
      </w:pPr>
      <w:r>
        <w:rPr>
          <w:rFonts w:ascii="Arial" w:cs="Arial" w:eastAsia="Arial" w:hAnsi="Arial"/>
          <w:sz w:val="41"/>
          <w:szCs w:val="41"/>
          <w:color w:val="1A6DBB"/>
        </w:rPr>
        <w:t xml:space="preserve">Board of Directors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1A6DBB"/>
        </w:rPr>
        <w:t>Director Equity Outstanding at 2018 Fiscal Year-End</w:t>
      </w:r>
    </w:p>
    <w:p>
      <w:pPr>
        <w:spacing w:after="0" w:line="128" w:lineRule="exact"/>
        <w:rPr>
          <w:sz w:val="20"/>
          <w:szCs w:val="20"/>
          <w:color w:val="auto"/>
        </w:rPr>
      </w:pPr>
    </w:p>
    <w:p>
      <w:pPr>
        <w:ind w:left="200" w:right="60"/>
        <w:spacing w:after="0" w:line="260" w:lineRule="auto"/>
        <w:rPr>
          <w:sz w:val="20"/>
          <w:szCs w:val="20"/>
          <w:color w:val="auto"/>
        </w:rPr>
      </w:pPr>
      <w:r>
        <w:rPr>
          <w:rFonts w:ascii="Arial" w:cs="Arial" w:eastAsia="Arial" w:hAnsi="Arial"/>
          <w:sz w:val="16"/>
          <w:szCs w:val="16"/>
          <w:color w:val="auto"/>
        </w:rPr>
        <w:t>The following table summarizes the equity awards that were outstanding as of December 31, 2018, for each of the non-employee directors serving during 2018.</w:t>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276"/>
        </w:trPr>
        <w:tc>
          <w:tcPr>
            <w:tcW w:w="8300" w:type="dxa"/>
            <w:vAlign w:val="bottom"/>
            <w:shd w:val="clear" w:color="auto" w:fill="1A6DBB"/>
          </w:tcPr>
          <w:p>
            <w:pPr>
              <w:spacing w:after="0"/>
              <w:rPr>
                <w:sz w:val="23"/>
                <w:szCs w:val="23"/>
                <w:color w:val="auto"/>
              </w:rPr>
            </w:pPr>
          </w:p>
        </w:tc>
        <w:tc>
          <w:tcPr>
            <w:tcW w:w="1380" w:type="dxa"/>
            <w:vAlign w:val="bottom"/>
            <w:shd w:val="clear" w:color="auto" w:fill="1A6DBB"/>
          </w:tcPr>
          <w:p>
            <w:pPr>
              <w:jc w:val="center"/>
              <w:spacing w:after="0"/>
              <w:rPr>
                <w:sz w:val="20"/>
                <w:szCs w:val="20"/>
                <w:color w:val="auto"/>
              </w:rPr>
            </w:pPr>
            <w:r>
              <w:rPr>
                <w:rFonts w:ascii="Arial" w:cs="Arial" w:eastAsia="Arial" w:hAnsi="Arial"/>
                <w:sz w:val="14"/>
                <w:szCs w:val="14"/>
                <w:color w:val="FFFFFF"/>
                <w:w w:val="96"/>
              </w:rPr>
              <w:t>Option Awards</w:t>
            </w:r>
            <w:r>
              <w:rPr>
                <w:rFonts w:ascii="Arial" w:cs="Arial" w:eastAsia="Arial" w:hAnsi="Arial"/>
                <w:sz w:val="24"/>
                <w:szCs w:val="24"/>
                <w:color w:val="FFFFFF"/>
                <w:w w:val="96"/>
                <w:vertAlign w:val="superscript"/>
              </w:rPr>
              <w:t>(1)</w:t>
            </w:r>
          </w:p>
        </w:tc>
        <w:tc>
          <w:tcPr>
            <w:tcW w:w="1340" w:type="dxa"/>
            <w:vAlign w:val="bottom"/>
            <w:shd w:val="clear" w:color="auto" w:fill="1A6DBB"/>
          </w:tcPr>
          <w:p>
            <w:pPr>
              <w:ind w:left="240"/>
              <w:spacing w:after="0"/>
              <w:rPr>
                <w:sz w:val="20"/>
                <w:szCs w:val="20"/>
                <w:color w:val="auto"/>
              </w:rPr>
            </w:pPr>
            <w:r>
              <w:rPr>
                <w:rFonts w:ascii="Arial" w:cs="Arial" w:eastAsia="Arial" w:hAnsi="Arial"/>
                <w:sz w:val="14"/>
                <w:szCs w:val="14"/>
                <w:color w:val="FFFFFF"/>
              </w:rPr>
              <w:t>Stock Awards</w:t>
            </w:r>
            <w:r>
              <w:rPr>
                <w:rFonts w:ascii="Arial" w:cs="Arial" w:eastAsia="Arial" w:hAnsi="Arial"/>
                <w:sz w:val="24"/>
                <w:szCs w:val="24"/>
                <w:color w:val="FFFFFF"/>
                <w:vertAlign w:val="superscript"/>
              </w:rPr>
              <w:t>(2)</w:t>
            </w:r>
          </w:p>
        </w:tc>
      </w:tr>
      <w:tr>
        <w:trPr>
          <w:trHeight w:val="221"/>
        </w:trPr>
        <w:tc>
          <w:tcPr>
            <w:tcW w:w="8300" w:type="dxa"/>
            <w:vAlign w:val="bottom"/>
            <w:shd w:val="clear" w:color="auto" w:fill="1A6DBB"/>
          </w:tcPr>
          <w:p>
            <w:pPr>
              <w:spacing w:after="0"/>
              <w:rPr>
                <w:sz w:val="19"/>
                <w:szCs w:val="19"/>
                <w:color w:val="auto"/>
              </w:rPr>
            </w:pPr>
          </w:p>
        </w:tc>
        <w:tc>
          <w:tcPr>
            <w:tcW w:w="138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Number of</w:t>
            </w:r>
          </w:p>
        </w:tc>
        <w:tc>
          <w:tcPr>
            <w:tcW w:w="1340" w:type="dxa"/>
            <w:vAlign w:val="bottom"/>
            <w:shd w:val="clear" w:color="auto" w:fill="1A6DBB"/>
          </w:tcPr>
          <w:p>
            <w:pPr>
              <w:spacing w:after="0"/>
              <w:rPr>
                <w:sz w:val="19"/>
                <w:szCs w:val="19"/>
                <w:color w:val="auto"/>
              </w:rPr>
            </w:pPr>
          </w:p>
        </w:tc>
      </w:tr>
      <w:tr>
        <w:trPr>
          <w:trHeight w:val="162"/>
        </w:trPr>
        <w:tc>
          <w:tcPr>
            <w:tcW w:w="8300" w:type="dxa"/>
            <w:vAlign w:val="bottom"/>
            <w:shd w:val="clear" w:color="auto" w:fill="1A6DBB"/>
          </w:tcPr>
          <w:p>
            <w:pPr>
              <w:spacing w:after="0"/>
              <w:rPr>
                <w:sz w:val="14"/>
                <w:szCs w:val="14"/>
                <w:color w:val="auto"/>
              </w:rPr>
            </w:pPr>
          </w:p>
        </w:tc>
        <w:tc>
          <w:tcPr>
            <w:tcW w:w="138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Securities</w:t>
            </w:r>
          </w:p>
        </w:tc>
        <w:tc>
          <w:tcPr>
            <w:tcW w:w="134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Number of</w:t>
            </w:r>
          </w:p>
        </w:tc>
      </w:tr>
      <w:tr>
        <w:trPr>
          <w:trHeight w:val="162"/>
        </w:trPr>
        <w:tc>
          <w:tcPr>
            <w:tcW w:w="8300" w:type="dxa"/>
            <w:vAlign w:val="bottom"/>
            <w:shd w:val="clear" w:color="auto" w:fill="1A6DBB"/>
          </w:tcPr>
          <w:p>
            <w:pPr>
              <w:spacing w:after="0"/>
              <w:rPr>
                <w:sz w:val="14"/>
                <w:szCs w:val="14"/>
                <w:color w:val="auto"/>
              </w:rPr>
            </w:pPr>
          </w:p>
        </w:tc>
        <w:tc>
          <w:tcPr>
            <w:tcW w:w="138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Underlying</w:t>
            </w:r>
          </w:p>
        </w:tc>
        <w:tc>
          <w:tcPr>
            <w:tcW w:w="134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Shares or Units</w:t>
            </w:r>
          </w:p>
        </w:tc>
      </w:tr>
      <w:tr>
        <w:trPr>
          <w:trHeight w:val="162"/>
        </w:trPr>
        <w:tc>
          <w:tcPr>
            <w:tcW w:w="8300" w:type="dxa"/>
            <w:vAlign w:val="bottom"/>
            <w:shd w:val="clear" w:color="auto" w:fill="1A6DBB"/>
          </w:tcPr>
          <w:p>
            <w:pPr>
              <w:spacing w:after="0"/>
              <w:rPr>
                <w:sz w:val="14"/>
                <w:szCs w:val="14"/>
                <w:color w:val="auto"/>
              </w:rPr>
            </w:pPr>
          </w:p>
        </w:tc>
        <w:tc>
          <w:tcPr>
            <w:tcW w:w="138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Unexercised</w:t>
            </w:r>
          </w:p>
        </w:tc>
        <w:tc>
          <w:tcPr>
            <w:tcW w:w="134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of Stock That</w:t>
            </w:r>
          </w:p>
        </w:tc>
      </w:tr>
      <w:tr>
        <w:trPr>
          <w:trHeight w:val="184"/>
        </w:trPr>
        <w:tc>
          <w:tcPr>
            <w:tcW w:w="8300" w:type="dxa"/>
            <w:vAlign w:val="bottom"/>
            <w:shd w:val="clear" w:color="auto" w:fill="1A6DBB"/>
          </w:tcPr>
          <w:p>
            <w:pPr>
              <w:ind w:left="60"/>
              <w:spacing w:after="0"/>
              <w:rPr>
                <w:sz w:val="20"/>
                <w:szCs w:val="20"/>
                <w:color w:val="auto"/>
              </w:rPr>
            </w:pPr>
            <w:r>
              <w:rPr>
                <w:rFonts w:ascii="Arial" w:cs="Arial" w:eastAsia="Arial" w:hAnsi="Arial"/>
                <w:sz w:val="14"/>
                <w:szCs w:val="14"/>
                <w:color w:val="FFFFFF"/>
              </w:rPr>
              <w:t>Name</w:t>
            </w:r>
          </w:p>
        </w:tc>
        <w:tc>
          <w:tcPr>
            <w:tcW w:w="1380" w:type="dxa"/>
            <w:vAlign w:val="bottom"/>
            <w:shd w:val="clear" w:color="auto" w:fill="1A6DBB"/>
          </w:tcPr>
          <w:p>
            <w:pPr>
              <w:jc w:val="center"/>
              <w:spacing w:after="0"/>
              <w:rPr>
                <w:sz w:val="20"/>
                <w:szCs w:val="20"/>
                <w:color w:val="auto"/>
              </w:rPr>
            </w:pPr>
            <w:r>
              <w:rPr>
                <w:rFonts w:ascii="Arial" w:cs="Arial" w:eastAsia="Arial" w:hAnsi="Arial"/>
                <w:sz w:val="14"/>
                <w:szCs w:val="14"/>
                <w:color w:val="FFFFFF"/>
                <w:w w:val="99"/>
              </w:rPr>
              <w:t>Options</w:t>
            </w:r>
          </w:p>
        </w:tc>
        <w:tc>
          <w:tcPr>
            <w:tcW w:w="134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Have Not Vested</w:t>
            </w:r>
          </w:p>
        </w:tc>
      </w:tr>
      <w:tr>
        <w:trPr>
          <w:trHeight w:val="247"/>
        </w:trPr>
        <w:tc>
          <w:tcPr>
            <w:tcW w:w="8300" w:type="dxa"/>
            <w:vAlign w:val="bottom"/>
            <w:shd w:val="clear" w:color="auto" w:fill="E8F0F8"/>
          </w:tcPr>
          <w:p>
            <w:pPr>
              <w:ind w:left="60"/>
              <w:spacing w:after="0"/>
              <w:rPr>
                <w:sz w:val="20"/>
                <w:szCs w:val="20"/>
                <w:color w:val="auto"/>
              </w:rPr>
            </w:pPr>
            <w:r>
              <w:rPr>
                <w:rFonts w:ascii="Arial" w:cs="Arial" w:eastAsia="Arial" w:hAnsi="Arial"/>
                <w:sz w:val="16"/>
                <w:szCs w:val="16"/>
                <w:color w:val="auto"/>
              </w:rPr>
              <w:t>Alexander J. Denner</w:t>
            </w:r>
          </w:p>
        </w:tc>
        <w:tc>
          <w:tcPr>
            <w:tcW w:w="1380" w:type="dxa"/>
            <w:vAlign w:val="bottom"/>
            <w:shd w:val="clear" w:color="auto" w:fill="E8F0F8"/>
          </w:tcPr>
          <w:p>
            <w:pPr>
              <w:jc w:val="center"/>
              <w:spacing w:after="0"/>
              <w:rPr>
                <w:sz w:val="20"/>
                <w:szCs w:val="20"/>
                <w:color w:val="auto"/>
              </w:rPr>
            </w:pPr>
            <w:r>
              <w:rPr>
                <w:rFonts w:ascii="Arial" w:cs="Arial" w:eastAsia="Arial" w:hAnsi="Arial"/>
                <w:sz w:val="16"/>
                <w:szCs w:val="16"/>
                <w:color w:val="auto"/>
                <w:w w:val="99"/>
              </w:rPr>
              <w:t>—</w:t>
            </w:r>
          </w:p>
        </w:tc>
        <w:tc>
          <w:tcPr>
            <w:tcW w:w="1340" w:type="dxa"/>
            <w:vAlign w:val="bottom"/>
            <w:shd w:val="clear" w:color="auto" w:fill="E8F0F8"/>
          </w:tcPr>
          <w:p>
            <w:pPr>
              <w:jc w:val="center"/>
              <w:ind w:left="62"/>
              <w:spacing w:after="0"/>
              <w:rPr>
                <w:sz w:val="20"/>
                <w:szCs w:val="20"/>
                <w:color w:val="auto"/>
              </w:rPr>
            </w:pPr>
            <w:r>
              <w:rPr>
                <w:rFonts w:ascii="Arial" w:cs="Arial" w:eastAsia="Arial" w:hAnsi="Arial"/>
                <w:sz w:val="16"/>
                <w:szCs w:val="16"/>
                <w:color w:val="auto"/>
              </w:rPr>
              <w:t>880</w:t>
            </w:r>
          </w:p>
        </w:tc>
      </w:tr>
      <w:tr>
        <w:trPr>
          <w:trHeight w:val="266"/>
        </w:trPr>
        <w:tc>
          <w:tcPr>
            <w:tcW w:w="8300" w:type="dxa"/>
            <w:vAlign w:val="bottom"/>
            <w:shd w:val="clear" w:color="auto" w:fill="BAD3EA"/>
          </w:tcPr>
          <w:p>
            <w:pPr>
              <w:ind w:left="80"/>
              <w:spacing w:after="0"/>
              <w:rPr>
                <w:sz w:val="20"/>
                <w:szCs w:val="20"/>
                <w:color w:val="auto"/>
              </w:rPr>
            </w:pPr>
            <w:r>
              <w:rPr>
                <w:rFonts w:ascii="Arial" w:cs="Arial" w:eastAsia="Arial" w:hAnsi="Arial"/>
                <w:sz w:val="16"/>
                <w:szCs w:val="16"/>
                <w:color w:val="auto"/>
              </w:rPr>
              <w:t>Caroline D. Dorsa</w:t>
            </w:r>
          </w:p>
        </w:tc>
        <w:tc>
          <w:tcPr>
            <w:tcW w:w="1380" w:type="dxa"/>
            <w:vAlign w:val="bottom"/>
            <w:shd w:val="clear" w:color="auto" w:fill="BAD3EA"/>
          </w:tcPr>
          <w:p>
            <w:pPr>
              <w:jc w:val="center"/>
              <w:spacing w:after="0"/>
              <w:rPr>
                <w:sz w:val="20"/>
                <w:szCs w:val="20"/>
                <w:color w:val="auto"/>
              </w:rPr>
            </w:pPr>
            <w:r>
              <w:rPr>
                <w:rFonts w:ascii="Arial" w:cs="Arial" w:eastAsia="Arial" w:hAnsi="Arial"/>
                <w:sz w:val="16"/>
                <w:szCs w:val="16"/>
                <w:color w:val="auto"/>
                <w:w w:val="99"/>
              </w:rPr>
              <w:t>—</w:t>
            </w:r>
          </w:p>
        </w:tc>
        <w:tc>
          <w:tcPr>
            <w:tcW w:w="1340" w:type="dxa"/>
            <w:vAlign w:val="bottom"/>
            <w:shd w:val="clear" w:color="auto" w:fill="BAD3EA"/>
          </w:tcPr>
          <w:p>
            <w:pPr>
              <w:jc w:val="center"/>
              <w:ind w:left="62"/>
              <w:spacing w:after="0"/>
              <w:rPr>
                <w:sz w:val="20"/>
                <w:szCs w:val="20"/>
                <w:color w:val="auto"/>
              </w:rPr>
            </w:pPr>
            <w:r>
              <w:rPr>
                <w:rFonts w:ascii="Arial" w:cs="Arial" w:eastAsia="Arial" w:hAnsi="Arial"/>
                <w:sz w:val="16"/>
                <w:szCs w:val="16"/>
                <w:color w:val="auto"/>
              </w:rPr>
              <w:t>880</w:t>
            </w:r>
          </w:p>
        </w:tc>
      </w:tr>
      <w:tr>
        <w:trPr>
          <w:trHeight w:val="247"/>
        </w:trPr>
        <w:tc>
          <w:tcPr>
            <w:tcW w:w="8300" w:type="dxa"/>
            <w:vAlign w:val="bottom"/>
            <w:shd w:val="clear" w:color="auto" w:fill="E8F0F8"/>
          </w:tcPr>
          <w:p>
            <w:pPr>
              <w:ind w:left="80"/>
              <w:spacing w:after="0"/>
              <w:rPr>
                <w:sz w:val="20"/>
                <w:szCs w:val="20"/>
                <w:color w:val="auto"/>
              </w:rPr>
            </w:pPr>
            <w:r>
              <w:rPr>
                <w:rFonts w:ascii="Arial" w:cs="Arial" w:eastAsia="Arial" w:hAnsi="Arial"/>
                <w:sz w:val="16"/>
                <w:szCs w:val="16"/>
                <w:color w:val="auto"/>
              </w:rPr>
              <w:t>Nancy L. Leaming</w:t>
            </w:r>
          </w:p>
        </w:tc>
        <w:tc>
          <w:tcPr>
            <w:tcW w:w="1380" w:type="dxa"/>
            <w:vAlign w:val="bottom"/>
            <w:shd w:val="clear" w:color="auto" w:fill="E8F0F8"/>
          </w:tcPr>
          <w:p>
            <w:pPr>
              <w:jc w:val="center"/>
              <w:spacing w:after="0"/>
              <w:rPr>
                <w:sz w:val="20"/>
                <w:szCs w:val="20"/>
                <w:color w:val="auto"/>
              </w:rPr>
            </w:pPr>
            <w:r>
              <w:rPr>
                <w:rFonts w:ascii="Arial" w:cs="Arial" w:eastAsia="Arial" w:hAnsi="Arial"/>
                <w:sz w:val="16"/>
                <w:szCs w:val="16"/>
                <w:color w:val="auto"/>
                <w:w w:val="99"/>
              </w:rPr>
              <w:t>—</w:t>
            </w:r>
          </w:p>
        </w:tc>
        <w:tc>
          <w:tcPr>
            <w:tcW w:w="1340" w:type="dxa"/>
            <w:vAlign w:val="bottom"/>
            <w:shd w:val="clear" w:color="auto" w:fill="E8F0F8"/>
          </w:tcPr>
          <w:p>
            <w:pPr>
              <w:jc w:val="center"/>
              <w:ind w:left="62"/>
              <w:spacing w:after="0"/>
              <w:rPr>
                <w:sz w:val="20"/>
                <w:szCs w:val="20"/>
                <w:color w:val="auto"/>
              </w:rPr>
            </w:pPr>
            <w:r>
              <w:rPr>
                <w:rFonts w:ascii="Arial" w:cs="Arial" w:eastAsia="Arial" w:hAnsi="Arial"/>
                <w:sz w:val="16"/>
                <w:szCs w:val="16"/>
                <w:color w:val="auto"/>
              </w:rPr>
              <w:t>880</w:t>
            </w:r>
          </w:p>
        </w:tc>
      </w:tr>
      <w:tr>
        <w:trPr>
          <w:trHeight w:val="266"/>
        </w:trPr>
        <w:tc>
          <w:tcPr>
            <w:tcW w:w="8300" w:type="dxa"/>
            <w:vAlign w:val="bottom"/>
            <w:shd w:val="clear" w:color="auto" w:fill="BAD3EA"/>
          </w:tcPr>
          <w:p>
            <w:pPr>
              <w:ind w:left="80"/>
              <w:spacing w:after="0"/>
              <w:rPr>
                <w:sz w:val="20"/>
                <w:szCs w:val="20"/>
                <w:color w:val="auto"/>
              </w:rPr>
            </w:pPr>
            <w:r>
              <w:rPr>
                <w:rFonts w:ascii="Arial" w:cs="Arial" w:eastAsia="Arial" w:hAnsi="Arial"/>
                <w:sz w:val="16"/>
                <w:szCs w:val="16"/>
                <w:color w:val="auto"/>
              </w:rPr>
              <w:t>Richard C. Mulligan</w:t>
            </w:r>
          </w:p>
        </w:tc>
        <w:tc>
          <w:tcPr>
            <w:tcW w:w="1380" w:type="dxa"/>
            <w:vAlign w:val="bottom"/>
            <w:shd w:val="clear" w:color="auto" w:fill="BAD3EA"/>
          </w:tcPr>
          <w:p>
            <w:pPr>
              <w:jc w:val="center"/>
              <w:spacing w:after="0"/>
              <w:rPr>
                <w:sz w:val="20"/>
                <w:szCs w:val="20"/>
                <w:color w:val="auto"/>
              </w:rPr>
            </w:pPr>
            <w:r>
              <w:rPr>
                <w:rFonts w:ascii="Arial" w:cs="Arial" w:eastAsia="Arial" w:hAnsi="Arial"/>
                <w:sz w:val="16"/>
                <w:szCs w:val="16"/>
                <w:color w:val="auto"/>
                <w:w w:val="99"/>
              </w:rPr>
              <w:t>—</w:t>
            </w:r>
          </w:p>
        </w:tc>
        <w:tc>
          <w:tcPr>
            <w:tcW w:w="1340" w:type="dxa"/>
            <w:vAlign w:val="bottom"/>
            <w:shd w:val="clear" w:color="auto" w:fill="BAD3EA"/>
          </w:tcPr>
          <w:p>
            <w:pPr>
              <w:jc w:val="center"/>
              <w:ind w:left="62"/>
              <w:spacing w:after="0"/>
              <w:rPr>
                <w:sz w:val="20"/>
                <w:szCs w:val="20"/>
                <w:color w:val="auto"/>
              </w:rPr>
            </w:pPr>
            <w:r>
              <w:rPr>
                <w:rFonts w:ascii="Arial" w:cs="Arial" w:eastAsia="Arial" w:hAnsi="Arial"/>
                <w:sz w:val="16"/>
                <w:szCs w:val="16"/>
                <w:color w:val="auto"/>
              </w:rPr>
              <w:t>880</w:t>
            </w:r>
          </w:p>
        </w:tc>
      </w:tr>
      <w:tr>
        <w:trPr>
          <w:trHeight w:val="247"/>
        </w:trPr>
        <w:tc>
          <w:tcPr>
            <w:tcW w:w="8300" w:type="dxa"/>
            <w:vAlign w:val="bottom"/>
            <w:shd w:val="clear" w:color="auto" w:fill="E8F0F8"/>
          </w:tcPr>
          <w:p>
            <w:pPr>
              <w:ind w:left="80"/>
              <w:spacing w:after="0"/>
              <w:rPr>
                <w:sz w:val="20"/>
                <w:szCs w:val="20"/>
                <w:color w:val="auto"/>
              </w:rPr>
            </w:pPr>
            <w:r>
              <w:rPr>
                <w:rFonts w:ascii="Arial" w:cs="Arial" w:eastAsia="Arial" w:hAnsi="Arial"/>
                <w:sz w:val="16"/>
                <w:szCs w:val="16"/>
                <w:color w:val="auto"/>
              </w:rPr>
              <w:t>Robert W. Pangia</w:t>
            </w:r>
          </w:p>
        </w:tc>
        <w:tc>
          <w:tcPr>
            <w:tcW w:w="1380" w:type="dxa"/>
            <w:vAlign w:val="bottom"/>
            <w:shd w:val="clear" w:color="auto" w:fill="E8F0F8"/>
          </w:tcPr>
          <w:p>
            <w:pPr>
              <w:jc w:val="center"/>
              <w:spacing w:after="0"/>
              <w:rPr>
                <w:sz w:val="20"/>
                <w:szCs w:val="20"/>
                <w:color w:val="auto"/>
              </w:rPr>
            </w:pPr>
            <w:r>
              <w:rPr>
                <w:rFonts w:ascii="Arial" w:cs="Arial" w:eastAsia="Arial" w:hAnsi="Arial"/>
                <w:sz w:val="16"/>
                <w:szCs w:val="16"/>
                <w:color w:val="auto"/>
                <w:w w:val="99"/>
              </w:rPr>
              <w:t>6,114</w:t>
            </w:r>
          </w:p>
        </w:tc>
        <w:tc>
          <w:tcPr>
            <w:tcW w:w="1340" w:type="dxa"/>
            <w:vAlign w:val="bottom"/>
            <w:shd w:val="clear" w:color="auto" w:fill="E8F0F8"/>
          </w:tcPr>
          <w:p>
            <w:pPr>
              <w:jc w:val="center"/>
              <w:ind w:left="62"/>
              <w:spacing w:after="0"/>
              <w:rPr>
                <w:sz w:val="20"/>
                <w:szCs w:val="20"/>
                <w:color w:val="auto"/>
              </w:rPr>
            </w:pPr>
            <w:r>
              <w:rPr>
                <w:rFonts w:ascii="Arial" w:cs="Arial" w:eastAsia="Arial" w:hAnsi="Arial"/>
                <w:sz w:val="16"/>
                <w:szCs w:val="16"/>
                <w:color w:val="auto"/>
              </w:rPr>
              <w:t>880</w:t>
            </w:r>
          </w:p>
        </w:tc>
      </w:tr>
      <w:tr>
        <w:trPr>
          <w:trHeight w:val="266"/>
        </w:trPr>
        <w:tc>
          <w:tcPr>
            <w:tcW w:w="8300" w:type="dxa"/>
            <w:vAlign w:val="bottom"/>
            <w:shd w:val="clear" w:color="auto" w:fill="BAD3EA"/>
          </w:tcPr>
          <w:p>
            <w:pPr>
              <w:ind w:left="80"/>
              <w:spacing w:after="0"/>
              <w:rPr>
                <w:sz w:val="20"/>
                <w:szCs w:val="20"/>
                <w:color w:val="auto"/>
              </w:rPr>
            </w:pPr>
            <w:r>
              <w:rPr>
                <w:rFonts w:ascii="Arial" w:cs="Arial" w:eastAsia="Arial" w:hAnsi="Arial"/>
                <w:sz w:val="16"/>
                <w:szCs w:val="16"/>
                <w:color w:val="auto"/>
              </w:rPr>
              <w:t>Stelios Papadopoulos</w:t>
            </w:r>
          </w:p>
        </w:tc>
        <w:tc>
          <w:tcPr>
            <w:tcW w:w="1380" w:type="dxa"/>
            <w:vAlign w:val="bottom"/>
            <w:shd w:val="clear" w:color="auto" w:fill="BAD3EA"/>
          </w:tcPr>
          <w:p>
            <w:pPr>
              <w:jc w:val="center"/>
              <w:spacing w:after="0"/>
              <w:rPr>
                <w:sz w:val="20"/>
                <w:szCs w:val="20"/>
                <w:color w:val="auto"/>
              </w:rPr>
            </w:pPr>
            <w:r>
              <w:rPr>
                <w:rFonts w:ascii="Arial" w:cs="Arial" w:eastAsia="Arial" w:hAnsi="Arial"/>
                <w:sz w:val="16"/>
                <w:szCs w:val="16"/>
                <w:color w:val="auto"/>
                <w:w w:val="99"/>
              </w:rPr>
              <w:t>—</w:t>
            </w:r>
          </w:p>
        </w:tc>
        <w:tc>
          <w:tcPr>
            <w:tcW w:w="1340" w:type="dxa"/>
            <w:vAlign w:val="bottom"/>
            <w:shd w:val="clear" w:color="auto" w:fill="BAD3EA"/>
          </w:tcPr>
          <w:p>
            <w:pPr>
              <w:jc w:val="center"/>
              <w:ind w:left="62"/>
              <w:spacing w:after="0"/>
              <w:rPr>
                <w:sz w:val="20"/>
                <w:szCs w:val="20"/>
                <w:color w:val="auto"/>
              </w:rPr>
            </w:pPr>
            <w:r>
              <w:rPr>
                <w:rFonts w:ascii="Arial" w:cs="Arial" w:eastAsia="Arial" w:hAnsi="Arial"/>
                <w:sz w:val="16"/>
                <w:szCs w:val="16"/>
                <w:color w:val="auto"/>
                <w:w w:val="99"/>
              </w:rPr>
              <w:t>1,450</w:t>
            </w:r>
          </w:p>
        </w:tc>
      </w:tr>
      <w:tr>
        <w:trPr>
          <w:trHeight w:val="247"/>
        </w:trPr>
        <w:tc>
          <w:tcPr>
            <w:tcW w:w="8300" w:type="dxa"/>
            <w:vAlign w:val="bottom"/>
            <w:shd w:val="clear" w:color="auto" w:fill="E8F0F8"/>
          </w:tcPr>
          <w:p>
            <w:pPr>
              <w:ind w:left="80"/>
              <w:spacing w:after="0"/>
              <w:rPr>
                <w:sz w:val="20"/>
                <w:szCs w:val="20"/>
                <w:color w:val="auto"/>
              </w:rPr>
            </w:pPr>
            <w:r>
              <w:rPr>
                <w:rFonts w:ascii="Arial" w:cs="Arial" w:eastAsia="Arial" w:hAnsi="Arial"/>
                <w:sz w:val="16"/>
                <w:szCs w:val="16"/>
                <w:color w:val="auto"/>
              </w:rPr>
              <w:t>Brian S. Posner</w:t>
            </w:r>
          </w:p>
        </w:tc>
        <w:tc>
          <w:tcPr>
            <w:tcW w:w="1380" w:type="dxa"/>
            <w:vAlign w:val="bottom"/>
            <w:shd w:val="clear" w:color="auto" w:fill="E8F0F8"/>
          </w:tcPr>
          <w:p>
            <w:pPr>
              <w:jc w:val="center"/>
              <w:spacing w:after="0"/>
              <w:rPr>
                <w:sz w:val="20"/>
                <w:szCs w:val="20"/>
                <w:color w:val="auto"/>
              </w:rPr>
            </w:pPr>
            <w:r>
              <w:rPr>
                <w:rFonts w:ascii="Arial" w:cs="Arial" w:eastAsia="Arial" w:hAnsi="Arial"/>
                <w:sz w:val="16"/>
                <w:szCs w:val="16"/>
                <w:color w:val="auto"/>
                <w:w w:val="99"/>
              </w:rPr>
              <w:t>—</w:t>
            </w:r>
          </w:p>
        </w:tc>
        <w:tc>
          <w:tcPr>
            <w:tcW w:w="1340" w:type="dxa"/>
            <w:vAlign w:val="bottom"/>
            <w:shd w:val="clear" w:color="auto" w:fill="E8F0F8"/>
          </w:tcPr>
          <w:p>
            <w:pPr>
              <w:jc w:val="center"/>
              <w:ind w:left="62"/>
              <w:spacing w:after="0"/>
              <w:rPr>
                <w:sz w:val="20"/>
                <w:szCs w:val="20"/>
                <w:color w:val="auto"/>
              </w:rPr>
            </w:pPr>
            <w:r>
              <w:rPr>
                <w:rFonts w:ascii="Arial" w:cs="Arial" w:eastAsia="Arial" w:hAnsi="Arial"/>
                <w:sz w:val="16"/>
                <w:szCs w:val="16"/>
                <w:color w:val="auto"/>
              </w:rPr>
              <w:t>880</w:t>
            </w:r>
          </w:p>
        </w:tc>
      </w:tr>
      <w:tr>
        <w:trPr>
          <w:trHeight w:val="266"/>
        </w:trPr>
        <w:tc>
          <w:tcPr>
            <w:tcW w:w="8300" w:type="dxa"/>
            <w:vAlign w:val="bottom"/>
            <w:shd w:val="clear" w:color="auto" w:fill="BAD3EA"/>
          </w:tcPr>
          <w:p>
            <w:pPr>
              <w:ind w:left="80"/>
              <w:spacing w:after="0"/>
              <w:rPr>
                <w:sz w:val="20"/>
                <w:szCs w:val="20"/>
                <w:color w:val="auto"/>
              </w:rPr>
            </w:pPr>
            <w:r>
              <w:rPr>
                <w:rFonts w:ascii="Arial" w:cs="Arial" w:eastAsia="Arial" w:hAnsi="Arial"/>
                <w:sz w:val="16"/>
                <w:szCs w:val="16"/>
                <w:color w:val="auto"/>
              </w:rPr>
              <w:t>Eric K. Rowinsky</w:t>
            </w:r>
          </w:p>
        </w:tc>
        <w:tc>
          <w:tcPr>
            <w:tcW w:w="1380" w:type="dxa"/>
            <w:vAlign w:val="bottom"/>
            <w:shd w:val="clear" w:color="auto" w:fill="BAD3EA"/>
          </w:tcPr>
          <w:p>
            <w:pPr>
              <w:jc w:val="center"/>
              <w:spacing w:after="0"/>
              <w:rPr>
                <w:sz w:val="20"/>
                <w:szCs w:val="20"/>
                <w:color w:val="auto"/>
              </w:rPr>
            </w:pPr>
            <w:r>
              <w:rPr>
                <w:rFonts w:ascii="Arial" w:cs="Arial" w:eastAsia="Arial" w:hAnsi="Arial"/>
                <w:sz w:val="16"/>
                <w:szCs w:val="16"/>
                <w:color w:val="auto"/>
                <w:w w:val="99"/>
              </w:rPr>
              <w:t>—</w:t>
            </w:r>
          </w:p>
        </w:tc>
        <w:tc>
          <w:tcPr>
            <w:tcW w:w="1340" w:type="dxa"/>
            <w:vAlign w:val="bottom"/>
            <w:shd w:val="clear" w:color="auto" w:fill="BAD3EA"/>
          </w:tcPr>
          <w:p>
            <w:pPr>
              <w:jc w:val="center"/>
              <w:ind w:left="62"/>
              <w:spacing w:after="0"/>
              <w:rPr>
                <w:sz w:val="20"/>
                <w:szCs w:val="20"/>
                <w:color w:val="auto"/>
              </w:rPr>
            </w:pPr>
            <w:r>
              <w:rPr>
                <w:rFonts w:ascii="Arial" w:cs="Arial" w:eastAsia="Arial" w:hAnsi="Arial"/>
                <w:sz w:val="16"/>
                <w:szCs w:val="16"/>
                <w:color w:val="auto"/>
              </w:rPr>
              <w:t>880</w:t>
            </w:r>
          </w:p>
        </w:tc>
      </w:tr>
      <w:tr>
        <w:trPr>
          <w:trHeight w:val="247"/>
        </w:trPr>
        <w:tc>
          <w:tcPr>
            <w:tcW w:w="8300" w:type="dxa"/>
            <w:vAlign w:val="bottom"/>
            <w:shd w:val="clear" w:color="auto" w:fill="E8F0F8"/>
          </w:tcPr>
          <w:p>
            <w:pPr>
              <w:ind w:left="80"/>
              <w:spacing w:after="0"/>
              <w:rPr>
                <w:sz w:val="20"/>
                <w:szCs w:val="20"/>
                <w:color w:val="auto"/>
              </w:rPr>
            </w:pPr>
            <w:r>
              <w:rPr>
                <w:rFonts w:ascii="Arial" w:cs="Arial" w:eastAsia="Arial" w:hAnsi="Arial"/>
                <w:sz w:val="16"/>
                <w:szCs w:val="16"/>
                <w:color w:val="auto"/>
              </w:rPr>
              <w:t>Lynn Schenk</w:t>
            </w:r>
          </w:p>
        </w:tc>
        <w:tc>
          <w:tcPr>
            <w:tcW w:w="1380" w:type="dxa"/>
            <w:vAlign w:val="bottom"/>
            <w:shd w:val="clear" w:color="auto" w:fill="E8F0F8"/>
          </w:tcPr>
          <w:p>
            <w:pPr>
              <w:jc w:val="center"/>
              <w:spacing w:after="0"/>
              <w:rPr>
                <w:sz w:val="20"/>
                <w:szCs w:val="20"/>
                <w:color w:val="auto"/>
              </w:rPr>
            </w:pPr>
            <w:r>
              <w:rPr>
                <w:rFonts w:ascii="Arial" w:cs="Arial" w:eastAsia="Arial" w:hAnsi="Arial"/>
                <w:sz w:val="16"/>
                <w:szCs w:val="16"/>
                <w:color w:val="auto"/>
                <w:w w:val="99"/>
              </w:rPr>
              <w:t>—</w:t>
            </w:r>
          </w:p>
        </w:tc>
        <w:tc>
          <w:tcPr>
            <w:tcW w:w="1340" w:type="dxa"/>
            <w:vAlign w:val="bottom"/>
            <w:shd w:val="clear" w:color="auto" w:fill="E8F0F8"/>
          </w:tcPr>
          <w:p>
            <w:pPr>
              <w:jc w:val="center"/>
              <w:ind w:left="62"/>
              <w:spacing w:after="0"/>
              <w:rPr>
                <w:sz w:val="20"/>
                <w:szCs w:val="20"/>
                <w:color w:val="auto"/>
              </w:rPr>
            </w:pPr>
            <w:r>
              <w:rPr>
                <w:rFonts w:ascii="Arial" w:cs="Arial" w:eastAsia="Arial" w:hAnsi="Arial"/>
                <w:sz w:val="16"/>
                <w:szCs w:val="16"/>
                <w:color w:val="auto"/>
              </w:rPr>
              <w:t>880</w:t>
            </w:r>
          </w:p>
        </w:tc>
      </w:tr>
      <w:tr>
        <w:trPr>
          <w:trHeight w:val="250"/>
        </w:trPr>
        <w:tc>
          <w:tcPr>
            <w:tcW w:w="8300" w:type="dxa"/>
            <w:vAlign w:val="bottom"/>
            <w:tcBorders>
              <w:bottom w:val="single" w:sz="8" w:color="auto"/>
            </w:tcBorders>
            <w:shd w:val="clear" w:color="auto" w:fill="BAD3EA"/>
          </w:tcPr>
          <w:p>
            <w:pPr>
              <w:ind w:left="80"/>
              <w:spacing w:after="0"/>
              <w:rPr>
                <w:sz w:val="20"/>
                <w:szCs w:val="20"/>
                <w:color w:val="auto"/>
              </w:rPr>
            </w:pPr>
            <w:r>
              <w:rPr>
                <w:rFonts w:ascii="Arial" w:cs="Arial" w:eastAsia="Arial" w:hAnsi="Arial"/>
                <w:sz w:val="16"/>
                <w:szCs w:val="16"/>
                <w:color w:val="auto"/>
              </w:rPr>
              <w:t>Stephen A. Sherwin</w:t>
            </w:r>
          </w:p>
        </w:tc>
        <w:tc>
          <w:tcPr>
            <w:tcW w:w="1380" w:type="dxa"/>
            <w:vAlign w:val="bottom"/>
            <w:tcBorders>
              <w:bottom w:val="single" w:sz="8" w:color="auto"/>
            </w:tcBorders>
            <w:shd w:val="clear" w:color="auto" w:fill="BAD3EA"/>
          </w:tcPr>
          <w:p>
            <w:pPr>
              <w:jc w:val="center"/>
              <w:spacing w:after="0"/>
              <w:rPr>
                <w:sz w:val="20"/>
                <w:szCs w:val="20"/>
                <w:color w:val="auto"/>
              </w:rPr>
            </w:pPr>
            <w:r>
              <w:rPr>
                <w:rFonts w:ascii="Arial" w:cs="Arial" w:eastAsia="Arial" w:hAnsi="Arial"/>
                <w:sz w:val="16"/>
                <w:szCs w:val="16"/>
                <w:color w:val="auto"/>
                <w:w w:val="98"/>
              </w:rPr>
              <w:t>12,278</w:t>
            </w:r>
          </w:p>
        </w:tc>
        <w:tc>
          <w:tcPr>
            <w:tcW w:w="1340" w:type="dxa"/>
            <w:vAlign w:val="bottom"/>
            <w:tcBorders>
              <w:bottom w:val="single" w:sz="8" w:color="auto"/>
            </w:tcBorders>
            <w:shd w:val="clear" w:color="auto" w:fill="BAD3EA"/>
          </w:tcPr>
          <w:p>
            <w:pPr>
              <w:jc w:val="center"/>
              <w:ind w:left="62"/>
              <w:spacing w:after="0"/>
              <w:rPr>
                <w:sz w:val="20"/>
                <w:szCs w:val="20"/>
                <w:color w:val="auto"/>
              </w:rPr>
            </w:pPr>
            <w:r>
              <w:rPr>
                <w:rFonts w:ascii="Arial" w:cs="Arial" w:eastAsia="Arial" w:hAnsi="Arial"/>
                <w:sz w:val="16"/>
                <w:szCs w:val="16"/>
                <w:color w:val="auto"/>
              </w:rPr>
              <w:t>880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-2194560</wp:posOffset>
            </wp:positionV>
            <wp:extent cx="171513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4"/>
          <w:szCs w:val="14"/>
          <w:i w:val="1"/>
          <w:iCs w:val="1"/>
          <w:color w:val="auto"/>
        </w:rPr>
        <w:t>Notes to the Director Equity Outstanding at 2018 Fiscal Year-End Table</w:t>
      </w:r>
    </w:p>
    <w:p>
      <w:pPr>
        <w:spacing w:after="0" w:line="6" w:lineRule="exact"/>
        <w:rPr>
          <w:sz w:val="20"/>
          <w:szCs w:val="20"/>
          <w:color w:val="auto"/>
        </w:rPr>
      </w:pPr>
    </w:p>
    <w:p>
      <w:pPr>
        <w:ind w:left="420" w:right="100" w:hanging="216"/>
        <w:spacing w:after="0" w:line="241" w:lineRule="auto"/>
        <w:tabs>
          <w:tab w:leader="none" w:pos="4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All stock option awards were granted to our non-employee directors with a ten-year term and vested in full on the first anniversary of the grant date. All outstanding stock options granted to non-employee directors were fully vested and exercisable as of December 31, 2018.</w:t>
      </w:r>
    </w:p>
    <w:p>
      <w:pPr>
        <w:ind w:left="420" w:right="100" w:hanging="216"/>
        <w:spacing w:after="0" w:line="250" w:lineRule="auto"/>
        <w:tabs>
          <w:tab w:leader="none" w:pos="4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the number of RSUs awarded to non-employee directors in 2018 under the Non-Employee Directors Equity Plan, as described in the narrative preceding the “2018 Director Compensation” table above. These RSU awards are scheduled to vest in full and be settled in shares on the first anniversary of the grant date, generally subject to continued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226060</wp:posOffset>
            </wp:positionV>
            <wp:extent cx="6997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84" w:lineRule="exact"/>
        <w:rPr>
          <w:sz w:val="20"/>
          <w:szCs w:val="20"/>
          <w:color w:val="auto"/>
        </w:rPr>
      </w:pPr>
    </w:p>
    <w:p>
      <w:pPr>
        <w:ind w:left="200"/>
        <w:spacing w:after="0"/>
        <w:rPr>
          <w:sz w:val="20"/>
          <w:szCs w:val="20"/>
          <w:color w:val="auto"/>
        </w:rPr>
      </w:pPr>
      <w:r>
        <w:rPr>
          <w:rFonts w:ascii="Arial" w:cs="Arial" w:eastAsia="Arial" w:hAnsi="Arial"/>
          <w:sz w:val="22"/>
          <w:szCs w:val="22"/>
          <w:color w:val="1A6DBB"/>
        </w:rPr>
        <w:t>Board Risk Oversight</w:t>
      </w:r>
    </w:p>
    <w:p>
      <w:pPr>
        <w:spacing w:after="0" w:line="107" w:lineRule="exact"/>
        <w:rPr>
          <w:sz w:val="20"/>
          <w:szCs w:val="20"/>
          <w:color w:val="auto"/>
        </w:rPr>
      </w:pPr>
    </w:p>
    <w:p>
      <w:pPr>
        <w:ind w:left="200" w:right="140"/>
        <w:spacing w:after="0" w:line="250" w:lineRule="auto"/>
        <w:rPr>
          <w:sz w:val="20"/>
          <w:szCs w:val="20"/>
          <w:color w:val="auto"/>
        </w:rPr>
      </w:pPr>
      <w:r>
        <w:rPr>
          <w:rFonts w:ascii="Arial" w:cs="Arial" w:eastAsia="Arial" w:hAnsi="Arial"/>
          <w:sz w:val="16"/>
          <w:szCs w:val="16"/>
          <w:color w:val="auto"/>
        </w:rPr>
        <w:t>Our Board of Directors believes that a fundamental part of risk management is understanding the risks that we face, monitoring these risks and adopting appropriate control and mitigation of these risks. As stated in our Corporate Governance Principles, our Board of Directors and its committees are responsible for “reviewing the Company’s significant risk exposures and steps taken by management to monitor and mitigate such exposure.” We also have a separate Risk Committee of our Board of Directors that assists our Board in its oversight of management’s exercise of its responsibility to assess and manage risk associated with the Company’s business and operations.</w:t>
      </w:r>
    </w:p>
    <w:p>
      <w:pPr>
        <w:spacing w:after="0" w:line="95" w:lineRule="exact"/>
        <w:rPr>
          <w:sz w:val="20"/>
          <w:szCs w:val="20"/>
          <w:color w:val="auto"/>
        </w:rPr>
      </w:pPr>
    </w:p>
    <w:p>
      <w:pPr>
        <w:ind w:left="200" w:right="160"/>
        <w:spacing w:after="0" w:line="248" w:lineRule="auto"/>
        <w:rPr>
          <w:sz w:val="20"/>
          <w:szCs w:val="20"/>
          <w:color w:val="auto"/>
        </w:rPr>
      </w:pPr>
      <w:r>
        <w:rPr>
          <w:rFonts w:ascii="Arial" w:cs="Arial" w:eastAsia="Arial" w:hAnsi="Arial"/>
          <w:sz w:val="16"/>
          <w:szCs w:val="16"/>
          <w:color w:val="auto"/>
        </w:rPr>
        <w:t>Our Board of Directors oversees the management of material risks facing the Company. Biogen is committed to fostering a company culture of risk-adjusted decision-making without constraining reasonable risk-taking and innovation. Our Board of Directors and its committees oversee our efforts to foster this culture. Our Board of Directors regularly receives information about our material strategic, operational, financial and compliance risks and management’s response to, and mitigation of, such risks. In addition, our risk management systems, including our risk assessment processes, internal control over financial reporting, compliance programs and internal and external auditing procedures, are designed to inform management and our Board of Directors about our material risks. As part of its risk oversight function, our Board of Directors and its committees review this framework, its operation and our strategies for generating long-term value for our stockholders to ensure that such strategies will not motivate management to take excessive risks.</w:t>
      </w:r>
    </w:p>
    <w:p>
      <w:pPr>
        <w:spacing w:after="0" w:line="100" w:lineRule="exact"/>
        <w:rPr>
          <w:sz w:val="20"/>
          <w:szCs w:val="20"/>
          <w:color w:val="auto"/>
        </w:rPr>
      </w:pPr>
    </w:p>
    <w:p>
      <w:pPr>
        <w:ind w:left="200" w:right="20"/>
        <w:spacing w:after="0" w:line="249" w:lineRule="auto"/>
        <w:rPr>
          <w:sz w:val="20"/>
          <w:szCs w:val="20"/>
          <w:color w:val="auto"/>
        </w:rPr>
      </w:pPr>
      <w:r>
        <w:rPr>
          <w:rFonts w:ascii="Arial" w:cs="Arial" w:eastAsia="Arial" w:hAnsi="Arial"/>
          <w:sz w:val="16"/>
          <w:szCs w:val="16"/>
          <w:color w:val="auto"/>
        </w:rPr>
        <w:t>Our Board of Directors also reviews enterprise risks and discusses them with our management, including issues relevant to our business, reputation and strategy, including intellectual property risk, pipeline and business development, pricing and patient access, legal and regulatory matters and manufacturing. In addition, our Board of Directors and its committees oversee elements of our culture. Management updates our C&amp;MD Committee on our compensation practices and progress against strategies and objectives in the areas of management and leadership development and diversity as well as steps taken to address matters such as inappropriate workplace behavior, including harassment and retaliation. In addition, our Audit Committee is responsible for the oversight of our compliance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78105</wp:posOffset>
            </wp:positionV>
            <wp:extent cx="685800" cy="1543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-62865</wp:posOffset>
            </wp:positionV>
            <wp:extent cx="102870" cy="946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69"/>
        </w:numPr>
        <w:rPr>
          <w:rFonts w:ascii="Arial" w:cs="Arial" w:eastAsia="Arial" w:hAnsi="Arial"/>
          <w:sz w:val="90"/>
          <w:szCs w:val="90"/>
          <w:color w:val="1A6DBB"/>
        </w:rPr>
      </w:pPr>
      <w:r>
        <w:rPr>
          <w:rFonts w:ascii="Arial" w:cs="Arial" w:eastAsia="Arial" w:hAnsi="Arial"/>
          <w:sz w:val="41"/>
          <w:szCs w:val="41"/>
          <w:color w:val="1A6DBB"/>
        </w:rPr>
        <w:t xml:space="preserve">Board of Directors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 w:right="100"/>
        <w:spacing w:after="0" w:line="249" w:lineRule="auto"/>
        <w:rPr>
          <w:sz w:val="20"/>
          <w:szCs w:val="20"/>
          <w:color w:val="auto"/>
        </w:rPr>
      </w:pPr>
      <w:r>
        <w:rPr>
          <w:rFonts w:ascii="Arial" w:cs="Arial" w:eastAsia="Arial" w:hAnsi="Arial"/>
          <w:sz w:val="16"/>
          <w:szCs w:val="16"/>
          <w:color w:val="auto"/>
        </w:rPr>
        <w:t>In determining the allocation of risk oversight responsibilities, our Board of Directors and its committees generally oversee material risks within their identified areas of concern. Our Board of Directors and each of its committees meet regularly with management to ensure that management is exercising its responsibility to identify relevant risks and is adequately assessing, monitoring and taking appropriate action to mitigate risk. In the event a committee receives a report from members of management on areas of material risk to the Company, the Chair of the relevant committee reports on the discussion to the full Board of Directors at the next Board of Directors meeting. This enables our Board of Directors and its committees to coordinate their oversight of risk and identify risk interrelationships.</w:t>
      </w:r>
    </w:p>
    <w:p>
      <w:pPr>
        <w:spacing w:after="0" w:line="97" w:lineRule="exact"/>
        <w:rPr>
          <w:sz w:val="20"/>
          <w:szCs w:val="20"/>
          <w:color w:val="auto"/>
        </w:rPr>
      </w:pPr>
    </w:p>
    <w:p>
      <w:pPr>
        <w:ind w:left="200" w:right="280"/>
        <w:spacing w:after="0" w:line="253" w:lineRule="auto"/>
        <w:rPr>
          <w:sz w:val="20"/>
          <w:szCs w:val="20"/>
          <w:color w:val="auto"/>
        </w:rPr>
      </w:pPr>
      <w:r>
        <w:rPr>
          <w:rFonts w:ascii="Arial" w:cs="Arial" w:eastAsia="Arial" w:hAnsi="Arial"/>
          <w:sz w:val="16"/>
          <w:szCs w:val="16"/>
          <w:color w:val="auto"/>
        </w:rPr>
        <w:t>Our independent Chairman of the Board promotes effective communication and consideration of matters presenting significant risks to the Company through his role in developing our Board of Directors’ meeting agendas, advising committee chairs, chairing meetings of the independent directors and facilitating communications between independent directors and our Chief Executive Officer.</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 summary of the key areas of risk oversight responsibility of our Board of Directors and each of its committees is set forth below:</w:t>
      </w: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1740" w:type="dxa"/>
            <w:vAlign w:val="bottom"/>
            <w:shd w:val="clear" w:color="auto" w:fill="1A6DBB"/>
          </w:tcPr>
          <w:p>
            <w:pPr>
              <w:ind w:left="60"/>
              <w:spacing w:after="0"/>
              <w:rPr>
                <w:sz w:val="20"/>
                <w:szCs w:val="20"/>
                <w:color w:val="auto"/>
              </w:rPr>
            </w:pPr>
            <w:r>
              <w:rPr>
                <w:rFonts w:ascii="Arial" w:cs="Arial" w:eastAsia="Arial" w:hAnsi="Arial"/>
                <w:sz w:val="14"/>
                <w:szCs w:val="14"/>
                <w:color w:val="FFFFFF"/>
              </w:rPr>
              <w:t>Board or Committee</w:t>
            </w:r>
          </w:p>
        </w:tc>
        <w:tc>
          <w:tcPr>
            <w:tcW w:w="9280" w:type="dxa"/>
            <w:vAlign w:val="bottom"/>
            <w:shd w:val="clear" w:color="auto" w:fill="1A6DBB"/>
          </w:tcPr>
          <w:p>
            <w:pPr>
              <w:ind w:left="3960"/>
              <w:spacing w:after="0"/>
              <w:rPr>
                <w:sz w:val="20"/>
                <w:szCs w:val="20"/>
                <w:color w:val="auto"/>
              </w:rPr>
            </w:pPr>
            <w:r>
              <w:rPr>
                <w:rFonts w:ascii="Arial" w:cs="Arial" w:eastAsia="Arial" w:hAnsi="Arial"/>
                <w:sz w:val="14"/>
                <w:szCs w:val="14"/>
                <w:color w:val="FFFFFF"/>
              </w:rPr>
              <w:t>Area of Risk Oversight</w:t>
            </w:r>
          </w:p>
        </w:tc>
      </w:tr>
      <w:tr>
        <w:trPr>
          <w:trHeight w:val="274"/>
        </w:trPr>
        <w:tc>
          <w:tcPr>
            <w:tcW w:w="1740" w:type="dxa"/>
            <w:vAlign w:val="bottom"/>
            <w:shd w:val="clear" w:color="auto" w:fill="E8F0F8"/>
          </w:tcPr>
          <w:p>
            <w:pPr>
              <w:ind w:left="80"/>
              <w:spacing w:after="0"/>
              <w:rPr>
                <w:sz w:val="20"/>
                <w:szCs w:val="20"/>
                <w:color w:val="auto"/>
              </w:rPr>
            </w:pPr>
            <w:r>
              <w:rPr>
                <w:rFonts w:ascii="Arial" w:cs="Arial" w:eastAsia="Arial" w:hAnsi="Arial"/>
                <w:sz w:val="16"/>
                <w:szCs w:val="16"/>
                <w:color w:val="auto"/>
              </w:rPr>
              <w:t>Board</w:t>
            </w:r>
          </w:p>
        </w:tc>
        <w:tc>
          <w:tcPr>
            <w:tcW w:w="9280" w:type="dxa"/>
            <w:vAlign w:val="bottom"/>
            <w:shd w:val="clear" w:color="auto" w:fill="E8F0F8"/>
          </w:tcPr>
          <w:p>
            <w:pPr>
              <w:ind w:left="8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Corporate and commercial strategy and execution, pricing and reimbursement, competition and other material risks</w:t>
            </w:r>
          </w:p>
        </w:tc>
      </w:tr>
      <w:tr>
        <w:trPr>
          <w:trHeight w:val="268"/>
        </w:trPr>
        <w:tc>
          <w:tcPr>
            <w:tcW w:w="1740" w:type="dxa"/>
            <w:vAlign w:val="bottom"/>
            <w:shd w:val="clear" w:color="auto" w:fill="BAD3EA"/>
          </w:tcPr>
          <w:p>
            <w:pPr>
              <w:ind w:left="60"/>
              <w:spacing w:after="0"/>
              <w:rPr>
                <w:sz w:val="20"/>
                <w:szCs w:val="20"/>
                <w:color w:val="auto"/>
              </w:rPr>
            </w:pPr>
            <w:r>
              <w:rPr>
                <w:rFonts w:ascii="Arial" w:cs="Arial" w:eastAsia="Arial" w:hAnsi="Arial"/>
                <w:sz w:val="16"/>
                <w:szCs w:val="16"/>
                <w:color w:val="auto"/>
              </w:rPr>
              <w:t>Audit</w:t>
            </w:r>
          </w:p>
        </w:tc>
        <w:tc>
          <w:tcPr>
            <w:tcW w:w="9280" w:type="dxa"/>
            <w:vAlign w:val="bottom"/>
            <w:shd w:val="clear" w:color="auto" w:fill="BAD3EA"/>
          </w:tcPr>
          <w:p>
            <w:pPr>
              <w:ind w:left="8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Financial, accounting, disclosure, corporate compliance, distributors, insurance, anti-bribery and anti-corruption matters</w:t>
            </w:r>
          </w:p>
        </w:tc>
      </w:tr>
      <w:tr>
        <w:trPr>
          <w:trHeight w:val="214"/>
        </w:trPr>
        <w:tc>
          <w:tcPr>
            <w:tcW w:w="1740" w:type="dxa"/>
            <w:vAlign w:val="bottom"/>
            <w:shd w:val="clear" w:color="auto" w:fill="BAD3EA"/>
          </w:tcPr>
          <w:p>
            <w:pPr>
              <w:spacing w:after="0"/>
              <w:rPr>
                <w:sz w:val="18"/>
                <w:szCs w:val="18"/>
                <w:color w:val="auto"/>
              </w:rPr>
            </w:pPr>
          </w:p>
        </w:tc>
        <w:tc>
          <w:tcPr>
            <w:tcW w:w="9280" w:type="dxa"/>
            <w:vAlign w:val="bottom"/>
            <w:shd w:val="clear" w:color="auto" w:fill="BAD3EA"/>
          </w:tcPr>
          <w:p>
            <w:pPr>
              <w:ind w:left="300"/>
              <w:spacing w:after="0"/>
              <w:rPr>
                <w:sz w:val="20"/>
                <w:szCs w:val="20"/>
                <w:color w:val="auto"/>
              </w:rPr>
            </w:pPr>
            <w:r>
              <w:rPr>
                <w:rFonts w:ascii="Arial" w:cs="Arial" w:eastAsia="Arial" w:hAnsi="Arial"/>
                <w:sz w:val="16"/>
                <w:szCs w:val="16"/>
                <w:color w:val="auto"/>
              </w:rPr>
              <w:t>and other risks reviewed in its oversight of the internal audit and corporate compliance functions</w:t>
            </w:r>
          </w:p>
        </w:tc>
      </w:tr>
      <w:tr>
        <w:trPr>
          <w:trHeight w:val="258"/>
        </w:trPr>
        <w:tc>
          <w:tcPr>
            <w:tcW w:w="1740" w:type="dxa"/>
            <w:vAlign w:val="bottom"/>
            <w:shd w:val="clear" w:color="auto" w:fill="E8F0F8"/>
          </w:tcPr>
          <w:p>
            <w:pPr>
              <w:ind w:left="80"/>
              <w:spacing w:after="0"/>
              <w:rPr>
                <w:sz w:val="20"/>
                <w:szCs w:val="20"/>
                <w:color w:val="auto"/>
              </w:rPr>
            </w:pPr>
            <w:r>
              <w:rPr>
                <w:rFonts w:ascii="Arial" w:cs="Arial" w:eastAsia="Arial" w:hAnsi="Arial"/>
                <w:sz w:val="16"/>
                <w:szCs w:val="16"/>
                <w:color w:val="auto"/>
              </w:rPr>
              <w:t>Compensation and</w:t>
            </w:r>
          </w:p>
        </w:tc>
        <w:tc>
          <w:tcPr>
            <w:tcW w:w="9280" w:type="dxa"/>
            <w:vAlign w:val="bottom"/>
            <w:shd w:val="clear" w:color="auto" w:fill="E8F0F8"/>
          </w:tcPr>
          <w:p>
            <w:pPr>
              <w:ind w:left="8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Workforce matters, including harassment</w:t>
            </w:r>
          </w:p>
        </w:tc>
      </w:tr>
      <w:tr>
        <w:trPr>
          <w:trHeight w:val="189"/>
        </w:trPr>
        <w:tc>
          <w:tcPr>
            <w:tcW w:w="1740" w:type="dxa"/>
            <w:vAlign w:val="bottom"/>
            <w:shd w:val="clear" w:color="auto" w:fill="E8F0F8"/>
          </w:tcPr>
          <w:p>
            <w:pPr>
              <w:ind w:left="80"/>
              <w:spacing w:after="0"/>
              <w:rPr>
                <w:sz w:val="20"/>
                <w:szCs w:val="20"/>
                <w:color w:val="auto"/>
              </w:rPr>
            </w:pPr>
            <w:r>
              <w:rPr>
                <w:rFonts w:ascii="Arial" w:cs="Arial" w:eastAsia="Arial" w:hAnsi="Arial"/>
                <w:sz w:val="16"/>
                <w:szCs w:val="16"/>
                <w:color w:val="auto"/>
              </w:rPr>
              <w:t>Management</w:t>
            </w:r>
          </w:p>
        </w:tc>
        <w:tc>
          <w:tcPr>
            <w:tcW w:w="9280" w:type="dxa"/>
            <w:vAlign w:val="bottom"/>
            <w:shd w:val="clear" w:color="auto" w:fill="E8F0F8"/>
          </w:tcPr>
          <w:p>
            <w:pPr>
              <w:ind w:left="8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Compensation policies and practices, including whether such policies and practices balance risk-taking and rewards in an</w:t>
            </w:r>
          </w:p>
        </w:tc>
      </w:tr>
      <w:tr>
        <w:trPr>
          <w:trHeight w:val="204"/>
        </w:trPr>
        <w:tc>
          <w:tcPr>
            <w:tcW w:w="1740" w:type="dxa"/>
            <w:vAlign w:val="bottom"/>
            <w:shd w:val="clear" w:color="auto" w:fill="E8F0F8"/>
          </w:tcPr>
          <w:p>
            <w:pPr>
              <w:ind w:left="80"/>
              <w:spacing w:after="0"/>
              <w:rPr>
                <w:sz w:val="20"/>
                <w:szCs w:val="20"/>
                <w:color w:val="auto"/>
              </w:rPr>
            </w:pPr>
            <w:r>
              <w:rPr>
                <w:rFonts w:ascii="Arial" w:cs="Arial" w:eastAsia="Arial" w:hAnsi="Arial"/>
                <w:sz w:val="16"/>
                <w:szCs w:val="16"/>
                <w:color w:val="auto"/>
              </w:rPr>
              <w:t>Development</w:t>
            </w:r>
          </w:p>
        </w:tc>
        <w:tc>
          <w:tcPr>
            <w:tcW w:w="9280" w:type="dxa"/>
            <w:vAlign w:val="bottom"/>
            <w:shd w:val="clear" w:color="auto" w:fill="E8F0F8"/>
          </w:tcPr>
          <w:p>
            <w:pPr>
              <w:ind w:left="300"/>
              <w:spacing w:after="0"/>
              <w:rPr>
                <w:sz w:val="20"/>
                <w:szCs w:val="20"/>
                <w:color w:val="auto"/>
              </w:rPr>
            </w:pPr>
            <w:r>
              <w:rPr>
                <w:rFonts w:ascii="Arial" w:cs="Arial" w:eastAsia="Arial" w:hAnsi="Arial"/>
                <w:sz w:val="16"/>
                <w:szCs w:val="16"/>
                <w:color w:val="auto"/>
              </w:rPr>
              <w:t>appropriate manner as discussed further below</w:t>
            </w:r>
          </w:p>
        </w:tc>
      </w:tr>
      <w:tr>
        <w:trPr>
          <w:trHeight w:val="268"/>
        </w:trPr>
        <w:tc>
          <w:tcPr>
            <w:tcW w:w="1740" w:type="dxa"/>
            <w:vAlign w:val="bottom"/>
            <w:shd w:val="clear" w:color="auto" w:fill="BAD3EA"/>
          </w:tcPr>
          <w:p>
            <w:pPr>
              <w:ind w:left="80"/>
              <w:spacing w:after="0"/>
              <w:rPr>
                <w:sz w:val="20"/>
                <w:szCs w:val="20"/>
                <w:color w:val="auto"/>
              </w:rPr>
            </w:pPr>
            <w:r>
              <w:rPr>
                <w:rFonts w:ascii="Arial" w:cs="Arial" w:eastAsia="Arial" w:hAnsi="Arial"/>
                <w:sz w:val="16"/>
                <w:szCs w:val="16"/>
                <w:color w:val="auto"/>
              </w:rPr>
              <w:t>Corporate</w:t>
            </w:r>
          </w:p>
        </w:tc>
        <w:tc>
          <w:tcPr>
            <w:tcW w:w="9280" w:type="dxa"/>
            <w:vAlign w:val="bottom"/>
            <w:shd w:val="clear" w:color="auto" w:fill="BAD3EA"/>
          </w:tcPr>
          <w:p>
            <w:pPr>
              <w:ind w:left="8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Corporate governance and board succession, director independence, potential conflicts of interest and related party</w:t>
            </w:r>
          </w:p>
        </w:tc>
      </w:tr>
      <w:tr>
        <w:trPr>
          <w:trHeight w:val="214"/>
        </w:trPr>
        <w:tc>
          <w:tcPr>
            <w:tcW w:w="1740" w:type="dxa"/>
            <w:vAlign w:val="bottom"/>
            <w:shd w:val="clear" w:color="auto" w:fill="BAD3EA"/>
          </w:tcPr>
          <w:p>
            <w:pPr>
              <w:ind w:left="80"/>
              <w:spacing w:after="0"/>
              <w:rPr>
                <w:sz w:val="20"/>
                <w:szCs w:val="20"/>
                <w:color w:val="auto"/>
              </w:rPr>
            </w:pPr>
            <w:r>
              <w:rPr>
                <w:rFonts w:ascii="Arial" w:cs="Arial" w:eastAsia="Arial" w:hAnsi="Arial"/>
                <w:sz w:val="16"/>
                <w:szCs w:val="16"/>
                <w:color w:val="auto"/>
              </w:rPr>
              <w:t>Governance</w:t>
            </w:r>
          </w:p>
        </w:tc>
        <w:tc>
          <w:tcPr>
            <w:tcW w:w="9280" w:type="dxa"/>
            <w:vAlign w:val="bottom"/>
            <w:shd w:val="clear" w:color="auto" w:fill="BAD3EA"/>
          </w:tcPr>
          <w:p>
            <w:pPr>
              <w:ind w:left="300"/>
              <w:spacing w:after="0"/>
              <w:rPr>
                <w:sz w:val="20"/>
                <w:szCs w:val="20"/>
                <w:color w:val="auto"/>
              </w:rPr>
            </w:pPr>
            <w:r>
              <w:rPr>
                <w:rFonts w:ascii="Arial" w:cs="Arial" w:eastAsia="Arial" w:hAnsi="Arial"/>
                <w:sz w:val="16"/>
                <w:szCs w:val="16"/>
                <w:color w:val="auto"/>
              </w:rPr>
              <w:t>transactions involving directors and executive officers</w:t>
            </w:r>
          </w:p>
        </w:tc>
      </w:tr>
      <w:tr>
        <w:trPr>
          <w:trHeight w:val="274"/>
        </w:trPr>
        <w:tc>
          <w:tcPr>
            <w:tcW w:w="1740" w:type="dxa"/>
            <w:vAlign w:val="bottom"/>
            <w:shd w:val="clear" w:color="auto" w:fill="E8F0F8"/>
          </w:tcPr>
          <w:p>
            <w:pPr>
              <w:ind w:left="80"/>
              <w:spacing w:after="0"/>
              <w:rPr>
                <w:sz w:val="20"/>
                <w:szCs w:val="20"/>
                <w:color w:val="auto"/>
              </w:rPr>
            </w:pPr>
            <w:r>
              <w:rPr>
                <w:rFonts w:ascii="Arial" w:cs="Arial" w:eastAsia="Arial" w:hAnsi="Arial"/>
                <w:sz w:val="16"/>
                <w:szCs w:val="16"/>
                <w:color w:val="auto"/>
              </w:rPr>
              <w:t>Finance</w:t>
            </w:r>
          </w:p>
        </w:tc>
        <w:tc>
          <w:tcPr>
            <w:tcW w:w="9280" w:type="dxa"/>
            <w:vAlign w:val="bottom"/>
            <w:shd w:val="clear" w:color="auto" w:fill="E8F0F8"/>
          </w:tcPr>
          <w:p>
            <w:pPr>
              <w:ind w:left="8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Financial, capital and credit risks</w:t>
            </w:r>
          </w:p>
        </w:tc>
      </w:tr>
      <w:tr>
        <w:trPr>
          <w:trHeight w:val="268"/>
        </w:trPr>
        <w:tc>
          <w:tcPr>
            <w:tcW w:w="1740" w:type="dxa"/>
            <w:vAlign w:val="bottom"/>
            <w:shd w:val="clear" w:color="auto" w:fill="BAD3EA"/>
          </w:tcPr>
          <w:p>
            <w:pPr>
              <w:ind w:left="80"/>
              <w:spacing w:after="0"/>
              <w:rPr>
                <w:sz w:val="20"/>
                <w:szCs w:val="20"/>
                <w:color w:val="auto"/>
              </w:rPr>
            </w:pPr>
            <w:r>
              <w:rPr>
                <w:rFonts w:ascii="Arial" w:cs="Arial" w:eastAsia="Arial" w:hAnsi="Arial"/>
                <w:sz w:val="16"/>
                <w:szCs w:val="16"/>
                <w:color w:val="auto"/>
              </w:rPr>
              <w:t>Risk</w:t>
            </w:r>
          </w:p>
        </w:tc>
        <w:tc>
          <w:tcPr>
            <w:tcW w:w="9280" w:type="dxa"/>
            <w:vAlign w:val="bottom"/>
            <w:shd w:val="clear" w:color="auto" w:fill="BAD3EA"/>
          </w:tcPr>
          <w:p>
            <w:pPr>
              <w:ind w:left="8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Risk governance framework and infrastructure designed to identify, assess, manage and monitor the Company’s material</w:t>
            </w:r>
          </w:p>
        </w:tc>
      </w:tr>
      <w:tr>
        <w:trPr>
          <w:trHeight w:val="189"/>
        </w:trPr>
        <w:tc>
          <w:tcPr>
            <w:tcW w:w="1740" w:type="dxa"/>
            <w:vAlign w:val="bottom"/>
            <w:shd w:val="clear" w:color="auto" w:fill="BAD3EA"/>
          </w:tcPr>
          <w:p>
            <w:pPr>
              <w:spacing w:after="0"/>
              <w:rPr>
                <w:sz w:val="16"/>
                <w:szCs w:val="16"/>
                <w:color w:val="auto"/>
              </w:rPr>
            </w:pPr>
          </w:p>
        </w:tc>
        <w:tc>
          <w:tcPr>
            <w:tcW w:w="9280" w:type="dxa"/>
            <w:vAlign w:val="bottom"/>
            <w:shd w:val="clear" w:color="auto" w:fill="BAD3EA"/>
          </w:tcPr>
          <w:p>
            <w:pPr>
              <w:ind w:left="300"/>
              <w:spacing w:after="0"/>
              <w:rPr>
                <w:sz w:val="20"/>
                <w:szCs w:val="20"/>
                <w:color w:val="auto"/>
              </w:rPr>
            </w:pPr>
            <w:r>
              <w:rPr>
                <w:rFonts w:ascii="Arial" w:cs="Arial" w:eastAsia="Arial" w:hAnsi="Arial"/>
                <w:sz w:val="16"/>
                <w:szCs w:val="16"/>
                <w:color w:val="auto"/>
              </w:rPr>
              <w:t>risks</w:t>
            </w:r>
          </w:p>
        </w:tc>
      </w:tr>
      <w:tr>
        <w:trPr>
          <w:trHeight w:val="189"/>
        </w:trPr>
        <w:tc>
          <w:tcPr>
            <w:tcW w:w="1740" w:type="dxa"/>
            <w:vAlign w:val="bottom"/>
            <w:shd w:val="clear" w:color="auto" w:fill="BAD3EA"/>
          </w:tcPr>
          <w:p>
            <w:pPr>
              <w:spacing w:after="0"/>
              <w:rPr>
                <w:sz w:val="16"/>
                <w:szCs w:val="16"/>
                <w:color w:val="auto"/>
              </w:rPr>
            </w:pPr>
          </w:p>
        </w:tc>
        <w:tc>
          <w:tcPr>
            <w:tcW w:w="9280" w:type="dxa"/>
            <w:vAlign w:val="bottom"/>
            <w:shd w:val="clear" w:color="auto" w:fill="BAD3EA"/>
          </w:tcPr>
          <w:p>
            <w:pPr>
              <w:ind w:left="8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Risk management policies, guidelines and practices implemented by Company management</w:t>
            </w:r>
          </w:p>
        </w:tc>
      </w:tr>
      <w:tr>
        <w:trPr>
          <w:trHeight w:val="189"/>
        </w:trPr>
        <w:tc>
          <w:tcPr>
            <w:tcW w:w="1740" w:type="dxa"/>
            <w:vAlign w:val="bottom"/>
            <w:shd w:val="clear" w:color="auto" w:fill="BAD3EA"/>
          </w:tcPr>
          <w:p>
            <w:pPr>
              <w:spacing w:after="0"/>
              <w:rPr>
                <w:sz w:val="16"/>
                <w:szCs w:val="16"/>
                <w:color w:val="auto"/>
              </w:rPr>
            </w:pPr>
          </w:p>
        </w:tc>
        <w:tc>
          <w:tcPr>
            <w:tcW w:w="9280" w:type="dxa"/>
            <w:vAlign w:val="bottom"/>
            <w:shd w:val="clear" w:color="auto" w:fill="BAD3EA"/>
          </w:tcPr>
          <w:p>
            <w:pPr>
              <w:ind w:left="8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Allocation of risk oversight responsibilities to our Board of Directors and its committees</w:t>
            </w:r>
          </w:p>
        </w:tc>
      </w:tr>
      <w:tr>
        <w:trPr>
          <w:trHeight w:val="189"/>
        </w:trPr>
        <w:tc>
          <w:tcPr>
            <w:tcW w:w="1740" w:type="dxa"/>
            <w:vAlign w:val="bottom"/>
            <w:shd w:val="clear" w:color="auto" w:fill="BAD3EA"/>
          </w:tcPr>
          <w:p>
            <w:pPr>
              <w:spacing w:after="0"/>
              <w:rPr>
                <w:sz w:val="16"/>
                <w:szCs w:val="16"/>
                <w:color w:val="auto"/>
              </w:rPr>
            </w:pPr>
          </w:p>
        </w:tc>
        <w:tc>
          <w:tcPr>
            <w:tcW w:w="9280" w:type="dxa"/>
            <w:vAlign w:val="bottom"/>
            <w:shd w:val="clear" w:color="auto" w:fill="BAD3EA"/>
          </w:tcPr>
          <w:p>
            <w:pPr>
              <w:ind w:left="8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Information technology, cybersecurity, environmental, health and sustainability and other material risks not allocated to our</w:t>
            </w:r>
          </w:p>
        </w:tc>
      </w:tr>
      <w:tr>
        <w:trPr>
          <w:trHeight w:val="189"/>
        </w:trPr>
        <w:tc>
          <w:tcPr>
            <w:tcW w:w="1740" w:type="dxa"/>
            <w:vAlign w:val="bottom"/>
            <w:shd w:val="clear" w:color="auto" w:fill="BAD3EA"/>
          </w:tcPr>
          <w:p>
            <w:pPr>
              <w:spacing w:after="0"/>
              <w:rPr>
                <w:sz w:val="16"/>
                <w:szCs w:val="16"/>
                <w:color w:val="auto"/>
              </w:rPr>
            </w:pPr>
          </w:p>
        </w:tc>
        <w:tc>
          <w:tcPr>
            <w:tcW w:w="9280" w:type="dxa"/>
            <w:vAlign w:val="bottom"/>
            <w:shd w:val="clear" w:color="auto" w:fill="BAD3EA"/>
          </w:tcPr>
          <w:p>
            <w:pPr>
              <w:ind w:left="300"/>
              <w:spacing w:after="0"/>
              <w:rPr>
                <w:sz w:val="20"/>
                <w:szCs w:val="20"/>
                <w:color w:val="auto"/>
              </w:rPr>
            </w:pPr>
            <w:r>
              <w:rPr>
                <w:rFonts w:ascii="Arial" w:cs="Arial" w:eastAsia="Arial" w:hAnsi="Arial"/>
                <w:sz w:val="16"/>
                <w:szCs w:val="16"/>
                <w:color w:val="auto"/>
              </w:rPr>
              <w:t>Board of Directors or another committee</w:t>
            </w:r>
          </w:p>
        </w:tc>
      </w:tr>
      <w:tr>
        <w:trPr>
          <w:trHeight w:val="214"/>
        </w:trPr>
        <w:tc>
          <w:tcPr>
            <w:tcW w:w="1740" w:type="dxa"/>
            <w:vAlign w:val="bottom"/>
            <w:shd w:val="clear" w:color="auto" w:fill="BAD3EA"/>
          </w:tcPr>
          <w:p>
            <w:pPr>
              <w:spacing w:after="0"/>
              <w:rPr>
                <w:sz w:val="18"/>
                <w:szCs w:val="18"/>
                <w:color w:val="auto"/>
              </w:rPr>
            </w:pPr>
          </w:p>
        </w:tc>
        <w:tc>
          <w:tcPr>
            <w:tcW w:w="9280" w:type="dxa"/>
            <w:vAlign w:val="bottom"/>
            <w:shd w:val="clear" w:color="auto" w:fill="BAD3EA"/>
          </w:tcPr>
          <w:p>
            <w:pPr>
              <w:ind w:left="8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Material government and other investigations and litigation</w:t>
            </w:r>
          </w:p>
        </w:tc>
      </w:tr>
      <w:tr>
        <w:trPr>
          <w:trHeight w:val="258"/>
        </w:trPr>
        <w:tc>
          <w:tcPr>
            <w:tcW w:w="1740" w:type="dxa"/>
            <w:vAlign w:val="bottom"/>
            <w:shd w:val="clear" w:color="auto" w:fill="E8F0F8"/>
          </w:tcPr>
          <w:p>
            <w:pPr>
              <w:ind w:left="80"/>
              <w:spacing w:after="0"/>
              <w:rPr>
                <w:sz w:val="20"/>
                <w:szCs w:val="20"/>
                <w:color w:val="auto"/>
              </w:rPr>
            </w:pPr>
            <w:r>
              <w:rPr>
                <w:rFonts w:ascii="Arial" w:cs="Arial" w:eastAsia="Arial" w:hAnsi="Arial"/>
                <w:sz w:val="16"/>
                <w:szCs w:val="16"/>
                <w:color w:val="auto"/>
              </w:rPr>
              <w:t>Science and</w:t>
            </w:r>
          </w:p>
        </w:tc>
        <w:tc>
          <w:tcPr>
            <w:tcW w:w="9280" w:type="dxa"/>
            <w:vAlign w:val="bottom"/>
            <w:shd w:val="clear" w:color="auto" w:fill="E8F0F8"/>
          </w:tcPr>
          <w:p>
            <w:pPr>
              <w:ind w:left="80"/>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Research and development activities, clinical development and drug safety and intellectual property</w:t>
            </w:r>
          </w:p>
        </w:tc>
      </w:tr>
      <w:tr>
        <w:trPr>
          <w:trHeight w:val="198"/>
        </w:trPr>
        <w:tc>
          <w:tcPr>
            <w:tcW w:w="1740" w:type="dxa"/>
            <w:vAlign w:val="bottom"/>
            <w:tcBorders>
              <w:bottom w:val="single" w:sz="8" w:color="auto"/>
            </w:tcBorders>
            <w:shd w:val="clear" w:color="auto" w:fill="E8F0F8"/>
          </w:tcPr>
          <w:p>
            <w:pPr>
              <w:ind w:left="80"/>
              <w:spacing w:after="0"/>
              <w:rPr>
                <w:sz w:val="20"/>
                <w:szCs w:val="20"/>
                <w:color w:val="auto"/>
              </w:rPr>
            </w:pPr>
            <w:r>
              <w:rPr>
                <w:rFonts w:ascii="Arial" w:cs="Arial" w:eastAsia="Arial" w:hAnsi="Arial"/>
                <w:sz w:val="16"/>
                <w:szCs w:val="16"/>
                <w:color w:val="auto"/>
              </w:rPr>
              <w:t>Technology</w:t>
            </w:r>
          </w:p>
        </w:tc>
        <w:tc>
          <w:tcPr>
            <w:tcW w:w="9280" w:type="dxa"/>
            <w:vAlign w:val="bottom"/>
            <w:tcBorders>
              <w:bottom w:val="single" w:sz="8" w:color="auto"/>
            </w:tcBorders>
            <w:shd w:val="clear" w:color="auto" w:fill="E8F0F8"/>
          </w:tcPr>
          <w:p>
            <w:pPr>
              <w:spacing w:after="0"/>
              <w:rPr>
                <w:sz w:val="17"/>
                <w:szCs w:val="17"/>
                <w:color w:val="auto"/>
              </w:rPr>
            </w:pPr>
          </w:p>
        </w:tc>
      </w:tr>
    </w:tbl>
    <w:p>
      <w:pPr>
        <w:spacing w:after="0" w:line="210" w:lineRule="exact"/>
        <w:rPr>
          <w:sz w:val="20"/>
          <w:szCs w:val="20"/>
          <w:color w:val="auto"/>
        </w:rPr>
      </w:pPr>
    </w:p>
    <w:p>
      <w:pPr>
        <w:ind w:left="200"/>
        <w:spacing w:after="0"/>
        <w:rPr>
          <w:sz w:val="20"/>
          <w:szCs w:val="20"/>
          <w:color w:val="auto"/>
        </w:rPr>
      </w:pPr>
      <w:r>
        <w:rPr>
          <w:rFonts w:ascii="Arial" w:cs="Arial" w:eastAsia="Arial" w:hAnsi="Arial"/>
          <w:sz w:val="22"/>
          <w:szCs w:val="22"/>
          <w:color w:val="1A6DBB"/>
        </w:rPr>
        <w:t>Compensation Risk Assessment</w:t>
      </w:r>
    </w:p>
    <w:p>
      <w:pPr>
        <w:spacing w:after="0" w:line="80" w:lineRule="exact"/>
        <w:rPr>
          <w:sz w:val="20"/>
          <w:szCs w:val="20"/>
          <w:color w:val="auto"/>
        </w:rPr>
      </w:pPr>
    </w:p>
    <w:p>
      <w:pPr>
        <w:ind w:left="200" w:right="40"/>
        <w:spacing w:after="0" w:line="248" w:lineRule="auto"/>
        <w:rPr>
          <w:sz w:val="20"/>
          <w:szCs w:val="20"/>
          <w:color w:val="auto"/>
        </w:rPr>
      </w:pPr>
      <w:r>
        <w:rPr>
          <w:rFonts w:ascii="Arial" w:cs="Arial" w:eastAsia="Arial" w:hAnsi="Arial"/>
          <w:sz w:val="16"/>
          <w:szCs w:val="16"/>
          <w:color w:val="auto"/>
        </w:rPr>
        <w:t>The Compensation Discussion and Analysis (CD&amp;A) section of this Proxy Statement describes our compensation policies, programs and practices for our named executive officers. Our goal-setting, performance assessment and compensation decision-making processes described in the CD&amp;A generally apply to all employees. We offer a limited number of short-term cash incentive plans, with employees eligible for either our annual bonus plan or a sales incentive compensation plan. No employee is eligible to participate in more than one cash incentive plan at any time. Our annual bonus plan is consistently maintained for all participants globally, with the same Company performance goals, payout levels (as a percentage of target) and administrative provisions regardless of the participant’s job level, location or function in the Company. We also have a long-term incentive program that provides different forms of awards depending upon an employee’s level but is otherwise consistent throughout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80010</wp:posOffset>
            </wp:positionV>
            <wp:extent cx="685800" cy="1543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-62865</wp:posOffset>
            </wp:positionV>
            <wp:extent cx="102870" cy="946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70"/>
        </w:numPr>
        <w:rPr>
          <w:rFonts w:ascii="Arial" w:cs="Arial" w:eastAsia="Arial" w:hAnsi="Arial"/>
          <w:sz w:val="90"/>
          <w:szCs w:val="90"/>
          <w:color w:val="1A6DBB"/>
        </w:rPr>
      </w:pPr>
      <w:r>
        <w:rPr>
          <w:rFonts w:ascii="Arial" w:cs="Arial" w:eastAsia="Arial" w:hAnsi="Arial"/>
          <w:sz w:val="41"/>
          <w:szCs w:val="41"/>
          <w:color w:val="1A6DBB"/>
        </w:rPr>
        <w:t xml:space="preserve">Board of Directors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200" w:right="140"/>
        <w:spacing w:after="0" w:line="251" w:lineRule="auto"/>
        <w:rPr>
          <w:sz w:val="20"/>
          <w:szCs w:val="20"/>
          <w:color w:val="auto"/>
        </w:rPr>
      </w:pPr>
      <w:r>
        <w:rPr>
          <w:rFonts w:ascii="Arial" w:cs="Arial" w:eastAsia="Arial" w:hAnsi="Arial"/>
          <w:sz w:val="16"/>
          <w:szCs w:val="16"/>
          <w:color w:val="auto"/>
        </w:rPr>
        <w:t>In the CD&amp;A, we describe the risk-mitigation controls for our compensation programs. These controls include C&amp;MD Committee review and approval of the design, goals and payouts under our annual bonus plan and long-term incentive program and each executive officer’s compensation (or, in the case of our Chief Executive Officer’s compensation, a recommendation of that compensation to our Board of Directors for its approval). In addition, we review the processes, controls and design of our sales incentive compensation plans.</w:t>
      </w:r>
    </w:p>
    <w:p>
      <w:pPr>
        <w:spacing w:after="0" w:line="95"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auto"/>
        </w:rPr>
        <w:t>The C&amp;MD Committee, working with the independent compensation consultant, also conducts an annual assessment of potential risks related to our compensation policies, programs and practices. Among other factors, this risk assessment considers the form of compensation (i.e., award type, fixed versus variable and short-term versus long-term), pay alignment, performance measures and goals, payout maximums, vesting periods and C&amp;MD Committee oversight and independence. This assessment is focused on (1) having an appropriate balance in our program structure to mitigate compensation-related risk with cash versus stock, short-term versus long-term measurement and financial versus non-financial goals; and (2) policies and practices to mitigate compensation-related risk including recoupment of compensation, stock ownership guidelines, equity administration rules and insider-trading and hedging prohibitions.</w:t>
      </w:r>
    </w:p>
    <w:p>
      <w:pPr>
        <w:spacing w:after="0" w:line="101" w:lineRule="exact"/>
        <w:rPr>
          <w:sz w:val="20"/>
          <w:szCs w:val="20"/>
          <w:color w:val="auto"/>
        </w:rPr>
      </w:pPr>
    </w:p>
    <w:p>
      <w:pPr>
        <w:ind w:left="200" w:right="160"/>
        <w:spacing w:after="0" w:line="253" w:lineRule="auto"/>
        <w:rPr>
          <w:sz w:val="20"/>
          <w:szCs w:val="20"/>
          <w:color w:val="auto"/>
        </w:rPr>
      </w:pPr>
      <w:r>
        <w:rPr>
          <w:rFonts w:ascii="Arial" w:cs="Arial" w:eastAsia="Arial" w:hAnsi="Arial"/>
          <w:sz w:val="16"/>
          <w:szCs w:val="16"/>
          <w:color w:val="auto"/>
        </w:rPr>
        <w:t>Based on our assessment, we believe that, through a combination of risk-mitigating features and incentives guided by relevant market practices and Company-wide goals, our compensation policies, programs and practices do not create risks that are reasonably likely to have a material adverse effect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75565</wp:posOffset>
            </wp:positionV>
            <wp:extent cx="685800" cy="1543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-71120</wp:posOffset>
            </wp:positionV>
            <wp:extent cx="102870" cy="946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71"/>
        </w:numPr>
        <w:rPr>
          <w:rFonts w:ascii="Arial" w:cs="Arial" w:eastAsia="Arial" w:hAnsi="Arial"/>
          <w:sz w:val="90"/>
          <w:szCs w:val="90"/>
          <w:color w:val="1A6DBB"/>
        </w:rPr>
      </w:pPr>
      <w:r>
        <w:rPr>
          <w:rFonts w:ascii="Arial" w:cs="Arial" w:eastAsia="Arial" w:hAnsi="Arial"/>
          <w:sz w:val="41"/>
          <w:szCs w:val="41"/>
          <w:color w:val="1A6DBB"/>
        </w:rPr>
        <w:t>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471170</wp:posOffset>
            </wp:positionV>
            <wp:extent cx="6869430" cy="6858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6943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0" w:right="700"/>
        <w:spacing w:after="0" w:line="252" w:lineRule="auto"/>
        <w:rPr>
          <w:sz w:val="20"/>
          <w:szCs w:val="20"/>
          <w:color w:val="auto"/>
        </w:rPr>
      </w:pPr>
      <w:r>
        <w:rPr>
          <w:rFonts w:ascii="Arial" w:cs="Arial" w:eastAsia="Arial" w:hAnsi="Arial"/>
          <w:sz w:val="29"/>
          <w:szCs w:val="29"/>
          <w:color w:val="FFFFFF"/>
        </w:rPr>
        <w:t>Proposal 2 – Ratification of the Selection of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-441325</wp:posOffset>
            </wp:positionV>
            <wp:extent cx="6938010" cy="6858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38010" cy="68580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200" w:right="80"/>
        <w:spacing w:after="0" w:line="248" w:lineRule="auto"/>
        <w:rPr>
          <w:sz w:val="20"/>
          <w:szCs w:val="20"/>
          <w:color w:val="auto"/>
        </w:rPr>
      </w:pPr>
      <w:r>
        <w:rPr>
          <w:rFonts w:ascii="Arial" w:cs="Arial" w:eastAsia="Arial" w:hAnsi="Arial"/>
          <w:sz w:val="16"/>
          <w:szCs w:val="16"/>
          <w:color w:val="auto"/>
        </w:rPr>
        <w:t>Our Audit Committee is directly responsible for the appointment, compensation, retention and oversight of the independent registered public accounting firm retained to audit our consolidated financial statements. Our Audit Committee has selected PwC as our independent registered public accounting firm for the fiscal year ending December 31, 2019. PwC has served as our independent registered public accounting firm since 2003.</w:t>
      </w:r>
    </w:p>
    <w:p>
      <w:pPr>
        <w:spacing w:after="0" w:line="101"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auto"/>
        </w:rPr>
        <w:t>In order to assure continuing auditor independence, our Audit Committee periodically considers whether there should be a rotation of the independent registered public accounting firm. Further, in conjunction with the rotation of the auditing firm’s lead engagement partner required by applicable SEC rules, our Audit Committee and its Chair has in the past been, and in the future will be, directly involved in the selection of PwC’s new lead engagement partner.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Audit Committee believes at this time that the continued retention of PwC to serve as our independent registered public accounting firm is in the best interest of Biogen and its stockholders.</w:t>
      </w:r>
    </w:p>
    <w:p>
      <w:pPr>
        <w:spacing w:after="0" w:line="9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Although stockholder approval of our Audit Committee’s selection of PwC is not required, our Board of Directors believes that it is a matter of good corporate practice to solicit stockholder ratification of this selection. If our stockholders do not ratify the selection of PwC as our independent registered public accounting firm, our Audit Committee will reconsider its selection. Even if the selection is ratified, our Audit Committee always has the ability to change the engagement of PwC if it considers that a change is in Biogen’s best interest. Representatives of PwC will participate in the Annual Meeting, have the opportunity to make a statement if they so desire and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347980</wp:posOffset>
            </wp:positionV>
            <wp:extent cx="7023100" cy="4457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023100" cy="445770"/>
                    </a:xfrm>
                    <a:prstGeom prst="rect">
                      <a:avLst/>
                    </a:prstGeom>
                    <a:noFill/>
                  </pic:spPr>
                </pic:pic>
              </a:graphicData>
            </a:graphic>
          </wp:anchor>
        </w:drawing>
      </w:r>
    </w:p>
    <w:p>
      <w:pPr>
        <w:spacing w:after="0" w:line="385" w:lineRule="exact"/>
        <w:rPr>
          <w:sz w:val="20"/>
          <w:szCs w:val="20"/>
          <w:color w:val="auto"/>
        </w:rPr>
      </w:pPr>
    </w:p>
    <w:p>
      <w:pPr>
        <w:sectPr>
          <w:pgSz w:w="11900" w:h="16838" w:orient="portrait"/>
          <w:cols w:equalWidth="0" w:num="2">
            <w:col w:w="5500" w:space="320"/>
            <w:col w:w="5380"/>
          </w:cols>
          <w:pgMar w:left="240" w:top="459" w:right="459" w:bottom="1440" w:gutter="0" w:footer="0" w:header="0"/>
          <w:type w:val="continuous"/>
        </w:sectPr>
      </w:pPr>
    </w:p>
    <w:p>
      <w:pPr>
        <w:spacing w:after="0" w:line="205" w:lineRule="exact"/>
        <w:rPr>
          <w:sz w:val="20"/>
          <w:szCs w:val="20"/>
          <w:color w:val="auto"/>
        </w:rPr>
      </w:pPr>
    </w:p>
    <w:p>
      <w:pPr>
        <w:jc w:val="center"/>
        <w:ind w:left="1940"/>
        <w:spacing w:after="0" w:line="266" w:lineRule="auto"/>
        <w:rPr>
          <w:sz w:val="20"/>
          <w:szCs w:val="20"/>
          <w:color w:val="auto"/>
        </w:rPr>
      </w:pPr>
      <w:r>
        <w:rPr>
          <w:rFonts w:ascii="Arial" w:cs="Arial" w:eastAsia="Arial" w:hAnsi="Arial"/>
          <w:sz w:val="16"/>
          <w:szCs w:val="16"/>
          <w:b w:val="1"/>
          <w:bCs w:val="1"/>
          <w:i w:val="1"/>
          <w:iCs w:val="1"/>
          <w:color w:val="auto"/>
        </w:rPr>
        <w:t xml:space="preserve">OUR BOARD OF DIRECTORS RECOMMENDS THAT STOCKHOLDERS VOTE </w:t>
      </w:r>
      <w:r>
        <w:rPr>
          <w:rFonts w:ascii="Arial" w:cs="Arial" w:eastAsia="Arial" w:hAnsi="Arial"/>
          <w:sz w:val="16"/>
          <w:szCs w:val="16"/>
          <w:b w:val="1"/>
          <w:bCs w:val="1"/>
          <w:i w:val="1"/>
          <w:iCs w:val="1"/>
          <w:color w:val="1A6DBB"/>
        </w:rPr>
        <w:t>FOR</w:t>
      </w:r>
      <w:r>
        <w:rPr>
          <w:rFonts w:ascii="Arial" w:cs="Arial" w:eastAsia="Arial" w:hAnsi="Arial"/>
          <w:sz w:val="16"/>
          <w:szCs w:val="16"/>
          <w:b w:val="1"/>
          <w:bCs w:val="1"/>
          <w:i w:val="1"/>
          <w:iCs w:val="1"/>
          <w:color w:val="auto"/>
        </w:rPr>
        <w:t xml:space="preserve"> THE RATIFICATION OF THE SELECTION OF PRICEWATERHOUSECOOPERS LLP AS OUR INDEPENDENT REGISTERED PUBLIC ACCOUNTING FIRM FOR THE FISCAL YEAR ENDING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103505</wp:posOffset>
            </wp:positionV>
            <wp:extent cx="685800" cy="1543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-62865</wp:posOffset>
            </wp:positionV>
            <wp:extent cx="102870" cy="946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7" w:lineRule="exact"/>
        <w:rPr>
          <w:sz w:val="20"/>
          <w:szCs w:val="20"/>
          <w:color w:val="auto"/>
        </w:rPr>
      </w:pPr>
    </w:p>
    <w:p>
      <w:pPr>
        <w:ind w:left="460"/>
        <w:spacing w:after="0"/>
        <w:rPr>
          <w:sz w:val="20"/>
          <w:szCs w:val="20"/>
          <w:color w:val="auto"/>
        </w:rPr>
      </w:pPr>
      <w:r>
        <w:rPr>
          <w:rFonts w:ascii="Arial" w:cs="Arial" w:eastAsia="Arial" w:hAnsi="Arial"/>
          <w:sz w:val="88"/>
          <w:szCs w:val="88"/>
          <w:color w:val="1A6DBB"/>
        </w:rPr>
        <w:t xml:space="preserve">4 </w:t>
      </w:r>
      <w:r>
        <w:rPr>
          <w:rFonts w:ascii="Arial" w:cs="Arial" w:eastAsia="Arial" w:hAnsi="Arial"/>
          <w:sz w:val="40"/>
          <w:szCs w:val="40"/>
          <w:color w:val="1A6DBB"/>
        </w:rPr>
        <w:t>Audit Committee Matters</w:t>
      </w:r>
      <w:r>
        <w:rPr>
          <w:rFonts w:ascii="Arial" w:cs="Arial" w:eastAsia="Arial" w:hAnsi="Arial"/>
          <w:sz w:val="88"/>
          <w:szCs w:val="88"/>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151765</wp:posOffset>
            </wp:positionV>
            <wp:extent cx="6997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87" w:lineRule="exact"/>
        <w:rPr>
          <w:sz w:val="20"/>
          <w:szCs w:val="20"/>
          <w:color w:val="auto"/>
        </w:rPr>
      </w:pPr>
    </w:p>
    <w:p>
      <w:pPr>
        <w:ind w:left="200"/>
        <w:spacing w:after="0"/>
        <w:rPr>
          <w:sz w:val="20"/>
          <w:szCs w:val="20"/>
          <w:color w:val="auto"/>
        </w:rPr>
      </w:pPr>
      <w:r>
        <w:rPr>
          <w:rFonts w:ascii="Arial" w:cs="Arial" w:eastAsia="Arial" w:hAnsi="Arial"/>
          <w:sz w:val="22"/>
          <w:szCs w:val="22"/>
          <w:color w:val="1A6DBB"/>
        </w:rPr>
        <w:t>Audit Committee Report</w:t>
      </w:r>
    </w:p>
    <w:p>
      <w:pPr>
        <w:spacing w:after="0" w:line="174"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auto"/>
        </w:rPr>
        <w:t xml:space="preserve">The Audit Committee’s role is to act on behalf of our Board of Directors in the oversight of Biogen’s financial reporting, internal control and audit functions. The roles and responsibilities of the Audit Committee are set forth in the written charter adopted by our Board of Directors, which is posted on our website, </w:t>
      </w:r>
      <w:r>
        <w:rPr>
          <w:rFonts w:ascii="Arial" w:cs="Arial" w:eastAsia="Arial" w:hAnsi="Arial"/>
          <w:sz w:val="16"/>
          <w:szCs w:val="16"/>
          <w:i w:val="1"/>
          <w:iCs w:val="1"/>
          <w:color w:val="auto"/>
        </w:rPr>
        <w:t>www.biogen.com</w:t>
      </w:r>
      <w:r>
        <w:rPr>
          <w:rFonts w:ascii="Arial" w:cs="Arial" w:eastAsia="Arial" w:hAnsi="Arial"/>
          <w:sz w:val="16"/>
          <w:szCs w:val="16"/>
          <w:color w:val="auto"/>
        </w:rPr>
        <w:t>, under the “Corporate Governance” subsection of the “Investors” section of the website. Management has primary responsibility for the financial statements and the reporting process, including the systems of internal control.</w:t>
      </w:r>
    </w:p>
    <w:p>
      <w:pPr>
        <w:spacing w:after="0" w:line="100" w:lineRule="exact"/>
        <w:rPr>
          <w:sz w:val="20"/>
          <w:szCs w:val="20"/>
          <w:color w:val="auto"/>
        </w:rPr>
      </w:pPr>
    </w:p>
    <w:p>
      <w:pPr>
        <w:ind w:left="200" w:right="380"/>
        <w:spacing w:after="0" w:line="260" w:lineRule="auto"/>
        <w:rPr>
          <w:sz w:val="20"/>
          <w:szCs w:val="20"/>
          <w:color w:val="auto"/>
        </w:rPr>
      </w:pPr>
      <w:r>
        <w:rPr>
          <w:rFonts w:ascii="Arial" w:cs="Arial" w:eastAsia="Arial" w:hAnsi="Arial"/>
          <w:sz w:val="16"/>
          <w:szCs w:val="16"/>
          <w:color w:val="auto"/>
        </w:rPr>
        <w:t>In fulfilling its oversight responsibilities, the Audit Committee, among other things:</w:t>
      </w:r>
    </w:p>
    <w:p>
      <w:pPr>
        <w:spacing w:after="0" w:line="101" w:lineRule="exact"/>
        <w:rPr>
          <w:sz w:val="20"/>
          <w:szCs w:val="20"/>
          <w:color w:val="auto"/>
        </w:rPr>
      </w:pPr>
    </w:p>
    <w:p>
      <w:pPr>
        <w:ind w:left="460" w:right="140" w:hanging="256"/>
        <w:spacing w:after="0" w:line="246" w:lineRule="auto"/>
        <w:tabs>
          <w:tab w:leader="none" w:pos="460" w:val="left"/>
        </w:tabs>
        <w:numPr>
          <w:ilvl w:val="0"/>
          <w:numId w:val="72"/>
        </w:numPr>
        <w:rPr>
          <w:rFonts w:ascii="Arial" w:cs="Arial" w:eastAsia="Arial" w:hAnsi="Arial"/>
          <w:sz w:val="16"/>
          <w:szCs w:val="16"/>
          <w:color w:val="1A6DBB"/>
        </w:rPr>
      </w:pPr>
      <w:r>
        <w:rPr>
          <w:rFonts w:ascii="Arial" w:cs="Arial" w:eastAsia="Arial" w:hAnsi="Arial"/>
          <w:sz w:val="16"/>
          <w:szCs w:val="16"/>
          <w:color w:val="auto"/>
        </w:rPr>
        <w:t>reviewed and discussed with management the audited consolidated financial statements contained in Biogen’s 2018 Annual Report on Form 10-K;</w:t>
      </w:r>
    </w:p>
    <w:p>
      <w:pPr>
        <w:spacing w:after="0" w:line="1" w:lineRule="exact"/>
        <w:rPr>
          <w:rFonts w:ascii="Arial" w:cs="Arial" w:eastAsia="Arial" w:hAnsi="Arial"/>
          <w:sz w:val="16"/>
          <w:szCs w:val="16"/>
          <w:color w:val="1A6DBB"/>
        </w:rPr>
      </w:pPr>
    </w:p>
    <w:p>
      <w:pPr>
        <w:ind w:left="460" w:right="680" w:hanging="256"/>
        <w:spacing w:after="0" w:line="246" w:lineRule="auto"/>
        <w:tabs>
          <w:tab w:leader="none" w:pos="460" w:val="left"/>
        </w:tabs>
        <w:numPr>
          <w:ilvl w:val="0"/>
          <w:numId w:val="72"/>
        </w:numPr>
        <w:rPr>
          <w:rFonts w:ascii="Arial" w:cs="Arial" w:eastAsia="Arial" w:hAnsi="Arial"/>
          <w:sz w:val="16"/>
          <w:szCs w:val="16"/>
          <w:color w:val="1A6DBB"/>
        </w:rPr>
      </w:pPr>
      <w:r>
        <w:rPr>
          <w:rFonts w:ascii="Arial" w:cs="Arial" w:eastAsia="Arial" w:hAnsi="Arial"/>
          <w:sz w:val="16"/>
          <w:szCs w:val="16"/>
          <w:color w:val="auto"/>
        </w:rPr>
        <w:t>discussed with PwC, Biogen’s independent registered public accounting firm, the overall scope and plans for the audit;</w:t>
      </w:r>
    </w:p>
    <w:p>
      <w:pPr>
        <w:ind w:left="460" w:hanging="256"/>
        <w:spacing w:after="0" w:line="246" w:lineRule="auto"/>
        <w:tabs>
          <w:tab w:leader="none" w:pos="460" w:val="left"/>
        </w:tabs>
        <w:numPr>
          <w:ilvl w:val="0"/>
          <w:numId w:val="72"/>
        </w:numPr>
        <w:rPr>
          <w:rFonts w:ascii="Arial" w:cs="Arial" w:eastAsia="Arial" w:hAnsi="Arial"/>
          <w:sz w:val="16"/>
          <w:szCs w:val="16"/>
          <w:color w:val="1A6DBB"/>
        </w:rPr>
      </w:pPr>
      <w:r>
        <w:rPr>
          <w:rFonts w:ascii="Arial" w:cs="Arial" w:eastAsia="Arial" w:hAnsi="Arial"/>
          <w:sz w:val="16"/>
          <w:szCs w:val="16"/>
          <w:color w:val="auto"/>
        </w:rPr>
        <w:t>met with PwC, with and without management present, to discuss the results of its examination, management’s response to any significant findings, its observations of Biogen’s internal control, the overall quality of Biogen’s financial reporting, the selection, application and disclosure of critical accounting policies, new accounting developments and accounting-related disclosures, the key accounting judgments and assumptions made in preparing the financial statements and whether the financial statements would have materially changed had different judgments and assumptions been made and other pertinent items related to Biogen’s accounting, internal control and financial reporting;</w:t>
      </w:r>
    </w:p>
    <w:p>
      <w:pPr>
        <w:spacing w:after="0" w:line="5" w:lineRule="exact"/>
        <w:rPr>
          <w:rFonts w:ascii="Arial" w:cs="Arial" w:eastAsia="Arial" w:hAnsi="Arial"/>
          <w:sz w:val="16"/>
          <w:szCs w:val="16"/>
          <w:color w:val="1A6DBB"/>
        </w:rPr>
      </w:pPr>
    </w:p>
    <w:p>
      <w:pPr>
        <w:ind w:left="460" w:right="240" w:hanging="256"/>
        <w:spacing w:after="0" w:line="260" w:lineRule="auto"/>
        <w:tabs>
          <w:tab w:leader="none" w:pos="460" w:val="left"/>
        </w:tabs>
        <w:numPr>
          <w:ilvl w:val="0"/>
          <w:numId w:val="72"/>
        </w:numPr>
        <w:rPr>
          <w:rFonts w:ascii="Arial" w:cs="Arial" w:eastAsia="Arial" w:hAnsi="Arial"/>
          <w:sz w:val="16"/>
          <w:szCs w:val="16"/>
          <w:color w:val="1A6DBB"/>
        </w:rPr>
      </w:pPr>
      <w:r>
        <w:rPr>
          <w:rFonts w:ascii="Arial" w:cs="Arial" w:eastAsia="Arial" w:hAnsi="Arial"/>
          <w:sz w:val="16"/>
          <w:szCs w:val="16"/>
          <w:color w:val="auto"/>
        </w:rPr>
        <w:t>discussed with representatives of Biogen’s corporate internal audit staff their purpose, authority, audit plan and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354965</wp:posOffset>
            </wp:positionV>
            <wp:extent cx="685800" cy="1543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60" w:hanging="256"/>
        <w:spacing w:after="0" w:line="246" w:lineRule="auto"/>
        <w:tabs>
          <w:tab w:leader="none" w:pos="260" w:val="left"/>
        </w:tabs>
        <w:numPr>
          <w:ilvl w:val="0"/>
          <w:numId w:val="73"/>
        </w:numPr>
        <w:rPr>
          <w:rFonts w:ascii="Arial" w:cs="Arial" w:eastAsia="Arial" w:hAnsi="Arial"/>
          <w:sz w:val="16"/>
          <w:szCs w:val="16"/>
          <w:color w:val="1A6DBB"/>
        </w:rPr>
      </w:pPr>
      <w:r>
        <w:rPr>
          <w:rFonts w:ascii="Arial" w:cs="Arial" w:eastAsia="Arial" w:hAnsi="Arial"/>
          <w:sz w:val="16"/>
          <w:szCs w:val="16"/>
          <w:color w:val="auto"/>
        </w:rPr>
        <w:t>reviewed and discussed with PwC the matters required to be discussed with the Audit Committee under generally accepted auditing standards (including Public Company Accounting Oversight Board — Auditing Standard No. 1301);</w:t>
      </w:r>
    </w:p>
    <w:p>
      <w:pPr>
        <w:spacing w:after="0" w:line="1" w:lineRule="exact"/>
        <w:rPr>
          <w:rFonts w:ascii="Arial" w:cs="Arial" w:eastAsia="Arial" w:hAnsi="Arial"/>
          <w:sz w:val="16"/>
          <w:szCs w:val="16"/>
          <w:color w:val="1A6DBB"/>
        </w:rPr>
      </w:pPr>
    </w:p>
    <w:p>
      <w:pPr>
        <w:ind w:left="260" w:hanging="256"/>
        <w:spacing w:after="0" w:line="246" w:lineRule="auto"/>
        <w:tabs>
          <w:tab w:leader="none" w:pos="260" w:val="left"/>
        </w:tabs>
        <w:numPr>
          <w:ilvl w:val="0"/>
          <w:numId w:val="73"/>
        </w:numPr>
        <w:rPr>
          <w:rFonts w:ascii="Arial" w:cs="Arial" w:eastAsia="Arial" w:hAnsi="Arial"/>
          <w:sz w:val="16"/>
          <w:szCs w:val="16"/>
          <w:color w:val="1A6DBB"/>
        </w:rPr>
      </w:pPr>
      <w:r>
        <w:rPr>
          <w:rFonts w:ascii="Arial" w:cs="Arial" w:eastAsia="Arial" w:hAnsi="Arial"/>
          <w:sz w:val="16"/>
          <w:szCs w:val="16"/>
          <w:color w:val="auto"/>
        </w:rPr>
        <w:t>discussed with PwC its independence from management and Biogen, including the written disclosures and letter concerning independence received from PwC under applicable requirements of the Public Company Accounting Oversight Board. The Audit Committee has determined that the provision of non-audit services to Biogen by PwC is compatible with its independence;</w:t>
      </w:r>
    </w:p>
    <w:p>
      <w:pPr>
        <w:spacing w:after="0" w:line="2" w:lineRule="exact"/>
        <w:rPr>
          <w:rFonts w:ascii="Arial" w:cs="Arial" w:eastAsia="Arial" w:hAnsi="Arial"/>
          <w:sz w:val="16"/>
          <w:szCs w:val="16"/>
          <w:color w:val="1A6DBB"/>
        </w:rPr>
      </w:pPr>
    </w:p>
    <w:p>
      <w:pPr>
        <w:ind w:left="260" w:right="80" w:hanging="256"/>
        <w:spacing w:after="0" w:line="246" w:lineRule="auto"/>
        <w:tabs>
          <w:tab w:leader="none" w:pos="260" w:val="left"/>
        </w:tabs>
        <w:numPr>
          <w:ilvl w:val="0"/>
          <w:numId w:val="73"/>
        </w:numPr>
        <w:rPr>
          <w:rFonts w:ascii="Arial" w:cs="Arial" w:eastAsia="Arial" w:hAnsi="Arial"/>
          <w:sz w:val="16"/>
          <w:szCs w:val="16"/>
          <w:color w:val="1A6DBB"/>
        </w:rPr>
      </w:pPr>
      <w:r>
        <w:rPr>
          <w:rFonts w:ascii="Arial" w:cs="Arial" w:eastAsia="Arial" w:hAnsi="Arial"/>
          <w:sz w:val="16"/>
          <w:szCs w:val="16"/>
          <w:color w:val="auto"/>
        </w:rPr>
        <w:t>provided oversight and advice to management in connection with Biogen’s system of internal control over financial reporting in response to the requirements set forth in Section 404 of the Sarbanes-Oxley Act of 2002 and related regulations. In connection with this oversight, the Audit Committee reviewed a report by management on the effectiveness of Biogen’s internal control over financial reporting; and</w:t>
      </w:r>
    </w:p>
    <w:p>
      <w:pPr>
        <w:spacing w:after="0" w:line="2" w:lineRule="exact"/>
        <w:rPr>
          <w:rFonts w:ascii="Arial" w:cs="Arial" w:eastAsia="Arial" w:hAnsi="Arial"/>
          <w:sz w:val="16"/>
          <w:szCs w:val="16"/>
          <w:color w:val="1A6DBB"/>
        </w:rPr>
      </w:pPr>
    </w:p>
    <w:p>
      <w:pPr>
        <w:ind w:left="260" w:right="40" w:hanging="256"/>
        <w:spacing w:after="0" w:line="251" w:lineRule="auto"/>
        <w:tabs>
          <w:tab w:leader="none" w:pos="260" w:val="left"/>
        </w:tabs>
        <w:numPr>
          <w:ilvl w:val="0"/>
          <w:numId w:val="73"/>
        </w:numPr>
        <w:rPr>
          <w:rFonts w:ascii="Arial" w:cs="Arial" w:eastAsia="Arial" w:hAnsi="Arial"/>
          <w:sz w:val="16"/>
          <w:szCs w:val="16"/>
          <w:color w:val="1A6DBB"/>
        </w:rPr>
      </w:pPr>
      <w:r>
        <w:rPr>
          <w:rFonts w:ascii="Arial" w:cs="Arial" w:eastAsia="Arial" w:hAnsi="Arial"/>
          <w:sz w:val="16"/>
          <w:szCs w:val="16"/>
          <w:color w:val="auto"/>
        </w:rPr>
        <w:t>reviewed PwC’s Report of Independent Registered Public Accounting Firm included in Biogen’s Annual Report on Form 10-K for the fiscal year ended December 31, 2018, related to its audit of the effectiveness of internal control over financial reporting.</w:t>
      </w:r>
    </w:p>
    <w:p>
      <w:pPr>
        <w:spacing w:after="0" w:line="95"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In reliance on these reviews and discussions, the Audit Committee recommended to our Board of Directors that the audited consolidated financial statements be included in Biogen’s Annual Report on Form 10-K for the fiscal year ended December 31, 2018, for filing with the SEC.</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1A6DBB"/>
        </w:rPr>
        <w:t>The Audit Committee of our Board of Directors: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Caroline D. Dorsa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Nancy L. Leaming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Stelios Papadopoulos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Brian S. Posner</w:t>
      </w:r>
    </w:p>
    <w:p>
      <w:pPr>
        <w:spacing w:after="0" w:line="200" w:lineRule="exact"/>
        <w:rPr>
          <w:sz w:val="20"/>
          <w:szCs w:val="20"/>
          <w:color w:val="auto"/>
        </w:rPr>
      </w:pPr>
    </w:p>
    <w:p>
      <w:pPr>
        <w:sectPr>
          <w:pgSz w:w="11900" w:h="16838" w:orient="portrait"/>
          <w:cols w:equalWidth="0" w:num="2">
            <w:col w:w="5460" w:space="360"/>
            <w:col w:w="5380"/>
          </w:cols>
          <w:pgMar w:left="240" w:top="459" w:right="459" w:bottom="1440" w:gutter="0" w:footer="0" w:header="0"/>
          <w:type w:val="continuous"/>
        </w:sectPr>
      </w:pPr>
    </w:p>
    <w:p>
      <w:pPr>
        <w:spacing w:after="0" w:line="130"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-62865</wp:posOffset>
            </wp:positionV>
            <wp:extent cx="102870" cy="946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7" w:lineRule="exact"/>
        <w:rPr>
          <w:sz w:val="20"/>
          <w:szCs w:val="20"/>
          <w:color w:val="auto"/>
        </w:rPr>
      </w:pPr>
    </w:p>
    <w:p>
      <w:pPr>
        <w:ind w:left="460"/>
        <w:spacing w:after="0"/>
        <w:rPr>
          <w:sz w:val="20"/>
          <w:szCs w:val="20"/>
          <w:color w:val="auto"/>
        </w:rPr>
      </w:pPr>
      <w:r>
        <w:rPr>
          <w:rFonts w:ascii="Arial" w:cs="Arial" w:eastAsia="Arial" w:hAnsi="Arial"/>
          <w:sz w:val="88"/>
          <w:szCs w:val="88"/>
          <w:color w:val="1A6DBB"/>
        </w:rPr>
        <w:t xml:space="preserve">4 </w:t>
      </w:r>
      <w:r>
        <w:rPr>
          <w:rFonts w:ascii="Arial" w:cs="Arial" w:eastAsia="Arial" w:hAnsi="Arial"/>
          <w:sz w:val="40"/>
          <w:szCs w:val="40"/>
          <w:color w:val="1A6DBB"/>
        </w:rPr>
        <w:t>Audit Committee Matters</w:t>
      </w:r>
      <w:r>
        <w:rPr>
          <w:rFonts w:ascii="Arial" w:cs="Arial" w:eastAsia="Arial" w:hAnsi="Arial"/>
          <w:sz w:val="88"/>
          <w:szCs w:val="88"/>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151765</wp:posOffset>
            </wp:positionV>
            <wp:extent cx="6997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87" w:lineRule="exact"/>
        <w:rPr>
          <w:sz w:val="20"/>
          <w:szCs w:val="20"/>
          <w:color w:val="auto"/>
        </w:rPr>
      </w:pPr>
    </w:p>
    <w:p>
      <w:pPr>
        <w:ind w:left="200"/>
        <w:spacing w:after="0"/>
        <w:rPr>
          <w:sz w:val="20"/>
          <w:szCs w:val="20"/>
          <w:color w:val="auto"/>
        </w:rPr>
      </w:pPr>
      <w:r>
        <w:rPr>
          <w:rFonts w:ascii="Arial" w:cs="Arial" w:eastAsia="Arial" w:hAnsi="Arial"/>
          <w:sz w:val="22"/>
          <w:szCs w:val="22"/>
          <w:color w:val="1A6DBB"/>
        </w:rPr>
        <w:t>Audit and Other Fees</w:t>
      </w:r>
    </w:p>
    <w:p>
      <w:pPr>
        <w:spacing w:after="0" w:line="174" w:lineRule="exact"/>
        <w:rPr>
          <w:sz w:val="20"/>
          <w:szCs w:val="20"/>
          <w:color w:val="auto"/>
        </w:rPr>
      </w:pPr>
    </w:p>
    <w:p>
      <w:pPr>
        <w:ind w:left="220" w:right="80"/>
        <w:spacing w:after="0" w:line="251" w:lineRule="auto"/>
        <w:rPr>
          <w:sz w:val="20"/>
          <w:szCs w:val="20"/>
          <w:color w:val="auto"/>
        </w:rPr>
      </w:pPr>
      <w:r>
        <w:rPr>
          <w:rFonts w:ascii="Arial" w:cs="Arial" w:eastAsia="Arial" w:hAnsi="Arial"/>
          <w:sz w:val="16"/>
          <w:szCs w:val="16"/>
          <w:color w:val="auto"/>
        </w:rPr>
        <w:t>The following table shows fees for professional audit services billed to us by PwC for the audit of our annual consolidated financial statements for the years ended December 31, 2018, and December 31, 2017, and fees billed to us by PwC for other services provided during 2018 and 2017:</w:t>
      </w:r>
    </w:p>
    <w:p>
      <w:pPr>
        <w:spacing w:after="0" w:line="228" w:lineRule="exact"/>
        <w:rPr>
          <w:sz w:val="20"/>
          <w:szCs w:val="20"/>
          <w:color w:val="auto"/>
        </w:rPr>
      </w:pPr>
    </w:p>
    <w:tbl>
      <w:tblPr>
        <w:tblLayout w:type="fixed"/>
        <w:tblInd w:w="220" w:type="dxa"/>
        <w:tblCellMar>
          <w:top w:w="0" w:type="dxa"/>
          <w:left w:w="0" w:type="dxa"/>
          <w:bottom w:w="0" w:type="dxa"/>
          <w:right w:w="0" w:type="dxa"/>
        </w:tblCellMar>
      </w:tblPr>
      <w:tr>
        <w:trPr>
          <w:trHeight w:val="166"/>
        </w:trPr>
        <w:tc>
          <w:tcPr>
            <w:tcW w:w="3060" w:type="dxa"/>
            <w:vAlign w:val="bottom"/>
            <w:shd w:val="clear" w:color="auto" w:fill="1A6DBB"/>
          </w:tcPr>
          <w:p>
            <w:pPr>
              <w:spacing w:after="0"/>
              <w:rPr>
                <w:sz w:val="20"/>
                <w:szCs w:val="20"/>
                <w:color w:val="auto"/>
              </w:rPr>
            </w:pPr>
            <w:r>
              <w:rPr>
                <w:rFonts w:ascii="Arial" w:cs="Arial" w:eastAsia="Arial" w:hAnsi="Arial"/>
                <w:sz w:val="14"/>
                <w:szCs w:val="14"/>
                <w:color w:val="FFFFFF"/>
              </w:rPr>
              <w:t>Fees</w:t>
            </w:r>
          </w:p>
        </w:tc>
        <w:tc>
          <w:tcPr>
            <w:tcW w:w="1280" w:type="dxa"/>
            <w:vAlign w:val="bottom"/>
            <w:shd w:val="clear" w:color="auto" w:fill="1A6DBB"/>
          </w:tcPr>
          <w:p>
            <w:pPr>
              <w:spacing w:after="0"/>
              <w:rPr>
                <w:sz w:val="14"/>
                <w:szCs w:val="14"/>
                <w:color w:val="auto"/>
              </w:rPr>
            </w:pPr>
          </w:p>
        </w:tc>
        <w:tc>
          <w:tcPr>
            <w:tcW w:w="940" w:type="dxa"/>
            <w:vAlign w:val="bottom"/>
            <w:shd w:val="clear" w:color="auto" w:fill="1A6DBB"/>
          </w:tcPr>
          <w:p>
            <w:pPr>
              <w:spacing w:after="0"/>
              <w:rPr>
                <w:sz w:val="14"/>
                <w:szCs w:val="14"/>
                <w:color w:val="auto"/>
              </w:rPr>
            </w:pPr>
          </w:p>
        </w:tc>
      </w:tr>
      <w:tr>
        <w:trPr>
          <w:trHeight w:val="185"/>
        </w:trPr>
        <w:tc>
          <w:tcPr>
            <w:tcW w:w="3060" w:type="dxa"/>
            <w:vAlign w:val="bottom"/>
            <w:shd w:val="clear" w:color="auto" w:fill="1A6DBB"/>
          </w:tcPr>
          <w:p>
            <w:pPr>
              <w:spacing w:after="0"/>
              <w:rPr>
                <w:sz w:val="20"/>
                <w:szCs w:val="20"/>
                <w:color w:val="auto"/>
              </w:rPr>
            </w:pPr>
            <w:r>
              <w:rPr>
                <w:rFonts w:ascii="Arial" w:cs="Arial" w:eastAsia="Arial" w:hAnsi="Arial"/>
                <w:sz w:val="14"/>
                <w:szCs w:val="14"/>
                <w:i w:val="1"/>
                <w:iCs w:val="1"/>
                <w:color w:val="FFFFFF"/>
              </w:rPr>
              <w:t>(amounts in thousands)</w:t>
            </w:r>
          </w:p>
        </w:tc>
        <w:tc>
          <w:tcPr>
            <w:tcW w:w="1280" w:type="dxa"/>
            <w:vAlign w:val="bottom"/>
            <w:shd w:val="clear" w:color="auto" w:fill="1A6DBB"/>
          </w:tcPr>
          <w:p>
            <w:pPr>
              <w:jc w:val="right"/>
              <w:ind w:right="320"/>
              <w:spacing w:after="0"/>
              <w:rPr>
                <w:sz w:val="20"/>
                <w:szCs w:val="20"/>
                <w:color w:val="auto"/>
              </w:rPr>
            </w:pPr>
            <w:r>
              <w:rPr>
                <w:rFonts w:ascii="Arial" w:cs="Arial" w:eastAsia="Arial" w:hAnsi="Arial"/>
                <w:sz w:val="14"/>
                <w:szCs w:val="14"/>
                <w:color w:val="FFFFFF"/>
              </w:rPr>
              <w:t>2018</w:t>
            </w:r>
          </w:p>
        </w:tc>
        <w:tc>
          <w:tcPr>
            <w:tcW w:w="940" w:type="dxa"/>
            <w:vAlign w:val="bottom"/>
            <w:shd w:val="clear" w:color="auto" w:fill="1A6DBB"/>
          </w:tcPr>
          <w:p>
            <w:pPr>
              <w:jc w:val="right"/>
              <w:ind w:right="140"/>
              <w:spacing w:after="0"/>
              <w:rPr>
                <w:sz w:val="20"/>
                <w:szCs w:val="20"/>
                <w:color w:val="auto"/>
              </w:rPr>
            </w:pPr>
            <w:r>
              <w:rPr>
                <w:rFonts w:ascii="Arial" w:cs="Arial" w:eastAsia="Arial" w:hAnsi="Arial"/>
                <w:sz w:val="14"/>
                <w:szCs w:val="14"/>
                <w:color w:val="FFFFFF"/>
              </w:rPr>
              <w:t>2017</w:t>
            </w:r>
          </w:p>
        </w:tc>
      </w:tr>
      <w:tr>
        <w:trPr>
          <w:trHeight w:val="189"/>
        </w:trPr>
        <w:tc>
          <w:tcPr>
            <w:tcW w:w="3060" w:type="dxa"/>
            <w:vAlign w:val="bottom"/>
            <w:shd w:val="clear" w:color="auto" w:fill="E8F0F8"/>
          </w:tcPr>
          <w:p>
            <w:pPr>
              <w:spacing w:after="0"/>
              <w:rPr>
                <w:sz w:val="20"/>
                <w:szCs w:val="20"/>
                <w:color w:val="auto"/>
              </w:rPr>
            </w:pPr>
            <w:r>
              <w:rPr>
                <w:rFonts w:ascii="Arial" w:cs="Arial" w:eastAsia="Arial" w:hAnsi="Arial"/>
                <w:sz w:val="16"/>
                <w:szCs w:val="16"/>
                <w:color w:val="auto"/>
              </w:rPr>
              <w:t>Audit fees</w:t>
            </w:r>
          </w:p>
        </w:tc>
        <w:tc>
          <w:tcPr>
            <w:tcW w:w="1280" w:type="dxa"/>
            <w:vAlign w:val="bottom"/>
            <w:shd w:val="clear" w:color="auto" w:fill="E8F0F8"/>
          </w:tcPr>
          <w:p>
            <w:pPr>
              <w:jc w:val="right"/>
              <w:ind w:right="160"/>
              <w:spacing w:after="0"/>
              <w:rPr>
                <w:sz w:val="20"/>
                <w:szCs w:val="20"/>
                <w:color w:val="auto"/>
              </w:rPr>
            </w:pPr>
            <w:r>
              <w:rPr>
                <w:rFonts w:ascii="Arial" w:cs="Arial" w:eastAsia="Arial" w:hAnsi="Arial"/>
                <w:sz w:val="16"/>
                <w:szCs w:val="16"/>
                <w:color w:val="auto"/>
              </w:rPr>
              <w:t>$5,177.6</w:t>
            </w:r>
          </w:p>
        </w:tc>
        <w:tc>
          <w:tcPr>
            <w:tcW w:w="940" w:type="dxa"/>
            <w:vAlign w:val="bottom"/>
            <w:shd w:val="clear" w:color="auto" w:fill="E8F0F8"/>
          </w:tcPr>
          <w:p>
            <w:pPr>
              <w:jc w:val="right"/>
              <w:spacing w:after="0"/>
              <w:rPr>
                <w:sz w:val="20"/>
                <w:szCs w:val="20"/>
                <w:color w:val="auto"/>
              </w:rPr>
            </w:pPr>
            <w:r>
              <w:rPr>
                <w:rFonts w:ascii="Arial" w:cs="Arial" w:eastAsia="Arial" w:hAnsi="Arial"/>
                <w:sz w:val="16"/>
                <w:szCs w:val="16"/>
                <w:color w:val="auto"/>
              </w:rPr>
              <w:t>$5,036.3</w:t>
            </w:r>
          </w:p>
        </w:tc>
      </w:tr>
      <w:tr>
        <w:trPr>
          <w:trHeight w:val="189"/>
        </w:trPr>
        <w:tc>
          <w:tcPr>
            <w:tcW w:w="3060" w:type="dxa"/>
            <w:vAlign w:val="bottom"/>
            <w:shd w:val="clear" w:color="auto" w:fill="BAD3EA"/>
          </w:tcPr>
          <w:p>
            <w:pPr>
              <w:spacing w:after="0"/>
              <w:rPr>
                <w:sz w:val="20"/>
                <w:szCs w:val="20"/>
                <w:color w:val="auto"/>
              </w:rPr>
            </w:pPr>
            <w:r>
              <w:rPr>
                <w:rFonts w:ascii="Arial" w:cs="Arial" w:eastAsia="Arial" w:hAnsi="Arial"/>
                <w:sz w:val="16"/>
                <w:szCs w:val="16"/>
                <w:color w:val="auto"/>
              </w:rPr>
              <w:t>Audit-related fees</w:t>
            </w:r>
          </w:p>
        </w:tc>
        <w:tc>
          <w:tcPr>
            <w:tcW w:w="1280" w:type="dxa"/>
            <w:vAlign w:val="bottom"/>
            <w:shd w:val="clear" w:color="auto" w:fill="BAD3EA"/>
          </w:tcPr>
          <w:p>
            <w:pPr>
              <w:jc w:val="right"/>
              <w:ind w:right="160"/>
              <w:spacing w:after="0"/>
              <w:rPr>
                <w:sz w:val="20"/>
                <w:szCs w:val="20"/>
                <w:color w:val="auto"/>
              </w:rPr>
            </w:pPr>
            <w:r>
              <w:rPr>
                <w:rFonts w:ascii="Arial" w:cs="Arial" w:eastAsia="Arial" w:hAnsi="Arial"/>
                <w:sz w:val="16"/>
                <w:szCs w:val="16"/>
                <w:color w:val="auto"/>
              </w:rPr>
              <w:t>302.0</w:t>
            </w:r>
          </w:p>
        </w:tc>
        <w:tc>
          <w:tcPr>
            <w:tcW w:w="940" w:type="dxa"/>
            <w:vAlign w:val="bottom"/>
            <w:shd w:val="clear" w:color="auto" w:fill="BAD3EA"/>
          </w:tcPr>
          <w:p>
            <w:pPr>
              <w:jc w:val="right"/>
              <w:spacing w:after="0"/>
              <w:rPr>
                <w:sz w:val="20"/>
                <w:szCs w:val="20"/>
                <w:color w:val="auto"/>
              </w:rPr>
            </w:pPr>
            <w:r>
              <w:rPr>
                <w:rFonts w:ascii="Arial" w:cs="Arial" w:eastAsia="Arial" w:hAnsi="Arial"/>
                <w:sz w:val="16"/>
                <w:szCs w:val="16"/>
                <w:color w:val="auto"/>
              </w:rPr>
              <w:t>281.2</w:t>
            </w:r>
          </w:p>
        </w:tc>
      </w:tr>
      <w:tr>
        <w:trPr>
          <w:trHeight w:val="189"/>
        </w:trPr>
        <w:tc>
          <w:tcPr>
            <w:tcW w:w="3060" w:type="dxa"/>
            <w:vAlign w:val="bottom"/>
            <w:shd w:val="clear" w:color="auto" w:fill="E8F0F8"/>
          </w:tcPr>
          <w:p>
            <w:pPr>
              <w:spacing w:after="0"/>
              <w:rPr>
                <w:sz w:val="20"/>
                <w:szCs w:val="20"/>
                <w:color w:val="auto"/>
              </w:rPr>
            </w:pPr>
            <w:r>
              <w:rPr>
                <w:rFonts w:ascii="Arial" w:cs="Arial" w:eastAsia="Arial" w:hAnsi="Arial"/>
                <w:sz w:val="16"/>
                <w:szCs w:val="16"/>
                <w:color w:val="auto"/>
              </w:rPr>
              <w:t>Tax fees*</w:t>
            </w:r>
          </w:p>
        </w:tc>
        <w:tc>
          <w:tcPr>
            <w:tcW w:w="1280" w:type="dxa"/>
            <w:vAlign w:val="bottom"/>
            <w:shd w:val="clear" w:color="auto" w:fill="E8F0F8"/>
          </w:tcPr>
          <w:p>
            <w:pPr>
              <w:jc w:val="right"/>
              <w:ind w:right="160"/>
              <w:spacing w:after="0"/>
              <w:rPr>
                <w:sz w:val="20"/>
                <w:szCs w:val="20"/>
                <w:color w:val="auto"/>
              </w:rPr>
            </w:pPr>
            <w:r>
              <w:rPr>
                <w:rFonts w:ascii="Arial" w:cs="Arial" w:eastAsia="Arial" w:hAnsi="Arial"/>
                <w:sz w:val="16"/>
                <w:szCs w:val="16"/>
                <w:color w:val="auto"/>
              </w:rPr>
              <w:t>609.0</w:t>
            </w:r>
          </w:p>
        </w:tc>
        <w:tc>
          <w:tcPr>
            <w:tcW w:w="940" w:type="dxa"/>
            <w:vAlign w:val="bottom"/>
            <w:shd w:val="clear" w:color="auto" w:fill="E8F0F8"/>
          </w:tcPr>
          <w:p>
            <w:pPr>
              <w:jc w:val="right"/>
              <w:spacing w:after="0"/>
              <w:rPr>
                <w:sz w:val="20"/>
                <w:szCs w:val="20"/>
                <w:color w:val="auto"/>
              </w:rPr>
            </w:pPr>
            <w:r>
              <w:rPr>
                <w:rFonts w:ascii="Arial" w:cs="Arial" w:eastAsia="Arial" w:hAnsi="Arial"/>
                <w:sz w:val="16"/>
                <w:szCs w:val="16"/>
                <w:color w:val="auto"/>
              </w:rPr>
              <w:t>381.0</w:t>
            </w:r>
          </w:p>
        </w:tc>
      </w:tr>
      <w:tr>
        <w:trPr>
          <w:trHeight w:val="189"/>
        </w:trPr>
        <w:tc>
          <w:tcPr>
            <w:tcW w:w="3060" w:type="dxa"/>
            <w:vAlign w:val="bottom"/>
            <w:shd w:val="clear" w:color="auto" w:fill="BAD3EA"/>
          </w:tcPr>
          <w:p>
            <w:pPr>
              <w:spacing w:after="0"/>
              <w:rPr>
                <w:sz w:val="20"/>
                <w:szCs w:val="20"/>
                <w:color w:val="auto"/>
              </w:rPr>
            </w:pPr>
            <w:r>
              <w:rPr>
                <w:rFonts w:ascii="Arial" w:cs="Arial" w:eastAsia="Arial" w:hAnsi="Arial"/>
                <w:sz w:val="16"/>
                <w:szCs w:val="16"/>
                <w:color w:val="auto"/>
              </w:rPr>
              <w:t>All other fees</w:t>
            </w:r>
          </w:p>
        </w:tc>
        <w:tc>
          <w:tcPr>
            <w:tcW w:w="1280" w:type="dxa"/>
            <w:vAlign w:val="bottom"/>
            <w:shd w:val="clear" w:color="auto" w:fill="BAD3EA"/>
          </w:tcPr>
          <w:p>
            <w:pPr>
              <w:jc w:val="right"/>
              <w:ind w:right="160"/>
              <w:spacing w:after="0"/>
              <w:rPr>
                <w:sz w:val="20"/>
                <w:szCs w:val="20"/>
                <w:color w:val="auto"/>
              </w:rPr>
            </w:pPr>
            <w:r>
              <w:rPr>
                <w:rFonts w:ascii="Arial" w:cs="Arial" w:eastAsia="Arial" w:hAnsi="Arial"/>
                <w:sz w:val="16"/>
                <w:szCs w:val="16"/>
                <w:color w:val="auto"/>
              </w:rPr>
              <w:t>322.1</w:t>
            </w:r>
          </w:p>
        </w:tc>
        <w:tc>
          <w:tcPr>
            <w:tcW w:w="940" w:type="dxa"/>
            <w:vAlign w:val="bottom"/>
            <w:shd w:val="clear" w:color="auto" w:fill="BAD3EA"/>
          </w:tcPr>
          <w:p>
            <w:pPr>
              <w:jc w:val="right"/>
              <w:spacing w:after="0"/>
              <w:rPr>
                <w:sz w:val="20"/>
                <w:szCs w:val="20"/>
                <w:color w:val="auto"/>
              </w:rPr>
            </w:pPr>
            <w:r>
              <w:rPr>
                <w:rFonts w:ascii="Arial" w:cs="Arial" w:eastAsia="Arial" w:hAnsi="Arial"/>
                <w:sz w:val="16"/>
                <w:szCs w:val="16"/>
                <w:color w:val="auto"/>
              </w:rPr>
              <w:t>7.1</w:t>
            </w:r>
          </w:p>
        </w:tc>
      </w:tr>
      <w:tr>
        <w:trPr>
          <w:trHeight w:val="189"/>
        </w:trPr>
        <w:tc>
          <w:tcPr>
            <w:tcW w:w="3060" w:type="dxa"/>
            <w:vAlign w:val="bottom"/>
            <w:tcBorders>
              <w:bottom w:val="single" w:sz="8" w:color="auto"/>
            </w:tcBorders>
            <w:shd w:val="clear" w:color="auto" w:fill="E8F0F8"/>
          </w:tcPr>
          <w:p>
            <w:pPr>
              <w:spacing w:after="0"/>
              <w:rPr>
                <w:sz w:val="20"/>
                <w:szCs w:val="20"/>
                <w:color w:val="auto"/>
              </w:rPr>
            </w:pPr>
            <w:r>
              <w:rPr>
                <w:rFonts w:ascii="Arial" w:cs="Arial" w:eastAsia="Arial" w:hAnsi="Arial"/>
                <w:sz w:val="16"/>
                <w:szCs w:val="16"/>
                <w:b w:val="1"/>
                <w:bCs w:val="1"/>
                <w:color w:val="auto"/>
              </w:rPr>
              <w:t>Total</w:t>
            </w:r>
          </w:p>
        </w:tc>
        <w:tc>
          <w:tcPr>
            <w:tcW w:w="1280" w:type="dxa"/>
            <w:vAlign w:val="bottom"/>
            <w:tcBorders>
              <w:bottom w:val="single" w:sz="8" w:color="auto"/>
            </w:tcBorders>
            <w:shd w:val="clear" w:color="auto" w:fill="E8F0F8"/>
          </w:tcPr>
          <w:p>
            <w:pPr>
              <w:jc w:val="right"/>
              <w:ind w:right="160"/>
              <w:spacing w:after="0"/>
              <w:rPr>
                <w:sz w:val="20"/>
                <w:szCs w:val="20"/>
                <w:color w:val="auto"/>
              </w:rPr>
            </w:pPr>
            <w:r>
              <w:rPr>
                <w:rFonts w:ascii="Arial" w:cs="Arial" w:eastAsia="Arial" w:hAnsi="Arial"/>
                <w:sz w:val="16"/>
                <w:szCs w:val="16"/>
                <w:b w:val="1"/>
                <w:bCs w:val="1"/>
                <w:color w:val="auto"/>
              </w:rPr>
              <w:t>$6,410.7</w:t>
            </w:r>
          </w:p>
        </w:tc>
        <w:tc>
          <w:tcPr>
            <w:tcW w:w="94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6"/>
                <w:szCs w:val="16"/>
                <w:b w:val="1"/>
                <w:bCs w:val="1"/>
                <w:color w:val="auto"/>
              </w:rPr>
              <w:t>$5,705.6</w:t>
            </w:r>
          </w:p>
        </w:tc>
      </w:tr>
    </w:tbl>
    <w:p>
      <w:pPr>
        <w:spacing w:after="0" w:line="5" w:lineRule="exact"/>
        <w:rPr>
          <w:sz w:val="20"/>
          <w:szCs w:val="20"/>
          <w:color w:val="auto"/>
        </w:rPr>
      </w:pPr>
    </w:p>
    <w:p>
      <w:pPr>
        <w:ind w:left="420" w:hanging="209"/>
        <w:spacing w:after="0"/>
        <w:tabs>
          <w:tab w:leader="none" w:pos="4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tax compliance fees of approximately $0.1 million in 2018 and 2017.</w:t>
      </w:r>
    </w:p>
    <w:p>
      <w:pPr>
        <w:spacing w:after="0" w:line="90" w:lineRule="exact"/>
        <w:rPr>
          <w:sz w:val="20"/>
          <w:szCs w:val="20"/>
          <w:color w:val="auto"/>
        </w:rPr>
      </w:pPr>
    </w:p>
    <w:p>
      <w:pPr>
        <w:ind w:left="220" w:right="80"/>
        <w:spacing w:after="0" w:line="258" w:lineRule="auto"/>
        <w:rPr>
          <w:sz w:val="20"/>
          <w:szCs w:val="20"/>
          <w:color w:val="auto"/>
        </w:rPr>
      </w:pPr>
      <w:r>
        <w:rPr>
          <w:rFonts w:ascii="Arial" w:cs="Arial" w:eastAsia="Arial" w:hAnsi="Arial"/>
          <w:sz w:val="16"/>
          <w:szCs w:val="16"/>
          <w:i w:val="1"/>
          <w:iCs w:val="1"/>
          <w:color w:val="1A6DBB"/>
        </w:rPr>
        <w:t xml:space="preserve">Audit fees </w:t>
      </w:r>
      <w:r>
        <w:rPr>
          <w:rFonts w:ascii="Arial" w:cs="Arial" w:eastAsia="Arial" w:hAnsi="Arial"/>
          <w:sz w:val="16"/>
          <w:szCs w:val="16"/>
          <w:color w:val="000000"/>
        </w:rPr>
        <w:t>are fees for the audit of our 2018 and 2017 consolidated</w:t>
      </w:r>
      <w:r>
        <w:rPr>
          <w:rFonts w:ascii="Arial" w:cs="Arial" w:eastAsia="Arial" w:hAnsi="Arial"/>
          <w:sz w:val="16"/>
          <w:szCs w:val="16"/>
          <w:i w:val="1"/>
          <w:iCs w:val="1"/>
          <w:color w:val="1A6DBB"/>
        </w:rPr>
        <w:t xml:space="preserve"> </w:t>
      </w:r>
      <w:r>
        <w:rPr>
          <w:rFonts w:ascii="Arial" w:cs="Arial" w:eastAsia="Arial" w:hAnsi="Arial"/>
          <w:sz w:val="16"/>
          <w:szCs w:val="16"/>
          <w:color w:val="000000"/>
        </w:rPr>
        <w:t>financial statements included in our Annual Reports on Form 10-K, reviews of our condensed consolidated financial statements included in our Quarterly Reports on Form 10-Q, review of the consolidated financial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statements incorporated by reference into our outstanding registration statements and statutory audit fees in overseas jurisdictions.</w:t>
      </w:r>
    </w:p>
    <w:p>
      <w:pPr>
        <w:spacing w:after="0" w:line="72" w:lineRule="exact"/>
        <w:rPr>
          <w:sz w:val="20"/>
          <w:szCs w:val="20"/>
          <w:color w:val="auto"/>
        </w:rPr>
      </w:pPr>
    </w:p>
    <w:p>
      <w:pPr>
        <w:spacing w:after="0" w:line="252" w:lineRule="auto"/>
        <w:rPr>
          <w:sz w:val="20"/>
          <w:szCs w:val="20"/>
          <w:color w:val="auto"/>
        </w:rPr>
      </w:pPr>
      <w:r>
        <w:rPr>
          <w:rFonts w:ascii="Arial" w:cs="Arial" w:eastAsia="Arial" w:hAnsi="Arial"/>
          <w:sz w:val="16"/>
          <w:szCs w:val="16"/>
          <w:i w:val="1"/>
          <w:iCs w:val="1"/>
          <w:color w:val="1A6DBB"/>
        </w:rPr>
        <w:t xml:space="preserve">Audit-related fees </w:t>
      </w:r>
      <w:r>
        <w:rPr>
          <w:rFonts w:ascii="Arial" w:cs="Arial" w:eastAsia="Arial" w:hAnsi="Arial"/>
          <w:sz w:val="16"/>
          <w:szCs w:val="16"/>
          <w:color w:val="000000"/>
        </w:rPr>
        <w:t>are fees that principally relate to assurance and related</w:t>
      </w:r>
      <w:r>
        <w:rPr>
          <w:rFonts w:ascii="Arial" w:cs="Arial" w:eastAsia="Arial" w:hAnsi="Arial"/>
          <w:sz w:val="16"/>
          <w:szCs w:val="16"/>
          <w:i w:val="1"/>
          <w:iCs w:val="1"/>
          <w:color w:val="1A6DBB"/>
        </w:rPr>
        <w:t xml:space="preserve"> </w:t>
      </w:r>
      <w:r>
        <w:rPr>
          <w:rFonts w:ascii="Arial" w:cs="Arial" w:eastAsia="Arial" w:hAnsi="Arial"/>
          <w:sz w:val="16"/>
          <w:szCs w:val="16"/>
          <w:color w:val="000000"/>
        </w:rPr>
        <w:t>services that are also performed by our independent registered public accounting firm. More specifically, these services include audits of employee benefit plan information, accounting consultations, due diligence and audits in connection with business development activity, internal control reviews and attest services related to financial reporting that are not required by statute or regulation.</w:t>
      </w:r>
    </w:p>
    <w:p>
      <w:pPr>
        <w:spacing w:after="0" w:line="79" w:lineRule="exact"/>
        <w:rPr>
          <w:sz w:val="20"/>
          <w:szCs w:val="20"/>
          <w:color w:val="auto"/>
        </w:rPr>
      </w:pPr>
    </w:p>
    <w:p>
      <w:pPr>
        <w:jc w:val="both"/>
        <w:ind w:right="160"/>
        <w:spacing w:after="0" w:line="264" w:lineRule="auto"/>
        <w:rPr>
          <w:sz w:val="20"/>
          <w:szCs w:val="20"/>
          <w:color w:val="auto"/>
        </w:rPr>
      </w:pPr>
      <w:r>
        <w:rPr>
          <w:rFonts w:ascii="Arial" w:cs="Arial" w:eastAsia="Arial" w:hAnsi="Arial"/>
          <w:sz w:val="16"/>
          <w:szCs w:val="16"/>
          <w:i w:val="1"/>
          <w:iCs w:val="1"/>
          <w:color w:val="1A6DBB"/>
        </w:rPr>
        <w:t xml:space="preserve">Tax fees </w:t>
      </w:r>
      <w:r>
        <w:rPr>
          <w:rFonts w:ascii="Arial" w:cs="Arial" w:eastAsia="Arial" w:hAnsi="Arial"/>
          <w:sz w:val="16"/>
          <w:szCs w:val="16"/>
          <w:color w:val="000000"/>
        </w:rPr>
        <w:t>are fees for tax compliance and planning services. The increase</w:t>
      </w:r>
      <w:r>
        <w:rPr>
          <w:rFonts w:ascii="Arial" w:cs="Arial" w:eastAsia="Arial" w:hAnsi="Arial"/>
          <w:sz w:val="16"/>
          <w:szCs w:val="16"/>
          <w:i w:val="1"/>
          <w:iCs w:val="1"/>
          <w:color w:val="1A6DBB"/>
        </w:rPr>
        <w:t xml:space="preserve"> </w:t>
      </w:r>
      <w:r>
        <w:rPr>
          <w:rFonts w:ascii="Arial" w:cs="Arial" w:eastAsia="Arial" w:hAnsi="Arial"/>
          <w:sz w:val="16"/>
          <w:szCs w:val="16"/>
          <w:color w:val="000000"/>
        </w:rPr>
        <w:t>in fees incurred in 2018 is driven by incremental support for international tax matters.</w:t>
      </w:r>
    </w:p>
    <w:p>
      <w:pPr>
        <w:spacing w:after="0" w:line="68"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i w:val="1"/>
          <w:iCs w:val="1"/>
          <w:color w:val="1A6DBB"/>
        </w:rPr>
        <w:t xml:space="preserve">All other fees </w:t>
      </w:r>
      <w:r>
        <w:rPr>
          <w:rFonts w:ascii="Arial" w:cs="Arial" w:eastAsia="Arial" w:hAnsi="Arial"/>
          <w:sz w:val="16"/>
          <w:szCs w:val="16"/>
          <w:color w:val="000000"/>
        </w:rPr>
        <w:t>in 2018 include $0.3 million related to consultation services</w:t>
      </w:r>
      <w:r>
        <w:rPr>
          <w:rFonts w:ascii="Arial" w:cs="Arial" w:eastAsia="Arial" w:hAnsi="Arial"/>
          <w:sz w:val="16"/>
          <w:szCs w:val="16"/>
          <w:i w:val="1"/>
          <w:iCs w:val="1"/>
          <w:color w:val="1A6DBB"/>
        </w:rPr>
        <w:t xml:space="preserve"> </w:t>
      </w:r>
      <w:r>
        <w:rPr>
          <w:rFonts w:ascii="Arial" w:cs="Arial" w:eastAsia="Arial" w:hAnsi="Arial"/>
          <w:sz w:val="16"/>
          <w:szCs w:val="16"/>
          <w:color w:val="000000"/>
        </w:rPr>
        <w:t>with respect to supply chain optimization strategies for the development of new products and services. All other fees in 2018 and 2017 also include license fees for a web-based accounting research tool.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-3561080</wp:posOffset>
            </wp:positionH>
            <wp:positionV relativeFrom="paragraph">
              <wp:posOffset>321310</wp:posOffset>
            </wp:positionV>
            <wp:extent cx="6997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340" w:lineRule="exact"/>
        <w:rPr>
          <w:sz w:val="20"/>
          <w:szCs w:val="20"/>
          <w:color w:val="auto"/>
        </w:rPr>
      </w:pPr>
    </w:p>
    <w:p>
      <w:pPr>
        <w:ind w:left="200"/>
        <w:spacing w:after="0"/>
        <w:rPr>
          <w:sz w:val="20"/>
          <w:szCs w:val="20"/>
          <w:color w:val="auto"/>
        </w:rPr>
      </w:pPr>
      <w:r>
        <w:rPr>
          <w:rFonts w:ascii="Arial" w:cs="Arial" w:eastAsia="Arial" w:hAnsi="Arial"/>
          <w:sz w:val="21"/>
          <w:szCs w:val="21"/>
          <w:color w:val="1A6DBB"/>
        </w:rPr>
        <w:t>Policy on Pre-Approval of Audit and Non-Audit Services</w:t>
      </w:r>
    </w:p>
    <w:p>
      <w:pPr>
        <w:spacing w:after="0" w:line="186" w:lineRule="exact"/>
        <w:rPr>
          <w:sz w:val="20"/>
          <w:szCs w:val="20"/>
          <w:color w:val="auto"/>
        </w:rPr>
      </w:pPr>
    </w:p>
    <w:p>
      <w:pPr>
        <w:ind w:left="200" w:right="60"/>
        <w:spacing w:after="0" w:line="247" w:lineRule="auto"/>
        <w:rPr>
          <w:sz w:val="20"/>
          <w:szCs w:val="20"/>
          <w:color w:val="auto"/>
        </w:rPr>
      </w:pPr>
      <w:r>
        <w:rPr>
          <w:rFonts w:ascii="Arial" w:cs="Arial" w:eastAsia="Arial" w:hAnsi="Arial"/>
          <w:sz w:val="16"/>
          <w:szCs w:val="16"/>
          <w:color w:val="auto"/>
        </w:rPr>
        <w:t>Our Audit Committee has the sole authority to approve the scope of the audit and any audit-related services as well as all audit fees and terms. Our Audit Committee must pre-approve any audit and non-audit services provided by our independent registered public accounting firm. Our Audit Committee will not approve the engagement of the independent registered public accounting firm to perform any services that the independent registered public accounting firm would be prohibited from providing under applicable securities laws, Nasdaq requirements or Public Company Accounting Oversight Board rules. In assessing whether to approve the use of our independent registered public accounting firm to provide permitted non-audit services, our Audit Committee tries to minimize relationships that could appear to impair the objectivity of our independent registered public accounting firm. Our Audit Committee will approve permitted non-audit services by our independent registered public accounting firm only when it will be more effective or economical to have such services provided by our independent registered public accounting firm than by another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175895</wp:posOffset>
            </wp:positionV>
            <wp:extent cx="685800" cy="1543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300"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Our Audit Committee annually reviews and pre-approves the audit, audit-related, tax and other permissible non-audit services that can be provided by the independent registered public accounting firm. After the annual review, any proposed services exceeding pre-set levels or amounts, or additional services not previously approved requires separate pre-approval by our Audit Committee or the Chair of our Audit Committee. Any pre-approval decision made by the Chair of our Audit Committee is reported to our Audit Committee at the next regularly scheduled Audit Committee meeting. Our Chief Financial Officer and our Chief Accounting Officer can approve up to an additional $50,000 in the aggregate per calendar year for categories of services that our Audit Committee (or the Chair through its delegated authority) has pre-approved.</w:t>
      </w:r>
    </w:p>
    <w:p>
      <w:pPr>
        <w:spacing w:after="0" w:line="105" w:lineRule="exact"/>
        <w:rPr>
          <w:sz w:val="20"/>
          <w:szCs w:val="20"/>
          <w:color w:val="auto"/>
        </w:rPr>
      </w:pPr>
    </w:p>
    <w:p>
      <w:pPr>
        <w:ind w:right="840"/>
        <w:spacing w:after="0" w:line="260" w:lineRule="auto"/>
        <w:rPr>
          <w:sz w:val="20"/>
          <w:szCs w:val="20"/>
          <w:color w:val="auto"/>
        </w:rPr>
      </w:pPr>
      <w:r>
        <w:rPr>
          <w:rFonts w:ascii="Arial" w:cs="Arial" w:eastAsia="Arial" w:hAnsi="Arial"/>
          <w:sz w:val="16"/>
          <w:szCs w:val="16"/>
          <w:color w:val="auto"/>
        </w:rPr>
        <w:t>All of the services provided by PwC during 2018 and 2017 were pre-approved in accordance with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3333115</wp:posOffset>
            </wp:positionH>
            <wp:positionV relativeFrom="paragraph">
              <wp:posOffset>508635</wp:posOffset>
            </wp:positionV>
            <wp:extent cx="102870" cy="946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2">
            <w:col w:w="5520" w:space="300"/>
            <w:col w:w="5400"/>
          </w:cols>
          <w:pgMar w:left="240" w:top="459" w:right="4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75"/>
        </w:numPr>
        <w:rPr>
          <w:rFonts w:ascii="Arial" w:cs="Arial" w:eastAsia="Arial" w:hAnsi="Arial"/>
          <w:sz w:val="90"/>
          <w:szCs w:val="90"/>
          <w:color w:val="1A6DBB"/>
        </w:rPr>
      </w:pPr>
      <w:r>
        <w:rPr>
          <w:rFonts w:ascii="Arial" w:cs="Arial" w:eastAsia="Arial" w:hAnsi="Arial"/>
          <w:sz w:val="41"/>
          <w:szCs w:val="41"/>
          <w:color w:val="1A6DBB"/>
        </w:rPr>
        <w:t>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394335</wp:posOffset>
            </wp:positionV>
            <wp:extent cx="6869430" cy="4718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6943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0"/>
        <w:spacing w:after="0"/>
        <w:rPr>
          <w:sz w:val="20"/>
          <w:szCs w:val="20"/>
          <w:color w:val="auto"/>
        </w:rPr>
      </w:pPr>
      <w:r>
        <w:rPr>
          <w:rFonts w:ascii="Arial" w:cs="Arial" w:eastAsia="Arial" w:hAnsi="Arial"/>
          <w:sz w:val="28"/>
          <w:szCs w:val="28"/>
          <w:color w:val="FFFFFF"/>
        </w:rPr>
        <w:t>Proposal 3 –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-201295</wp:posOffset>
            </wp:positionV>
            <wp:extent cx="6938010" cy="4718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38010" cy="471805"/>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right="140"/>
        <w:spacing w:after="0" w:line="248" w:lineRule="auto"/>
        <w:rPr>
          <w:sz w:val="20"/>
          <w:szCs w:val="20"/>
          <w:color w:val="auto"/>
        </w:rPr>
      </w:pPr>
      <w:r>
        <w:rPr>
          <w:rFonts w:ascii="Arial" w:cs="Arial" w:eastAsia="Arial" w:hAnsi="Arial"/>
          <w:sz w:val="16"/>
          <w:szCs w:val="16"/>
          <w:color w:val="auto"/>
        </w:rPr>
        <w:t>Our Compensation Discussion and Analysis, which appears below, describes our executive compensation programs and the compensation decisions that our C&amp;MD Committee and our Board of Directors made with respect to the 2018 compensation of our named executive officers. As required pursuant to Section 14A of the Exchange Act, our Board of Directors is asking that stockholders cast a non-binding, advisory vote FOR the following resolution:</w:t>
      </w:r>
    </w:p>
    <w:p>
      <w:pPr>
        <w:spacing w:after="0" w:line="101" w:lineRule="exact"/>
        <w:rPr>
          <w:sz w:val="20"/>
          <w:szCs w:val="20"/>
          <w:color w:val="auto"/>
        </w:rPr>
      </w:pPr>
    </w:p>
    <w:p>
      <w:pPr>
        <w:ind w:left="640" w:right="20"/>
        <w:spacing w:after="0" w:line="250" w:lineRule="auto"/>
        <w:rPr>
          <w:sz w:val="20"/>
          <w:szCs w:val="20"/>
          <w:color w:val="auto"/>
        </w:rPr>
      </w:pPr>
      <w:r>
        <w:rPr>
          <w:rFonts w:ascii="Arial" w:cs="Arial" w:eastAsia="Arial" w:hAnsi="Arial"/>
          <w:sz w:val="16"/>
          <w:szCs w:val="16"/>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95"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auto"/>
        </w:rPr>
        <w:t>Our Board of Directors is asking that our stockholders support this proposal. Although the vote you are being asked to cast is non-binding, we value the views of our stockholders, and our C&amp;MD Committee and our Board of Directors will consider the outcome of the vote when making future compensation decisions for our named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As we describe in our Compensation Discussion and Analysis, our executive compensation programs embody a pay-for-performance philosophy that supports our business strategy and aligns the interests of our executives with those of our stockholders. In particular, our compensation programs reward financial, strategic and operational performance and the goals set under our plans support our short- and long-range plans. In addition, to discourage excessive risk taking, we maintain policies for stock ownership and our equity and annual bonus incentive plans have provisions providing for the recoupment of compensation. We also cap payments under our annual bonus plan and we generally require multi-year vesting periods for long-term incentive awards.</w:t>
      </w:r>
    </w:p>
    <w:p>
      <w:pPr>
        <w:spacing w:after="0" w:line="10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will hold a non-binding, advisory vote of our stockholders on the compensation of our named executive officers every year until the next required stockholder vote on the frequency of such advisory vote. The next stockholder vote on the frequency of such advisory vote is expected to be held at the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372110</wp:posOffset>
            </wp:positionV>
            <wp:extent cx="7023100" cy="3340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023100" cy="334010"/>
                    </a:xfrm>
                    <a:prstGeom prst="rect">
                      <a:avLst/>
                    </a:prstGeom>
                    <a:noFill/>
                  </pic:spPr>
                </pic:pic>
              </a:graphicData>
            </a:graphic>
          </wp:anchor>
        </w:drawing>
      </w:r>
    </w:p>
    <w:p>
      <w:pPr>
        <w:spacing w:after="0" w:line="308" w:lineRule="exact"/>
        <w:rPr>
          <w:sz w:val="20"/>
          <w:szCs w:val="20"/>
          <w:color w:val="auto"/>
        </w:rPr>
      </w:pPr>
    </w:p>
    <w:p>
      <w:pPr>
        <w:sectPr>
          <w:pgSz w:w="11900" w:h="16838" w:orient="portrait"/>
          <w:cols w:equalWidth="0" w:num="2">
            <w:col w:w="5460" w:space="360"/>
            <w:col w:w="5360"/>
          </w:cols>
          <w:pgMar w:left="240" w:top="459" w:right="479" w:bottom="1440" w:gutter="0" w:footer="0" w:header="0"/>
          <w:type w:val="continuous"/>
        </w:sectPr>
      </w:pPr>
    </w:p>
    <w:p>
      <w:pPr>
        <w:spacing w:after="0" w:line="334"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i w:val="1"/>
          <w:iCs w:val="1"/>
          <w:color w:val="auto"/>
        </w:rPr>
        <w:t>OUR BOARD OF DIRECTORS RECOMMENDS THAT STOCKHOLDERS VOTE</w:t>
      </w:r>
    </w:p>
    <w:p>
      <w:pPr>
        <w:spacing w:after="0" w:line="25"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i w:val="1"/>
          <w:iCs w:val="1"/>
          <w:color w:val="1A6DBB"/>
        </w:rPr>
        <w:t xml:space="preserve">FOR </w:t>
      </w:r>
      <w:r>
        <w:rPr>
          <w:rFonts w:ascii="Arial" w:cs="Arial" w:eastAsia="Arial" w:hAnsi="Arial"/>
          <w:sz w:val="16"/>
          <w:szCs w:val="16"/>
          <w:b w:val="1"/>
          <w:bCs w:val="1"/>
          <w:i w:val="1"/>
          <w:iCs w:val="1"/>
          <w:color w:val="000000"/>
        </w:rPr>
        <w:t>THE APPROVAL OF THE RESOLUTION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122555</wp:posOffset>
            </wp:positionV>
            <wp:extent cx="685800" cy="1543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-62865</wp:posOffset>
            </wp:positionV>
            <wp:extent cx="102870" cy="946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76"/>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394335</wp:posOffset>
            </wp:positionV>
            <wp:extent cx="6997700" cy="1974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770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FFFFFF"/>
        </w:rPr>
        <w:t>COMPENSATION DISCUSSION AND ANALYSIS</w:t>
      </w:r>
    </w:p>
    <w:p>
      <w:pPr>
        <w:spacing w:after="0" w:line="155" w:lineRule="exact"/>
        <w:rPr>
          <w:sz w:val="20"/>
          <w:szCs w:val="20"/>
          <w:color w:val="auto"/>
        </w:rPr>
      </w:pPr>
    </w:p>
    <w:p>
      <w:pPr>
        <w:jc w:val="both"/>
        <w:ind w:left="200" w:right="200"/>
        <w:spacing w:after="0" w:line="253" w:lineRule="auto"/>
        <w:rPr>
          <w:sz w:val="20"/>
          <w:szCs w:val="20"/>
          <w:color w:val="auto"/>
        </w:rPr>
      </w:pPr>
      <w:r>
        <w:rPr>
          <w:rFonts w:ascii="Arial" w:cs="Arial" w:eastAsia="Arial" w:hAnsi="Arial"/>
          <w:sz w:val="16"/>
          <w:szCs w:val="16"/>
          <w:color w:val="auto"/>
        </w:rPr>
        <w:t>This Compensation Discussion and Analysis (CD&amp;A) describes our compensation strategy, philosophy, policies and practices underlying our executive compensation programs for 2018. It also provides information regarding the manner and context in which compensation was earned by and awarded to our 2018 named executive officers listed below, whom we refer to collectively as “named executive officers” or “NEOs.”</w:t>
      </w:r>
    </w:p>
    <w:p>
      <w:pPr>
        <w:spacing w:after="0" w:line="207" w:lineRule="exact"/>
        <w:rPr>
          <w:sz w:val="20"/>
          <w:szCs w:val="20"/>
          <w:color w:val="auto"/>
        </w:rPr>
      </w:pPr>
    </w:p>
    <w:tbl>
      <w:tblPr>
        <w:tblLayout w:type="fixed"/>
        <w:tblInd w:w="1920" w:type="dxa"/>
        <w:tblCellMar>
          <w:top w:w="0" w:type="dxa"/>
          <w:left w:w="0" w:type="dxa"/>
          <w:bottom w:w="0" w:type="dxa"/>
          <w:right w:w="0" w:type="dxa"/>
        </w:tblCellMar>
      </w:tblPr>
      <w:tr>
        <w:trPr>
          <w:trHeight w:val="218"/>
        </w:trPr>
        <w:tc>
          <w:tcPr>
            <w:tcW w:w="3520" w:type="dxa"/>
            <w:vAlign w:val="bottom"/>
            <w:tcBorders>
              <w:top w:val="single" w:sz="8" w:color="1A6DBB"/>
            </w:tcBorders>
          </w:tcPr>
          <w:p>
            <w:pPr>
              <w:ind w:left="300"/>
              <w:spacing w:after="0"/>
              <w:rPr>
                <w:sz w:val="20"/>
                <w:szCs w:val="20"/>
                <w:color w:val="auto"/>
              </w:rPr>
            </w:pPr>
            <w:r>
              <w:rPr>
                <w:rFonts w:ascii="Arial" w:cs="Arial" w:eastAsia="Arial" w:hAnsi="Arial"/>
                <w:sz w:val="18"/>
                <w:szCs w:val="18"/>
                <w:b w:val="1"/>
                <w:bCs w:val="1"/>
                <w:color w:val="1A6DBB"/>
              </w:rPr>
              <w:t>Michel Vounatsos</w:t>
            </w:r>
          </w:p>
        </w:tc>
        <w:tc>
          <w:tcPr>
            <w:tcW w:w="2140" w:type="dxa"/>
            <w:vAlign w:val="bottom"/>
          </w:tcPr>
          <w:p>
            <w:pPr>
              <w:spacing w:after="0"/>
              <w:rPr>
                <w:sz w:val="18"/>
                <w:szCs w:val="18"/>
                <w:color w:val="auto"/>
              </w:rPr>
            </w:pPr>
          </w:p>
        </w:tc>
        <w:tc>
          <w:tcPr>
            <w:tcW w:w="3660" w:type="dxa"/>
            <w:vAlign w:val="bottom"/>
            <w:tcBorders>
              <w:top w:val="single" w:sz="8" w:color="1A6DBB"/>
            </w:tcBorders>
          </w:tcPr>
          <w:p>
            <w:pPr>
              <w:ind w:left="300"/>
              <w:spacing w:after="0"/>
              <w:rPr>
                <w:sz w:val="20"/>
                <w:szCs w:val="20"/>
                <w:color w:val="auto"/>
              </w:rPr>
            </w:pPr>
            <w:r>
              <w:rPr>
                <w:rFonts w:ascii="Arial" w:cs="Arial" w:eastAsia="Arial" w:hAnsi="Arial"/>
                <w:sz w:val="18"/>
                <w:szCs w:val="18"/>
                <w:b w:val="1"/>
                <w:bCs w:val="1"/>
                <w:color w:val="1A6DBB"/>
              </w:rPr>
              <w:t>Susan H. Alexander</w:t>
            </w:r>
          </w:p>
        </w:tc>
      </w:tr>
      <w:tr>
        <w:trPr>
          <w:trHeight w:val="189"/>
        </w:trPr>
        <w:tc>
          <w:tcPr>
            <w:tcW w:w="5660" w:type="dxa"/>
            <w:vAlign w:val="bottom"/>
            <w:gridSpan w:val="2"/>
          </w:tcPr>
          <w:p>
            <w:pPr>
              <w:ind w:left="280"/>
              <w:spacing w:after="0"/>
              <w:rPr>
                <w:sz w:val="20"/>
                <w:szCs w:val="20"/>
                <w:color w:val="auto"/>
              </w:rPr>
            </w:pPr>
            <w:r>
              <w:rPr>
                <w:rFonts w:ascii="Arial" w:cs="Arial" w:eastAsia="Arial" w:hAnsi="Arial"/>
                <w:sz w:val="16"/>
                <w:szCs w:val="16"/>
                <w:color w:val="auto"/>
              </w:rPr>
              <w:t>Chief Executive Officer</w:t>
            </w:r>
          </w:p>
        </w:tc>
        <w:tc>
          <w:tcPr>
            <w:tcW w:w="3660" w:type="dxa"/>
            <w:vAlign w:val="bottom"/>
          </w:tcPr>
          <w:p>
            <w:pPr>
              <w:ind w:left="280"/>
              <w:spacing w:after="0"/>
              <w:rPr>
                <w:sz w:val="20"/>
                <w:szCs w:val="20"/>
                <w:color w:val="auto"/>
              </w:rPr>
            </w:pPr>
            <w:r>
              <w:rPr>
                <w:rFonts w:ascii="Arial" w:cs="Arial" w:eastAsia="Arial" w:hAnsi="Arial"/>
                <w:sz w:val="16"/>
                <w:szCs w:val="16"/>
                <w:color w:val="auto"/>
              </w:rPr>
              <w:t>Executive Vice President,</w:t>
            </w:r>
          </w:p>
        </w:tc>
      </w:tr>
      <w:tr>
        <w:trPr>
          <w:trHeight w:val="195"/>
        </w:trPr>
        <w:tc>
          <w:tcPr>
            <w:tcW w:w="35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660" w:type="dxa"/>
            <w:vAlign w:val="bottom"/>
          </w:tcPr>
          <w:p>
            <w:pPr>
              <w:ind w:left="280"/>
              <w:spacing w:after="0"/>
              <w:rPr>
                <w:sz w:val="20"/>
                <w:szCs w:val="20"/>
                <w:color w:val="auto"/>
              </w:rPr>
            </w:pPr>
            <w:r>
              <w:rPr>
                <w:rFonts w:ascii="Arial" w:cs="Arial" w:eastAsia="Arial" w:hAnsi="Arial"/>
                <w:sz w:val="16"/>
                <w:szCs w:val="16"/>
                <w:color w:val="auto"/>
              </w:rPr>
              <w:t>Chief Legal Officer and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-381635</wp:posOffset>
            </wp:positionV>
            <wp:extent cx="4288155" cy="18865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288155"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1920" w:type="dxa"/>
        <w:tblCellMar>
          <w:top w:w="0" w:type="dxa"/>
          <w:left w:w="0" w:type="dxa"/>
          <w:bottom w:w="0" w:type="dxa"/>
          <w:right w:w="0" w:type="dxa"/>
        </w:tblCellMar>
      </w:tblPr>
      <w:tr>
        <w:trPr>
          <w:trHeight w:val="218"/>
        </w:trPr>
        <w:tc>
          <w:tcPr>
            <w:tcW w:w="3520" w:type="dxa"/>
            <w:vAlign w:val="bottom"/>
            <w:tcBorders>
              <w:top w:val="single" w:sz="8" w:color="1A6DBB"/>
            </w:tcBorders>
          </w:tcPr>
          <w:p>
            <w:pPr>
              <w:ind w:left="300"/>
              <w:spacing w:after="0"/>
              <w:rPr>
                <w:sz w:val="20"/>
                <w:szCs w:val="20"/>
                <w:color w:val="auto"/>
              </w:rPr>
            </w:pPr>
            <w:r>
              <w:rPr>
                <w:rFonts w:ascii="Arial" w:cs="Arial" w:eastAsia="Arial" w:hAnsi="Arial"/>
                <w:sz w:val="18"/>
                <w:szCs w:val="18"/>
                <w:b w:val="1"/>
                <w:bCs w:val="1"/>
                <w:color w:val="1A6DBB"/>
              </w:rPr>
              <w:t>Jeffrey D. Capello</w:t>
            </w:r>
          </w:p>
        </w:tc>
        <w:tc>
          <w:tcPr>
            <w:tcW w:w="2140" w:type="dxa"/>
            <w:vAlign w:val="bottom"/>
          </w:tcPr>
          <w:p>
            <w:pPr>
              <w:spacing w:after="0"/>
              <w:rPr>
                <w:sz w:val="18"/>
                <w:szCs w:val="18"/>
                <w:color w:val="auto"/>
              </w:rPr>
            </w:pPr>
          </w:p>
        </w:tc>
        <w:tc>
          <w:tcPr>
            <w:tcW w:w="3660" w:type="dxa"/>
            <w:vAlign w:val="bottom"/>
            <w:tcBorders>
              <w:top w:val="single" w:sz="8" w:color="1A6DBB"/>
            </w:tcBorders>
          </w:tcPr>
          <w:p>
            <w:pPr>
              <w:ind w:left="300"/>
              <w:spacing w:after="0"/>
              <w:rPr>
                <w:sz w:val="20"/>
                <w:szCs w:val="20"/>
                <w:color w:val="auto"/>
              </w:rPr>
            </w:pPr>
            <w:r>
              <w:rPr>
                <w:rFonts w:ascii="Arial" w:cs="Arial" w:eastAsia="Arial" w:hAnsi="Arial"/>
                <w:sz w:val="18"/>
                <w:szCs w:val="18"/>
                <w:b w:val="1"/>
                <w:bCs w:val="1"/>
                <w:color w:val="1A6DBB"/>
              </w:rPr>
              <w:t>Paul F. McKenzie, Ph.D.</w:t>
            </w:r>
          </w:p>
        </w:tc>
      </w:tr>
      <w:tr>
        <w:trPr>
          <w:trHeight w:val="189"/>
        </w:trPr>
        <w:tc>
          <w:tcPr>
            <w:tcW w:w="5660" w:type="dxa"/>
            <w:vAlign w:val="bottom"/>
            <w:gridSpan w:val="2"/>
          </w:tcPr>
          <w:p>
            <w:pPr>
              <w:ind w:left="280"/>
              <w:spacing w:after="0"/>
              <w:rPr>
                <w:sz w:val="20"/>
                <w:szCs w:val="20"/>
                <w:color w:val="auto"/>
              </w:rPr>
            </w:pPr>
            <w:r>
              <w:rPr>
                <w:rFonts w:ascii="Arial" w:cs="Arial" w:eastAsia="Arial" w:hAnsi="Arial"/>
                <w:sz w:val="16"/>
                <w:szCs w:val="16"/>
                <w:color w:val="auto"/>
              </w:rPr>
              <w:t>Executive Vice President and</w:t>
            </w:r>
          </w:p>
        </w:tc>
        <w:tc>
          <w:tcPr>
            <w:tcW w:w="3660" w:type="dxa"/>
            <w:vAlign w:val="bottom"/>
          </w:tcPr>
          <w:p>
            <w:pPr>
              <w:ind w:left="280"/>
              <w:spacing w:after="0"/>
              <w:rPr>
                <w:sz w:val="20"/>
                <w:szCs w:val="20"/>
                <w:color w:val="auto"/>
              </w:rPr>
            </w:pPr>
            <w:r>
              <w:rPr>
                <w:rFonts w:ascii="Arial" w:cs="Arial" w:eastAsia="Arial" w:hAnsi="Arial"/>
                <w:sz w:val="16"/>
                <w:szCs w:val="16"/>
                <w:color w:val="auto"/>
              </w:rPr>
              <w:t>Executive Vice President,</w:t>
            </w:r>
          </w:p>
        </w:tc>
      </w:tr>
      <w:tr>
        <w:trPr>
          <w:trHeight w:val="195"/>
        </w:trPr>
        <w:tc>
          <w:tcPr>
            <w:tcW w:w="5660" w:type="dxa"/>
            <w:vAlign w:val="bottom"/>
            <w:gridSpan w:val="2"/>
          </w:tcPr>
          <w:p>
            <w:pPr>
              <w:ind w:left="280"/>
              <w:spacing w:after="0"/>
              <w:rPr>
                <w:sz w:val="20"/>
                <w:szCs w:val="20"/>
                <w:color w:val="auto"/>
              </w:rPr>
            </w:pPr>
            <w:r>
              <w:rPr>
                <w:rFonts w:ascii="Arial" w:cs="Arial" w:eastAsia="Arial" w:hAnsi="Arial"/>
                <w:sz w:val="16"/>
                <w:szCs w:val="16"/>
                <w:color w:val="auto"/>
              </w:rPr>
              <w:t>Chief Financial Officer</w:t>
            </w:r>
          </w:p>
        </w:tc>
        <w:tc>
          <w:tcPr>
            <w:tcW w:w="3660" w:type="dxa"/>
            <w:vAlign w:val="bottom"/>
          </w:tcPr>
          <w:p>
            <w:pPr>
              <w:ind w:left="280"/>
              <w:spacing w:after="0"/>
              <w:rPr>
                <w:sz w:val="20"/>
                <w:szCs w:val="20"/>
                <w:color w:val="auto"/>
              </w:rPr>
            </w:pPr>
            <w:r>
              <w:rPr>
                <w:rFonts w:ascii="Arial" w:cs="Arial" w:eastAsia="Arial" w:hAnsi="Arial"/>
                <w:sz w:val="16"/>
                <w:szCs w:val="16"/>
                <w:color w:val="auto"/>
              </w:rPr>
              <w:t>Pharmaceutical Operations &amp; Technology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1A6DBB"/>
        </w:rPr>
        <w:t>Michael Ehlers,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3319145" cy="8832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319145" cy="883285"/>
                    </a:xfrm>
                    <a:prstGeom prst="rect">
                      <a:avLst/>
                    </a:prstGeom>
                    <a:noFill/>
                  </pic:spPr>
                </pic:pic>
              </a:graphicData>
            </a:graphic>
          </wp:anchor>
        </w:drawing>
      </w:r>
    </w:p>
    <w:p>
      <w:pPr>
        <w:ind w:left="2200"/>
        <w:spacing w:after="0"/>
        <w:rPr>
          <w:sz w:val="20"/>
          <w:szCs w:val="20"/>
          <w:color w:val="auto"/>
        </w:rPr>
      </w:pPr>
      <w:r>
        <w:rPr>
          <w:rFonts w:ascii="Arial" w:cs="Arial" w:eastAsia="Arial" w:hAnsi="Arial"/>
          <w:sz w:val="16"/>
          <w:szCs w:val="16"/>
          <w:color w:val="auto"/>
        </w:rPr>
        <w:t>Executive Vice President,</w:t>
      </w:r>
    </w:p>
    <w:p>
      <w:pPr>
        <w:spacing w:after="0" w:line="5"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662305</wp:posOffset>
            </wp:positionV>
            <wp:extent cx="6997700" cy="18859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7700" cy="18859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FFFFFF"/>
        </w:rPr>
        <w:t>Executive Summary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1A6DBB"/>
        </w:rPr>
        <w:t>2018 Highlights</w:t>
      </w:r>
    </w:p>
    <w:p>
      <w:pPr>
        <w:spacing w:after="0" w:line="196" w:lineRule="exact"/>
        <w:rPr>
          <w:sz w:val="20"/>
          <w:szCs w:val="20"/>
          <w:color w:val="auto"/>
        </w:rPr>
      </w:pPr>
    </w:p>
    <w:p>
      <w:pPr>
        <w:ind w:left="200" w:right="100"/>
        <w:spacing w:after="0" w:line="250" w:lineRule="auto"/>
        <w:rPr>
          <w:sz w:val="20"/>
          <w:szCs w:val="20"/>
          <w:color w:val="auto"/>
        </w:rPr>
      </w:pPr>
      <w:r>
        <w:rPr>
          <w:rFonts w:ascii="Arial" w:cs="Arial" w:eastAsia="Arial" w:hAnsi="Arial"/>
          <w:sz w:val="16"/>
          <w:szCs w:val="16"/>
          <w:color w:val="auto"/>
        </w:rPr>
        <w:t>We had a productive and successful 2018. We generated record revenues of $13.5 billion for the year, demonstrated resilience in our MS business, continued a strong global launch for SPINRAZA, the first approved treatment for SMA, and made significant progress in our biosimilars business.</w:t>
      </w:r>
    </w:p>
    <w:p>
      <w:pPr>
        <w:spacing w:after="0" w:line="95" w:lineRule="exact"/>
        <w:rPr>
          <w:sz w:val="20"/>
          <w:szCs w:val="20"/>
          <w:color w:val="auto"/>
        </w:rPr>
      </w:pPr>
    </w:p>
    <w:p>
      <w:pPr>
        <w:ind w:left="200" w:right="160"/>
        <w:spacing w:after="0" w:line="260" w:lineRule="auto"/>
        <w:rPr>
          <w:sz w:val="20"/>
          <w:szCs w:val="20"/>
          <w:color w:val="auto"/>
        </w:rPr>
      </w:pPr>
      <w:r>
        <w:rPr>
          <w:rFonts w:ascii="Arial" w:cs="Arial" w:eastAsia="Arial" w:hAnsi="Arial"/>
          <w:sz w:val="16"/>
          <w:szCs w:val="16"/>
          <w:color w:val="auto"/>
        </w:rPr>
        <w:t>We added six clinical programs across our strategic core and emerging growth areas and had a strong year for business development.</w:t>
      </w:r>
    </w:p>
    <w:p>
      <w:pPr>
        <w:spacing w:after="0" w:line="88" w:lineRule="exact"/>
        <w:rPr>
          <w:sz w:val="20"/>
          <w:szCs w:val="20"/>
          <w:color w:val="auto"/>
        </w:rPr>
      </w:pPr>
    </w:p>
    <w:p>
      <w:pPr>
        <w:ind w:left="200"/>
        <w:spacing w:after="0" w:line="252" w:lineRule="auto"/>
        <w:rPr>
          <w:sz w:val="20"/>
          <w:szCs w:val="20"/>
          <w:color w:val="auto"/>
        </w:rPr>
      </w:pPr>
      <w:r>
        <w:rPr>
          <w:rFonts w:ascii="Arial" w:cs="Arial" w:eastAsia="Arial" w:hAnsi="Arial"/>
          <w:sz w:val="16"/>
          <w:szCs w:val="16"/>
          <w:color w:val="auto"/>
        </w:rPr>
        <w:t>We provided value to our stockholders through the return of approximately $4.4 billion in capital through share repurchases and we continued our leading efforts in environmental, sustainability and diversity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368300</wp:posOffset>
            </wp:positionV>
            <wp:extent cx="685800" cy="1543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Our executive compensation programs for 2018 were aligned with stockholder interests as compensation earned under these programs was closely-linked to the achievement of our corporate performance goals.</w:t>
      </w:r>
    </w:p>
    <w:p>
      <w:pPr>
        <w:spacing w:after="0" w:line="93"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We achieved or exceeded the vast majority of the corporate performance goals that we set at the beginning of the year under our incentive compensation plans and, accordingly, the payouts under these plans for 2018 were above target payout levels.</w:t>
      </w:r>
    </w:p>
    <w:p>
      <w:pPr>
        <w:spacing w:after="0" w:line="874" w:lineRule="exact"/>
        <w:rPr>
          <w:sz w:val="20"/>
          <w:szCs w:val="20"/>
          <w:color w:val="auto"/>
        </w:rPr>
      </w:pPr>
    </w:p>
    <w:p>
      <w:pPr>
        <w:sectPr>
          <w:pgSz w:w="11900" w:h="16838" w:orient="portrait"/>
          <w:cols w:equalWidth="0" w:num="2">
            <w:col w:w="5460" w:space="360"/>
            <w:col w:w="5420"/>
          </w:cols>
          <w:pgMar w:left="240" w:top="459" w:right="41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-62865</wp:posOffset>
            </wp:positionV>
            <wp:extent cx="102870" cy="946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77"/>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 brief summary of our 2018 business, financial and executive compensation highlights are as follows:</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1A6DBB"/>
        </w:rPr>
        <w:t>Financial Performance</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chart provides a summary of our financial performance for 2018 compared to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 reconciliation of our GAAP to Non-GAAP financial measures is provided in Appendix A to this Proxy Statement.</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1A6DBB"/>
        </w:rPr>
        <w:t>Total Stockholder Return</w:t>
      </w:r>
    </w:p>
    <w:p>
      <w:pPr>
        <w:spacing w:after="0" w:line="147" w:lineRule="exact"/>
        <w:rPr>
          <w:sz w:val="20"/>
          <w:szCs w:val="20"/>
          <w:color w:val="auto"/>
        </w:rPr>
      </w:pPr>
    </w:p>
    <w:p>
      <w:pPr>
        <w:ind w:left="420" w:hanging="216"/>
        <w:spacing w:after="0"/>
        <w:tabs>
          <w:tab w:leader="none" w:pos="420" w:val="left"/>
        </w:tabs>
        <w:numPr>
          <w:ilvl w:val="0"/>
          <w:numId w:val="78"/>
        </w:numPr>
        <w:rPr>
          <w:rFonts w:ascii="Arial" w:cs="Arial" w:eastAsia="Arial" w:hAnsi="Arial"/>
          <w:sz w:val="16"/>
          <w:szCs w:val="16"/>
          <w:color w:val="1A6DBB"/>
        </w:rPr>
      </w:pPr>
      <w:r>
        <w:rPr>
          <w:rFonts w:ascii="Arial" w:cs="Arial" w:eastAsia="Arial" w:hAnsi="Arial"/>
          <w:sz w:val="16"/>
          <w:szCs w:val="16"/>
          <w:color w:val="auto"/>
        </w:rPr>
        <w:t>Our one-, three- and five-year total stockholder return (TSR)* compared to our peer group and the Standard &amp; Poor’s 500 (S&amp;P 500)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79375</wp:posOffset>
            </wp:positionV>
            <wp:extent cx="2049780" cy="13462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049780"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20" w:right="540" w:hanging="216"/>
        <w:spacing w:after="0" w:line="258" w:lineRule="auto"/>
        <w:tabs>
          <w:tab w:leader="none" w:pos="4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TSR is a measure of performance over time that combines changes in share price and dividends paid to show the total return to the stockholder expressed as an annualized percentage.</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1A6DBB"/>
        </w:rPr>
        <w:t>Product and Pipeline Developments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provides a summary of our product and pipeline developments for 2018:</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427F3D"/>
        </w:rPr>
        <w:t>Product Developments</w:t>
      </w:r>
    </w:p>
    <w:p>
      <w:pPr>
        <w:spacing w:after="0" w:line="127" w:lineRule="exact"/>
        <w:rPr>
          <w:sz w:val="20"/>
          <w:szCs w:val="20"/>
          <w:color w:val="auto"/>
        </w:rPr>
      </w:pPr>
    </w:p>
    <w:p>
      <w:pPr>
        <w:ind w:left="420" w:hanging="216"/>
        <w:spacing w:after="0"/>
        <w:tabs>
          <w:tab w:leader="none" w:pos="420" w:val="left"/>
        </w:tabs>
        <w:numPr>
          <w:ilvl w:val="0"/>
          <w:numId w:val="80"/>
        </w:numPr>
        <w:rPr>
          <w:rFonts w:ascii="Arial" w:cs="Arial" w:eastAsia="Arial" w:hAnsi="Arial"/>
          <w:sz w:val="16"/>
          <w:szCs w:val="16"/>
          <w:color w:val="1A6DBB"/>
        </w:rPr>
      </w:pPr>
      <w:r>
        <w:rPr>
          <w:rFonts w:ascii="Arial" w:cs="Arial" w:eastAsia="Arial" w:hAnsi="Arial"/>
          <w:sz w:val="16"/>
          <w:szCs w:val="16"/>
          <w:color w:val="auto"/>
        </w:rPr>
        <w:t>In March 2018 we and AbbVie Inc. announced the voluntary worldwide withdrawal of ZINBRYTA for relapsing MS (RMS).</w:t>
      </w:r>
    </w:p>
    <w:p>
      <w:pPr>
        <w:spacing w:after="0" w:line="5" w:lineRule="exact"/>
        <w:rPr>
          <w:rFonts w:ascii="Arial" w:cs="Arial" w:eastAsia="Arial" w:hAnsi="Arial"/>
          <w:sz w:val="16"/>
          <w:szCs w:val="16"/>
          <w:color w:val="1A6DBB"/>
        </w:rPr>
      </w:pPr>
    </w:p>
    <w:p>
      <w:pPr>
        <w:ind w:left="420" w:hanging="216"/>
        <w:spacing w:after="0"/>
        <w:tabs>
          <w:tab w:leader="none" w:pos="420" w:val="left"/>
        </w:tabs>
        <w:numPr>
          <w:ilvl w:val="0"/>
          <w:numId w:val="80"/>
        </w:numPr>
        <w:rPr>
          <w:rFonts w:ascii="Arial" w:cs="Arial" w:eastAsia="Arial" w:hAnsi="Arial"/>
          <w:sz w:val="16"/>
          <w:szCs w:val="16"/>
          <w:color w:val="1A6DBB"/>
        </w:rPr>
      </w:pPr>
      <w:r>
        <w:rPr>
          <w:rFonts w:ascii="Arial" w:cs="Arial" w:eastAsia="Arial" w:hAnsi="Arial"/>
          <w:sz w:val="16"/>
          <w:szCs w:val="16"/>
          <w:color w:val="auto"/>
        </w:rPr>
        <w:t>In October 2018 we and Samsung Bioepis launched IMRALDI, an adalimumab biosimilar referencing HUMIRA, in Europe.</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427F3D"/>
        </w:rPr>
        <w:t>Applications for Marketing and Agency Actions</w:t>
      </w:r>
    </w:p>
    <w:p>
      <w:pPr>
        <w:spacing w:after="0" w:line="5" w:lineRule="exact"/>
        <w:rPr>
          <w:sz w:val="20"/>
          <w:szCs w:val="20"/>
          <w:color w:val="auto"/>
        </w:rPr>
      </w:pPr>
    </w:p>
    <w:p>
      <w:pPr>
        <w:ind w:left="420" w:hanging="216"/>
        <w:spacing w:after="0"/>
        <w:tabs>
          <w:tab w:leader="none" w:pos="420" w:val="left"/>
        </w:tabs>
        <w:numPr>
          <w:ilvl w:val="0"/>
          <w:numId w:val="81"/>
        </w:numPr>
        <w:rPr>
          <w:rFonts w:ascii="Arial" w:cs="Arial" w:eastAsia="Arial" w:hAnsi="Arial"/>
          <w:sz w:val="16"/>
          <w:szCs w:val="16"/>
          <w:color w:val="1A6DBB"/>
        </w:rPr>
      </w:pPr>
      <w:r>
        <w:rPr>
          <w:rFonts w:ascii="Arial" w:cs="Arial" w:eastAsia="Arial" w:hAnsi="Arial"/>
          <w:sz w:val="16"/>
          <w:szCs w:val="16"/>
          <w:color w:val="auto"/>
        </w:rPr>
        <w:t>In October 2018 the FDA granted BIIB092, an anti-tau mAb, fast track designation for progressive supranuclear palsy (PSP).</w:t>
      </w:r>
    </w:p>
    <w:p>
      <w:pPr>
        <w:spacing w:after="0" w:line="5" w:lineRule="exact"/>
        <w:rPr>
          <w:rFonts w:ascii="Arial" w:cs="Arial" w:eastAsia="Arial" w:hAnsi="Arial"/>
          <w:sz w:val="16"/>
          <w:szCs w:val="16"/>
          <w:color w:val="1A6DBB"/>
        </w:rPr>
      </w:pPr>
    </w:p>
    <w:p>
      <w:pPr>
        <w:ind w:left="420" w:right="160" w:hanging="216"/>
        <w:spacing w:after="0" w:line="253" w:lineRule="auto"/>
        <w:tabs>
          <w:tab w:leader="none" w:pos="420" w:val="left"/>
        </w:tabs>
        <w:numPr>
          <w:ilvl w:val="0"/>
          <w:numId w:val="81"/>
        </w:numPr>
        <w:rPr>
          <w:rFonts w:ascii="Arial" w:cs="Arial" w:eastAsia="Arial" w:hAnsi="Arial"/>
          <w:sz w:val="16"/>
          <w:szCs w:val="16"/>
          <w:color w:val="1A6DBB"/>
        </w:rPr>
      </w:pPr>
      <w:r>
        <w:rPr>
          <w:rFonts w:ascii="Arial" w:cs="Arial" w:eastAsia="Arial" w:hAnsi="Arial"/>
          <w:sz w:val="16"/>
          <w:szCs w:val="16"/>
          <w:color w:val="auto"/>
        </w:rPr>
        <w:t>In December 2018 Alkermes submitted a NDA to the FDA for the review of BIIB098 (diroximel fumarate). Alkermes is seeking approval of diroximel fumarate under the 505(b)(2) regulatory pathway. If approved, we intend to market diroximel fumarate under the brand name VUMERITY. This name has been conditionally accepted by the FDA and will be confirmed upon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75565</wp:posOffset>
            </wp:positionV>
            <wp:extent cx="685800" cy="1543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-71120</wp:posOffset>
            </wp:positionV>
            <wp:extent cx="102870" cy="946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82"/>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
        <w:spacing w:after="0"/>
        <w:rPr>
          <w:sz w:val="20"/>
          <w:szCs w:val="20"/>
          <w:color w:val="auto"/>
        </w:rPr>
      </w:pPr>
      <w:r>
        <w:rPr>
          <w:rFonts w:ascii="Arial" w:cs="Arial" w:eastAsia="Arial" w:hAnsi="Arial"/>
          <w:sz w:val="16"/>
          <w:szCs w:val="16"/>
          <w:color w:val="427F3D"/>
        </w:rPr>
        <w:t>Clinical Trials</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MS and Neuroimmunology</w:t>
      </w:r>
    </w:p>
    <w:p>
      <w:pPr>
        <w:spacing w:after="0" w:line="143" w:lineRule="exact"/>
        <w:rPr>
          <w:sz w:val="20"/>
          <w:szCs w:val="20"/>
          <w:color w:val="auto"/>
        </w:rPr>
      </w:pPr>
    </w:p>
    <w:p>
      <w:pPr>
        <w:ind w:left="420" w:right="500" w:hanging="216"/>
        <w:spacing w:after="0" w:line="246" w:lineRule="auto"/>
        <w:tabs>
          <w:tab w:leader="none" w:pos="420" w:val="left"/>
        </w:tabs>
        <w:numPr>
          <w:ilvl w:val="0"/>
          <w:numId w:val="83"/>
        </w:numPr>
        <w:rPr>
          <w:rFonts w:ascii="Arial" w:cs="Arial" w:eastAsia="Arial" w:hAnsi="Arial"/>
          <w:sz w:val="16"/>
          <w:szCs w:val="16"/>
          <w:color w:val="1A6DBB"/>
        </w:rPr>
      </w:pPr>
      <w:r>
        <w:rPr>
          <w:rFonts w:ascii="Arial" w:cs="Arial" w:eastAsia="Arial" w:hAnsi="Arial"/>
          <w:sz w:val="16"/>
          <w:szCs w:val="16"/>
          <w:color w:val="auto"/>
        </w:rPr>
        <w:t>In September 2018 we completed enrollment of the Phase 2b AFFINITY study evaluating opicinumab, anti-LINGO, as an add-on therapy in MS patients who are adequately controlled on their anti-inflammatory disease-modifying therapy (DMT), versus the DMT alone.</w:t>
      </w:r>
    </w:p>
    <w:p>
      <w:pPr>
        <w:ind w:left="420" w:right="700" w:hanging="216"/>
        <w:spacing w:after="0" w:line="246" w:lineRule="auto"/>
        <w:tabs>
          <w:tab w:leader="none" w:pos="420" w:val="left"/>
        </w:tabs>
        <w:numPr>
          <w:ilvl w:val="0"/>
          <w:numId w:val="83"/>
        </w:numPr>
        <w:rPr>
          <w:rFonts w:ascii="Arial" w:cs="Arial" w:eastAsia="Arial" w:hAnsi="Arial"/>
          <w:sz w:val="16"/>
          <w:szCs w:val="16"/>
          <w:color w:val="1A6DBB"/>
        </w:rPr>
      </w:pPr>
      <w:r>
        <w:rPr>
          <w:rFonts w:ascii="Arial" w:cs="Arial" w:eastAsia="Arial" w:hAnsi="Arial"/>
          <w:sz w:val="16"/>
          <w:szCs w:val="16"/>
          <w:color w:val="auto"/>
        </w:rPr>
        <w:t>In November 2018 we initiated the Phase 3b NOVA study evaluating the efficacy and safety of extended interval dosing (every six weeks) for natalizumab compared to standard interval dosing in patients with RMS and enrolled the first patient in December 2018.</w:t>
      </w:r>
    </w:p>
    <w:p>
      <w:pPr>
        <w:ind w:left="420" w:right="940" w:hanging="216"/>
        <w:spacing w:after="0" w:line="260" w:lineRule="auto"/>
        <w:tabs>
          <w:tab w:leader="none" w:pos="420" w:val="left"/>
        </w:tabs>
        <w:numPr>
          <w:ilvl w:val="0"/>
          <w:numId w:val="83"/>
        </w:numPr>
        <w:rPr>
          <w:rFonts w:ascii="Arial" w:cs="Arial" w:eastAsia="Arial" w:hAnsi="Arial"/>
          <w:sz w:val="16"/>
          <w:szCs w:val="16"/>
          <w:color w:val="1A6DBB"/>
        </w:rPr>
      </w:pPr>
      <w:r>
        <w:rPr>
          <w:rFonts w:ascii="Arial" w:cs="Arial" w:eastAsia="Arial" w:hAnsi="Arial"/>
          <w:sz w:val="16"/>
          <w:szCs w:val="16"/>
          <w:color w:val="auto"/>
        </w:rPr>
        <w:t>In December 2018 we dosed the first patient in a bioequivalence study to test whether exposure levels of PLEGRIDY are maintained with intramuscular administration.</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Neuromuscular Disorders</w:t>
      </w:r>
    </w:p>
    <w:p>
      <w:pPr>
        <w:spacing w:after="0" w:line="143" w:lineRule="exact"/>
        <w:rPr>
          <w:sz w:val="20"/>
          <w:szCs w:val="20"/>
          <w:color w:val="auto"/>
        </w:rPr>
      </w:pPr>
    </w:p>
    <w:p>
      <w:pPr>
        <w:ind w:left="420" w:right="460" w:hanging="216"/>
        <w:spacing w:after="0" w:line="246" w:lineRule="auto"/>
        <w:tabs>
          <w:tab w:leader="none" w:pos="420" w:val="left"/>
        </w:tabs>
        <w:numPr>
          <w:ilvl w:val="0"/>
          <w:numId w:val="84"/>
        </w:numPr>
        <w:rPr>
          <w:rFonts w:ascii="Arial" w:cs="Arial" w:eastAsia="Arial" w:hAnsi="Arial"/>
          <w:sz w:val="16"/>
          <w:szCs w:val="16"/>
          <w:color w:val="1A6DBB"/>
        </w:rPr>
      </w:pPr>
      <w:r>
        <w:rPr>
          <w:rFonts w:ascii="Arial" w:cs="Arial" w:eastAsia="Arial" w:hAnsi="Arial"/>
          <w:sz w:val="16"/>
          <w:szCs w:val="16"/>
          <w:color w:val="auto"/>
        </w:rPr>
        <w:t>In September 2018 we enrolled the first patient in the Phase 1 study evaluating BIIB078 (IONIS-C9</w:t>
      </w:r>
      <w:r>
        <w:rPr>
          <w:rFonts w:ascii="Arial" w:cs="Arial" w:eastAsia="Arial" w:hAnsi="Arial"/>
          <w:sz w:val="13"/>
          <w:szCs w:val="13"/>
          <w:color w:val="auto"/>
        </w:rPr>
        <w:t>Rx</w:t>
      </w:r>
      <w:r>
        <w:rPr>
          <w:rFonts w:ascii="Arial" w:cs="Arial" w:eastAsia="Arial" w:hAnsi="Arial"/>
          <w:sz w:val="16"/>
          <w:szCs w:val="16"/>
          <w:color w:val="auto"/>
        </w:rPr>
        <w:t>), an antisense oligonucleotide (ASO) drug candidate, in adults with C9ORF72-associated ALS.</w:t>
      </w:r>
    </w:p>
    <w:p>
      <w:pPr>
        <w:ind w:left="420" w:hanging="216"/>
        <w:spacing w:after="0" w:line="251" w:lineRule="auto"/>
        <w:tabs>
          <w:tab w:leader="none" w:pos="420" w:val="left"/>
        </w:tabs>
        <w:numPr>
          <w:ilvl w:val="0"/>
          <w:numId w:val="84"/>
        </w:numPr>
        <w:rPr>
          <w:rFonts w:ascii="Arial" w:cs="Arial" w:eastAsia="Arial" w:hAnsi="Arial"/>
          <w:sz w:val="16"/>
          <w:szCs w:val="16"/>
          <w:color w:val="1A6DBB"/>
        </w:rPr>
      </w:pPr>
      <w:r>
        <w:rPr>
          <w:rFonts w:ascii="Arial" w:cs="Arial" w:eastAsia="Arial" w:hAnsi="Arial"/>
          <w:sz w:val="16"/>
          <w:szCs w:val="16"/>
          <w:color w:val="auto"/>
        </w:rPr>
        <w:t>In December 2018 we and our collaboration partner Ionis Pharmaceuticals, Inc. (Ionis) announced results from a positive interim analysis of the ongoing Phase 1 study of BIIB067 (IONIS-SOD1</w:t>
      </w:r>
      <w:r>
        <w:rPr>
          <w:rFonts w:ascii="Arial" w:cs="Arial" w:eastAsia="Arial" w:hAnsi="Arial"/>
          <w:sz w:val="13"/>
          <w:szCs w:val="13"/>
          <w:color w:val="auto"/>
        </w:rPr>
        <w:t>Rx</w:t>
      </w:r>
      <w:r>
        <w:rPr>
          <w:rFonts w:ascii="Arial" w:cs="Arial" w:eastAsia="Arial" w:hAnsi="Arial"/>
          <w:sz w:val="16"/>
          <w:szCs w:val="16"/>
          <w:color w:val="auto"/>
        </w:rPr>
        <w:t>), an investigational treatment for ALS with superoxide dismutase 1 (SOD1) mutations. The interim analysis showed that, over a three-month period, BIIB067 resulted in a statistically significant lowering of SOD1 protein levels in the cerebrospinal fluid and a numerical trend towards slowing of clinical decline as measured by the ALS Functional Rating Scale Revised, both compared to placebo.</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Alzheimer’s Disease and Dementia</w:t>
      </w:r>
    </w:p>
    <w:p>
      <w:pPr>
        <w:spacing w:after="0" w:line="143" w:lineRule="exact"/>
        <w:rPr>
          <w:sz w:val="20"/>
          <w:szCs w:val="20"/>
          <w:color w:val="auto"/>
        </w:rPr>
      </w:pPr>
    </w:p>
    <w:p>
      <w:pPr>
        <w:ind w:left="420" w:hanging="216"/>
        <w:spacing w:after="0"/>
        <w:tabs>
          <w:tab w:leader="none" w:pos="420" w:val="left"/>
        </w:tabs>
        <w:numPr>
          <w:ilvl w:val="0"/>
          <w:numId w:val="85"/>
        </w:numPr>
        <w:rPr>
          <w:rFonts w:ascii="Arial" w:cs="Arial" w:eastAsia="Arial" w:hAnsi="Arial"/>
          <w:sz w:val="16"/>
          <w:szCs w:val="16"/>
          <w:color w:val="1A6DBB"/>
        </w:rPr>
      </w:pPr>
      <w:r>
        <w:rPr>
          <w:rFonts w:ascii="Arial" w:cs="Arial" w:eastAsia="Arial" w:hAnsi="Arial"/>
          <w:sz w:val="16"/>
          <w:szCs w:val="16"/>
          <w:color w:val="auto"/>
        </w:rPr>
        <w:t>In May 2018 we initiated a Phase 2 study of BIIB092 for Alzheimer’s disease.</w:t>
      </w:r>
    </w:p>
    <w:p>
      <w:pPr>
        <w:spacing w:after="0" w:line="5" w:lineRule="exact"/>
        <w:rPr>
          <w:rFonts w:ascii="Arial" w:cs="Arial" w:eastAsia="Arial" w:hAnsi="Arial"/>
          <w:sz w:val="16"/>
          <w:szCs w:val="16"/>
          <w:color w:val="1A6DBB"/>
        </w:rPr>
      </w:pPr>
    </w:p>
    <w:p>
      <w:pPr>
        <w:ind w:left="420" w:right="160" w:hanging="216"/>
        <w:spacing w:after="0" w:line="246" w:lineRule="auto"/>
        <w:tabs>
          <w:tab w:leader="none" w:pos="420" w:val="left"/>
        </w:tabs>
        <w:numPr>
          <w:ilvl w:val="0"/>
          <w:numId w:val="85"/>
        </w:numPr>
        <w:rPr>
          <w:rFonts w:ascii="Arial" w:cs="Arial" w:eastAsia="Arial" w:hAnsi="Arial"/>
          <w:sz w:val="16"/>
          <w:szCs w:val="16"/>
          <w:color w:val="1A6DBB"/>
        </w:rPr>
      </w:pPr>
      <w:r>
        <w:rPr>
          <w:rFonts w:ascii="Arial" w:cs="Arial" w:eastAsia="Arial" w:hAnsi="Arial"/>
          <w:sz w:val="16"/>
          <w:szCs w:val="16"/>
          <w:color w:val="auto"/>
        </w:rPr>
        <w:t>In June 2018 we and our collaboration partner Eisai Co., Ltd. (Eisai) announced that elenbecestat, the oral BACE (beta amyloid cleaving enzyme) inhibitor, demonstrated an acceptable safety and tolerability profile in the Phase 2 study, and the results demonstrated a statistically significant difference in amyloid-beta levels in the brain measured by amyloid-PET (positron emission tomography). A numerical slowing of decline in functional clinical scales of a potentially clinically important difference was also observed, although this effect was not statistically significant.</w:t>
      </w:r>
    </w:p>
    <w:p>
      <w:pPr>
        <w:spacing w:after="0" w:line="1" w:lineRule="exact"/>
        <w:rPr>
          <w:rFonts w:ascii="Arial" w:cs="Arial" w:eastAsia="Arial" w:hAnsi="Arial"/>
          <w:sz w:val="16"/>
          <w:szCs w:val="16"/>
          <w:color w:val="1A6DBB"/>
        </w:rPr>
      </w:pPr>
    </w:p>
    <w:p>
      <w:pPr>
        <w:ind w:left="420" w:right="60" w:hanging="216"/>
        <w:spacing w:after="0" w:line="246" w:lineRule="auto"/>
        <w:tabs>
          <w:tab w:leader="none" w:pos="420" w:val="left"/>
        </w:tabs>
        <w:numPr>
          <w:ilvl w:val="0"/>
          <w:numId w:val="85"/>
        </w:numPr>
        <w:rPr>
          <w:rFonts w:ascii="Arial" w:cs="Arial" w:eastAsia="Arial" w:hAnsi="Arial"/>
          <w:sz w:val="16"/>
          <w:szCs w:val="16"/>
          <w:color w:val="1A6DBB"/>
        </w:rPr>
      </w:pPr>
      <w:r>
        <w:rPr>
          <w:rFonts w:ascii="Arial" w:cs="Arial" w:eastAsia="Arial" w:hAnsi="Arial"/>
          <w:sz w:val="16"/>
          <w:szCs w:val="16"/>
          <w:color w:val="auto"/>
        </w:rPr>
        <w:t>In December 2017 we and our collaboration partner Eisai announced that the Phase 2 study of BAN2401, a monoclonal antibody that targets amyloid beta aggregates, an Eisai product candidate for the treatment of Alzheimer’s disease, did not meet the criteria for success based on a Bayesian analysis at 12 months as the primary endpoint in an 856-patient Phase 2 clinical study, an endpoint that was designed to enable a potentially more rapid entry into Phase 3 development. In July 2018, based upon the final analysis of the data at 18 months, we and Eisai announced that the topline results from the Phase 2 study demonstrated a statistically significant slowing in clinical decline and reduction of amyloid beta accumulated in the brain. The study achieved statistical significance on key predefined endpoints evaluating efficacy at 18 months on slowing progression in Alzheimer’s Disease Composite Score (ADCOMS) and on reduction of amyloid accumulated in the brain as measured using amyloid-PET.</w:t>
      </w:r>
    </w:p>
    <w:p>
      <w:pPr>
        <w:spacing w:after="0" w:line="3" w:lineRule="exact"/>
        <w:rPr>
          <w:rFonts w:ascii="Arial" w:cs="Arial" w:eastAsia="Arial" w:hAnsi="Arial"/>
          <w:sz w:val="16"/>
          <w:szCs w:val="16"/>
          <w:color w:val="1A6DBB"/>
        </w:rPr>
      </w:pPr>
    </w:p>
    <w:p>
      <w:pPr>
        <w:ind w:left="420" w:right="440" w:hanging="216"/>
        <w:spacing w:after="0" w:line="260" w:lineRule="auto"/>
        <w:tabs>
          <w:tab w:leader="none" w:pos="420" w:val="left"/>
        </w:tabs>
        <w:numPr>
          <w:ilvl w:val="0"/>
          <w:numId w:val="85"/>
        </w:numPr>
        <w:rPr>
          <w:rFonts w:ascii="Arial" w:cs="Arial" w:eastAsia="Arial" w:hAnsi="Arial"/>
          <w:sz w:val="16"/>
          <w:szCs w:val="16"/>
          <w:color w:val="1A6DBB"/>
        </w:rPr>
      </w:pPr>
      <w:r>
        <w:rPr>
          <w:rFonts w:ascii="Arial" w:cs="Arial" w:eastAsia="Arial" w:hAnsi="Arial"/>
          <w:sz w:val="16"/>
          <w:szCs w:val="16"/>
          <w:color w:val="auto"/>
        </w:rPr>
        <w:t>In July 2018 we completed enrollment of ENGAGE and EMERGE, the Phase 3 studies of aducanumab. In March 2019 we and our collaboration partner Eisai announced that we were discontinuing the EMERGE and ENGAGE Phase 3 studies.</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Movement Disorders</w:t>
      </w:r>
    </w:p>
    <w:p>
      <w:pPr>
        <w:spacing w:after="0" w:line="131" w:lineRule="exact"/>
        <w:rPr>
          <w:sz w:val="20"/>
          <w:szCs w:val="20"/>
          <w:color w:val="auto"/>
        </w:rPr>
      </w:pPr>
    </w:p>
    <w:p>
      <w:pPr>
        <w:ind w:left="420" w:hanging="216"/>
        <w:spacing w:after="0"/>
        <w:tabs>
          <w:tab w:leader="none" w:pos="420" w:val="left"/>
        </w:tabs>
        <w:numPr>
          <w:ilvl w:val="0"/>
          <w:numId w:val="86"/>
        </w:numPr>
        <w:rPr>
          <w:rFonts w:ascii="Arial" w:cs="Arial" w:eastAsia="Arial" w:hAnsi="Arial"/>
          <w:sz w:val="16"/>
          <w:szCs w:val="16"/>
          <w:color w:val="1A6DBB"/>
        </w:rPr>
      </w:pPr>
      <w:r>
        <w:rPr>
          <w:rFonts w:ascii="Arial" w:cs="Arial" w:eastAsia="Arial" w:hAnsi="Arial"/>
          <w:sz w:val="16"/>
          <w:szCs w:val="16"/>
          <w:color w:val="auto"/>
        </w:rPr>
        <w:t>In January 2018 we dosed the first patient in the Phase 2 SPARK study of BIIB054, a-synuclein antibody, in Parkinson’s disease.</w:t>
      </w:r>
    </w:p>
    <w:p>
      <w:pPr>
        <w:spacing w:after="0" w:line="30" w:lineRule="exact"/>
        <w:rPr>
          <w:rFonts w:ascii="Arial" w:cs="Arial" w:eastAsia="Arial" w:hAnsi="Arial"/>
          <w:sz w:val="16"/>
          <w:szCs w:val="16"/>
          <w:color w:val="1A6DBB"/>
        </w:rPr>
      </w:pPr>
    </w:p>
    <w:p>
      <w:pPr>
        <w:ind w:left="420" w:hanging="216"/>
        <w:spacing w:after="0"/>
        <w:tabs>
          <w:tab w:leader="none" w:pos="420" w:val="left"/>
        </w:tabs>
        <w:numPr>
          <w:ilvl w:val="0"/>
          <w:numId w:val="86"/>
        </w:numPr>
        <w:rPr>
          <w:rFonts w:ascii="Arial" w:cs="Arial" w:eastAsia="Arial" w:hAnsi="Arial"/>
          <w:sz w:val="16"/>
          <w:szCs w:val="16"/>
          <w:color w:val="1A6DBB"/>
        </w:rPr>
      </w:pPr>
      <w:r>
        <w:rPr>
          <w:rFonts w:ascii="Arial" w:cs="Arial" w:eastAsia="Arial" w:hAnsi="Arial"/>
          <w:sz w:val="16"/>
          <w:szCs w:val="16"/>
          <w:color w:val="auto"/>
        </w:rPr>
        <w:t>In September 2018 we completed enrollment of the Phase 2 PASSPORT study of BIIB092 for PSP.</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Acute Neurology</w:t>
      </w:r>
    </w:p>
    <w:p>
      <w:pPr>
        <w:spacing w:after="0" w:line="143" w:lineRule="exact"/>
        <w:rPr>
          <w:sz w:val="20"/>
          <w:szCs w:val="20"/>
          <w:color w:val="auto"/>
        </w:rPr>
      </w:pPr>
    </w:p>
    <w:p>
      <w:pPr>
        <w:ind w:left="420" w:hanging="216"/>
        <w:spacing w:after="0"/>
        <w:tabs>
          <w:tab w:leader="none" w:pos="420" w:val="left"/>
        </w:tabs>
        <w:numPr>
          <w:ilvl w:val="0"/>
          <w:numId w:val="87"/>
        </w:numPr>
        <w:rPr>
          <w:rFonts w:ascii="Arial" w:cs="Arial" w:eastAsia="Arial" w:hAnsi="Arial"/>
          <w:sz w:val="16"/>
          <w:szCs w:val="16"/>
          <w:color w:val="1A6DBB"/>
        </w:rPr>
      </w:pPr>
      <w:r>
        <w:rPr>
          <w:rFonts w:ascii="Arial" w:cs="Arial" w:eastAsia="Arial" w:hAnsi="Arial"/>
          <w:sz w:val="16"/>
          <w:szCs w:val="16"/>
          <w:color w:val="auto"/>
        </w:rPr>
        <w:t>In March 2018 we dosed the first patient in the Phase 2 OPUS study of natalizumab in drug-resistant focal epilepsy.</w:t>
      </w:r>
    </w:p>
    <w:p>
      <w:pPr>
        <w:spacing w:after="0" w:line="5" w:lineRule="exact"/>
        <w:rPr>
          <w:rFonts w:ascii="Arial" w:cs="Arial" w:eastAsia="Arial" w:hAnsi="Arial"/>
          <w:sz w:val="16"/>
          <w:szCs w:val="16"/>
          <w:color w:val="1A6DBB"/>
        </w:rPr>
      </w:pPr>
    </w:p>
    <w:p>
      <w:pPr>
        <w:ind w:left="420" w:right="220" w:hanging="216"/>
        <w:spacing w:after="0" w:line="260" w:lineRule="auto"/>
        <w:tabs>
          <w:tab w:leader="none" w:pos="420" w:val="left"/>
        </w:tabs>
        <w:numPr>
          <w:ilvl w:val="0"/>
          <w:numId w:val="87"/>
        </w:numPr>
        <w:rPr>
          <w:rFonts w:ascii="Arial" w:cs="Arial" w:eastAsia="Arial" w:hAnsi="Arial"/>
          <w:sz w:val="16"/>
          <w:szCs w:val="16"/>
          <w:color w:val="1A6DBB"/>
        </w:rPr>
      </w:pPr>
      <w:r>
        <w:rPr>
          <w:rFonts w:ascii="Arial" w:cs="Arial" w:eastAsia="Arial" w:hAnsi="Arial"/>
          <w:sz w:val="16"/>
          <w:szCs w:val="16"/>
          <w:color w:val="auto"/>
        </w:rPr>
        <w:t>In September 2018 we enrolled the first patient in the Phase 3 CHARM study of BIIB093, glibenclamide IV, in large hemispheric infarction, a severe form of ischemic stroke.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71755</wp:posOffset>
            </wp:positionV>
            <wp:extent cx="685800" cy="1543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-71120</wp:posOffset>
            </wp:positionV>
            <wp:extent cx="102870" cy="946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88"/>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Neurocognitive Disorders</w:t>
      </w:r>
    </w:p>
    <w:p>
      <w:pPr>
        <w:spacing w:after="0" w:line="143" w:lineRule="exact"/>
        <w:rPr>
          <w:sz w:val="20"/>
          <w:szCs w:val="20"/>
          <w:color w:val="auto"/>
        </w:rPr>
      </w:pPr>
    </w:p>
    <w:p>
      <w:pPr>
        <w:ind w:left="420" w:hanging="216"/>
        <w:spacing w:after="0"/>
        <w:tabs>
          <w:tab w:leader="none" w:pos="420" w:val="left"/>
        </w:tabs>
        <w:numPr>
          <w:ilvl w:val="0"/>
          <w:numId w:val="89"/>
        </w:numPr>
        <w:rPr>
          <w:rFonts w:ascii="Arial" w:cs="Arial" w:eastAsia="Arial" w:hAnsi="Arial"/>
          <w:sz w:val="16"/>
          <w:szCs w:val="16"/>
          <w:color w:val="1A6DBB"/>
        </w:rPr>
      </w:pPr>
      <w:r>
        <w:rPr>
          <w:rFonts w:ascii="Arial" w:cs="Arial" w:eastAsia="Arial" w:hAnsi="Arial"/>
          <w:sz w:val="16"/>
          <w:szCs w:val="16"/>
          <w:color w:val="auto"/>
        </w:rPr>
        <w:t>In December 2018 we dosed the first patient in our Phase 2b study of BIIB104 (AMPA) in CIAS.</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Pain</w:t>
      </w:r>
    </w:p>
    <w:p>
      <w:pPr>
        <w:spacing w:after="0" w:line="143" w:lineRule="exact"/>
        <w:rPr>
          <w:sz w:val="20"/>
          <w:szCs w:val="20"/>
          <w:color w:val="auto"/>
        </w:rPr>
      </w:pPr>
    </w:p>
    <w:p>
      <w:pPr>
        <w:ind w:left="420" w:hanging="216"/>
        <w:spacing w:after="0"/>
        <w:tabs>
          <w:tab w:leader="none" w:pos="420" w:val="left"/>
        </w:tabs>
        <w:numPr>
          <w:ilvl w:val="0"/>
          <w:numId w:val="90"/>
        </w:numPr>
        <w:rPr>
          <w:rFonts w:ascii="Arial" w:cs="Arial" w:eastAsia="Arial" w:hAnsi="Arial"/>
          <w:sz w:val="16"/>
          <w:szCs w:val="16"/>
          <w:color w:val="1A6DBB"/>
        </w:rPr>
      </w:pPr>
      <w:r>
        <w:rPr>
          <w:rFonts w:ascii="Arial" w:cs="Arial" w:eastAsia="Arial" w:hAnsi="Arial"/>
          <w:sz w:val="16"/>
          <w:szCs w:val="16"/>
          <w:color w:val="auto"/>
        </w:rPr>
        <w:t>In March 2018 we initiated a Phase 1 study of BIIB095, a Nav 1.7 inhibitor for neuropathic pain.</w:t>
      </w:r>
    </w:p>
    <w:p>
      <w:pPr>
        <w:spacing w:after="0" w:line="5" w:lineRule="exact"/>
        <w:rPr>
          <w:rFonts w:ascii="Arial" w:cs="Arial" w:eastAsia="Arial" w:hAnsi="Arial"/>
          <w:sz w:val="16"/>
          <w:szCs w:val="16"/>
          <w:color w:val="1A6DBB"/>
        </w:rPr>
      </w:pPr>
    </w:p>
    <w:p>
      <w:pPr>
        <w:ind w:left="420" w:hanging="216"/>
        <w:spacing w:after="0"/>
        <w:tabs>
          <w:tab w:leader="none" w:pos="420" w:val="left"/>
        </w:tabs>
        <w:numPr>
          <w:ilvl w:val="0"/>
          <w:numId w:val="90"/>
        </w:numPr>
        <w:rPr>
          <w:rFonts w:ascii="Arial" w:cs="Arial" w:eastAsia="Arial" w:hAnsi="Arial"/>
          <w:sz w:val="16"/>
          <w:szCs w:val="16"/>
          <w:color w:val="1A6DBB"/>
        </w:rPr>
      </w:pPr>
      <w:r>
        <w:rPr>
          <w:rFonts w:ascii="Arial" w:cs="Arial" w:eastAsia="Arial" w:hAnsi="Arial"/>
          <w:sz w:val="16"/>
          <w:szCs w:val="16"/>
          <w:color w:val="auto"/>
        </w:rPr>
        <w:t>In May 2018 we initiated a Phase 2 study of vixotrigine (BIIB074) in small fiber neuropathy.</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Other</w:t>
      </w:r>
    </w:p>
    <w:p>
      <w:pPr>
        <w:spacing w:after="0" w:line="143" w:lineRule="exact"/>
        <w:rPr>
          <w:sz w:val="20"/>
          <w:szCs w:val="20"/>
          <w:color w:val="auto"/>
        </w:rPr>
      </w:pPr>
    </w:p>
    <w:p>
      <w:pPr>
        <w:ind w:left="420" w:right="60" w:hanging="216"/>
        <w:spacing w:after="0" w:line="260" w:lineRule="auto"/>
        <w:tabs>
          <w:tab w:leader="none" w:pos="420" w:val="left"/>
        </w:tabs>
        <w:numPr>
          <w:ilvl w:val="0"/>
          <w:numId w:val="91"/>
        </w:numPr>
        <w:rPr>
          <w:rFonts w:ascii="Arial" w:cs="Arial" w:eastAsia="Arial" w:hAnsi="Arial"/>
          <w:sz w:val="16"/>
          <w:szCs w:val="16"/>
          <w:color w:val="1A6DBB"/>
        </w:rPr>
      </w:pPr>
      <w:r>
        <w:rPr>
          <w:rFonts w:ascii="Arial" w:cs="Arial" w:eastAsia="Arial" w:hAnsi="Arial"/>
          <w:sz w:val="16"/>
          <w:szCs w:val="16"/>
          <w:color w:val="auto"/>
        </w:rPr>
        <w:t>In September 2018 we dosed the first patient in the Phase 2b study of BG00011 (STX-100) in idiopathic pulmonary fibrosis, a chronic irreversible and ultimately fatal disease characterized by a progressive decline in lung function.</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Discontinued Programs</w:t>
      </w:r>
    </w:p>
    <w:p>
      <w:pPr>
        <w:spacing w:after="0" w:line="143" w:lineRule="exact"/>
        <w:rPr>
          <w:sz w:val="20"/>
          <w:szCs w:val="20"/>
          <w:color w:val="auto"/>
        </w:rPr>
      </w:pPr>
    </w:p>
    <w:p>
      <w:pPr>
        <w:ind w:left="420" w:right="260" w:hanging="216"/>
        <w:spacing w:after="0" w:line="246" w:lineRule="auto"/>
        <w:tabs>
          <w:tab w:leader="none" w:pos="420" w:val="left"/>
        </w:tabs>
        <w:numPr>
          <w:ilvl w:val="0"/>
          <w:numId w:val="92"/>
        </w:numPr>
        <w:rPr>
          <w:rFonts w:ascii="Arial" w:cs="Arial" w:eastAsia="Arial" w:hAnsi="Arial"/>
          <w:sz w:val="16"/>
          <w:szCs w:val="16"/>
          <w:color w:val="1A6DBB"/>
        </w:rPr>
      </w:pPr>
      <w:r>
        <w:rPr>
          <w:rFonts w:ascii="Arial" w:cs="Arial" w:eastAsia="Arial" w:hAnsi="Arial"/>
          <w:sz w:val="16"/>
          <w:szCs w:val="16"/>
          <w:color w:val="auto"/>
        </w:rPr>
        <w:t>In February 2018 we announced that the Phase 2b dose-ranging ACTION study investigating natalizumab in individuals with acute ischemic stroke (AIS) did not meet its primary endpoint. Based on these results, we discontinued development of natalizumab in AIS. The results of the Phase 2b ACTION study do not impact the benefit-risk profile of natalizumab in approved indications, including MS.</w:t>
      </w:r>
    </w:p>
    <w:p>
      <w:pPr>
        <w:spacing w:after="0" w:line="1" w:lineRule="exact"/>
        <w:rPr>
          <w:rFonts w:ascii="Arial" w:cs="Arial" w:eastAsia="Arial" w:hAnsi="Arial"/>
          <w:sz w:val="16"/>
          <w:szCs w:val="16"/>
          <w:color w:val="1A6DBB"/>
        </w:rPr>
      </w:pPr>
    </w:p>
    <w:p>
      <w:pPr>
        <w:ind w:left="420" w:hanging="216"/>
        <w:spacing w:after="0" w:line="253" w:lineRule="auto"/>
        <w:tabs>
          <w:tab w:leader="none" w:pos="420" w:val="left"/>
        </w:tabs>
        <w:numPr>
          <w:ilvl w:val="0"/>
          <w:numId w:val="92"/>
        </w:numPr>
        <w:rPr>
          <w:rFonts w:ascii="Arial" w:cs="Arial" w:eastAsia="Arial" w:hAnsi="Arial"/>
          <w:sz w:val="16"/>
          <w:szCs w:val="16"/>
          <w:color w:val="1A6DBB"/>
        </w:rPr>
      </w:pPr>
      <w:r>
        <w:rPr>
          <w:rFonts w:ascii="Arial" w:cs="Arial" w:eastAsia="Arial" w:hAnsi="Arial"/>
          <w:sz w:val="16"/>
          <w:szCs w:val="16"/>
          <w:color w:val="auto"/>
        </w:rPr>
        <w:t>In October 2018 we announced that we completed the Phase 2b study of vixotrigine (BIIB074) for the treatment of painful lumbosacral radiculopathy (PLSR). The study did not meet its primary or secondary efficacy endpoints and we discontinued development of vixotrigine for the treatment of PLSR. The safety data were consistent with the safety profile reported in previous studies.</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1A6DBB"/>
        </w:rPr>
        <w:t>Business Development</w:t>
      </w:r>
    </w:p>
    <w:p>
      <w:pPr>
        <w:spacing w:after="0" w:line="147" w:lineRule="exact"/>
        <w:rPr>
          <w:sz w:val="20"/>
          <w:szCs w:val="20"/>
          <w:color w:val="auto"/>
        </w:rPr>
      </w:pPr>
    </w:p>
    <w:p>
      <w:pPr>
        <w:ind w:left="420" w:right="40" w:hanging="216"/>
        <w:spacing w:after="0" w:line="246" w:lineRule="auto"/>
        <w:tabs>
          <w:tab w:leader="none" w:pos="420" w:val="left"/>
        </w:tabs>
        <w:numPr>
          <w:ilvl w:val="0"/>
          <w:numId w:val="93"/>
        </w:numPr>
        <w:rPr>
          <w:rFonts w:ascii="Arial" w:cs="Arial" w:eastAsia="Arial" w:hAnsi="Arial"/>
          <w:sz w:val="16"/>
          <w:szCs w:val="16"/>
          <w:color w:val="1A6DBB"/>
        </w:rPr>
      </w:pPr>
      <w:r>
        <w:rPr>
          <w:rFonts w:ascii="Arial" w:cs="Arial" w:eastAsia="Arial" w:hAnsi="Arial"/>
          <w:sz w:val="16"/>
          <w:szCs w:val="16"/>
          <w:color w:val="auto"/>
        </w:rPr>
        <w:t>In January 2018 we acquired BIIB100 from Karyopharm Therapeutics Inc. BIIB100 is a Phase 1 ready investigational oral compound for the treatment of certain neurological and neurodegenerative diseases, primarily in ALS. BIIB100 is a novel therapeutic candidate that works by inhibiting a protein known as XP01, with the goal of reducing inflammation and neurotoxicity, along with increasing neuroprotective responses.</w:t>
      </w:r>
    </w:p>
    <w:p>
      <w:pPr>
        <w:spacing w:after="0" w:line="1" w:lineRule="exact"/>
        <w:rPr>
          <w:rFonts w:ascii="Arial" w:cs="Arial" w:eastAsia="Arial" w:hAnsi="Arial"/>
          <w:sz w:val="16"/>
          <w:szCs w:val="16"/>
          <w:color w:val="1A6DBB"/>
        </w:rPr>
      </w:pPr>
    </w:p>
    <w:p>
      <w:pPr>
        <w:ind w:left="420" w:right="260" w:hanging="216"/>
        <w:spacing w:after="0" w:line="246" w:lineRule="auto"/>
        <w:tabs>
          <w:tab w:leader="none" w:pos="420" w:val="left"/>
        </w:tabs>
        <w:numPr>
          <w:ilvl w:val="0"/>
          <w:numId w:val="93"/>
        </w:numPr>
        <w:rPr>
          <w:rFonts w:ascii="Arial" w:cs="Arial" w:eastAsia="Arial" w:hAnsi="Arial"/>
          <w:sz w:val="16"/>
          <w:szCs w:val="16"/>
          <w:color w:val="1A6DBB"/>
        </w:rPr>
      </w:pPr>
      <w:r>
        <w:rPr>
          <w:rFonts w:ascii="Arial" w:cs="Arial" w:eastAsia="Arial" w:hAnsi="Arial"/>
          <w:sz w:val="16"/>
          <w:szCs w:val="16"/>
          <w:color w:val="auto"/>
        </w:rPr>
        <w:t>In April 2018 we acquired BIIB104 from Pfizer Inc. BIIB104 is a first-in-class, Phase 2b ready AMPA receptor potentiator for CIAS, representing our first program in neurocognitive disorders. AMPA receptors mediate fast excitatory synaptic transmission in the central nervous system, a process which can be disrupted in a number of neurological and psychiatric diseases, including schizophrenia.</w:t>
      </w:r>
    </w:p>
    <w:p>
      <w:pPr>
        <w:spacing w:after="0" w:line="1" w:lineRule="exact"/>
        <w:rPr>
          <w:rFonts w:ascii="Arial" w:cs="Arial" w:eastAsia="Arial" w:hAnsi="Arial"/>
          <w:sz w:val="16"/>
          <w:szCs w:val="16"/>
          <w:color w:val="1A6DBB"/>
        </w:rPr>
      </w:pPr>
    </w:p>
    <w:p>
      <w:pPr>
        <w:ind w:left="420" w:right="200" w:hanging="216"/>
        <w:spacing w:after="0" w:line="246" w:lineRule="auto"/>
        <w:tabs>
          <w:tab w:leader="none" w:pos="420" w:val="left"/>
        </w:tabs>
        <w:numPr>
          <w:ilvl w:val="0"/>
          <w:numId w:val="93"/>
        </w:numPr>
        <w:rPr>
          <w:rFonts w:ascii="Arial" w:cs="Arial" w:eastAsia="Arial" w:hAnsi="Arial"/>
          <w:sz w:val="16"/>
          <w:szCs w:val="16"/>
          <w:color w:val="1A6DBB"/>
        </w:rPr>
      </w:pPr>
      <w:r>
        <w:rPr>
          <w:rFonts w:ascii="Arial" w:cs="Arial" w:eastAsia="Arial" w:hAnsi="Arial"/>
          <w:sz w:val="16"/>
          <w:szCs w:val="16"/>
          <w:color w:val="auto"/>
        </w:rPr>
        <w:t>In June 2018 we closed a 10-year exclusive agreement with Ionis to develop novel ASO drug candidates for a broad range of neurological diseases (the 2018 Ionis Agreement). We have the option to license therapies arising out of the 2018 Ionis Agreement and will be responsible for the development and potential commercialization of such therapies.</w:t>
      </w:r>
    </w:p>
    <w:p>
      <w:pPr>
        <w:spacing w:after="0" w:line="1" w:lineRule="exact"/>
        <w:rPr>
          <w:rFonts w:ascii="Arial" w:cs="Arial" w:eastAsia="Arial" w:hAnsi="Arial"/>
          <w:sz w:val="16"/>
          <w:szCs w:val="16"/>
          <w:color w:val="1A6DBB"/>
        </w:rPr>
      </w:pPr>
    </w:p>
    <w:p>
      <w:pPr>
        <w:jc w:val="both"/>
        <w:ind w:left="420" w:right="140" w:hanging="216"/>
        <w:spacing w:after="0" w:line="246" w:lineRule="auto"/>
        <w:tabs>
          <w:tab w:leader="none" w:pos="420" w:val="left"/>
        </w:tabs>
        <w:numPr>
          <w:ilvl w:val="0"/>
          <w:numId w:val="93"/>
        </w:numPr>
        <w:rPr>
          <w:rFonts w:ascii="Arial" w:cs="Arial" w:eastAsia="Arial" w:hAnsi="Arial"/>
          <w:sz w:val="16"/>
          <w:szCs w:val="16"/>
          <w:color w:val="1A6DBB"/>
        </w:rPr>
      </w:pPr>
      <w:r>
        <w:rPr>
          <w:rFonts w:ascii="Arial" w:cs="Arial" w:eastAsia="Arial" w:hAnsi="Arial"/>
          <w:sz w:val="16"/>
          <w:szCs w:val="16"/>
          <w:color w:val="auto"/>
        </w:rPr>
        <w:t>In June 2018 we entered into an exclusive option agreement with TMS Co., Ltd. granting us the option to acquire TMS-007, a plasminogen activator with a novel mechanism of action associated with breaking down blood clots, which is in Phase 2 development in Japan, and backup compounds for the treatment of stroke.</w:t>
      </w:r>
    </w:p>
    <w:p>
      <w:pPr>
        <w:spacing w:after="0" w:line="1" w:lineRule="exact"/>
        <w:rPr>
          <w:rFonts w:ascii="Arial" w:cs="Arial" w:eastAsia="Arial" w:hAnsi="Arial"/>
          <w:sz w:val="16"/>
          <w:szCs w:val="16"/>
          <w:color w:val="1A6DBB"/>
        </w:rPr>
      </w:pPr>
    </w:p>
    <w:p>
      <w:pPr>
        <w:ind w:left="420" w:right="120" w:hanging="216"/>
        <w:spacing w:after="0" w:line="246" w:lineRule="auto"/>
        <w:tabs>
          <w:tab w:leader="none" w:pos="420" w:val="left"/>
        </w:tabs>
        <w:numPr>
          <w:ilvl w:val="0"/>
          <w:numId w:val="93"/>
        </w:numPr>
        <w:rPr>
          <w:rFonts w:ascii="Arial" w:cs="Arial" w:eastAsia="Arial" w:hAnsi="Arial"/>
          <w:sz w:val="16"/>
          <w:szCs w:val="16"/>
          <w:color w:val="1A6DBB"/>
        </w:rPr>
      </w:pPr>
      <w:r>
        <w:rPr>
          <w:rFonts w:ascii="Arial" w:cs="Arial" w:eastAsia="Arial" w:hAnsi="Arial"/>
          <w:sz w:val="16"/>
          <w:szCs w:val="16"/>
          <w:color w:val="auto"/>
        </w:rPr>
        <w:t>In June 2018 we exercised our option under our joint venture agreement with Samsung BioLogics to increase our ownership percentage in Samsung Bioepis from approximately 5% to approximately 49.9%. The share purchase transaction was completed in November 2018.</w:t>
      </w:r>
    </w:p>
    <w:p>
      <w:pPr>
        <w:ind w:left="420" w:right="180" w:hanging="216"/>
        <w:spacing w:after="0" w:line="246" w:lineRule="auto"/>
        <w:tabs>
          <w:tab w:leader="none" w:pos="420" w:val="left"/>
        </w:tabs>
        <w:numPr>
          <w:ilvl w:val="0"/>
          <w:numId w:val="93"/>
        </w:numPr>
        <w:rPr>
          <w:rFonts w:ascii="Arial" w:cs="Arial" w:eastAsia="Arial" w:hAnsi="Arial"/>
          <w:sz w:val="16"/>
          <w:szCs w:val="16"/>
          <w:color w:val="1A6DBB"/>
        </w:rPr>
      </w:pPr>
      <w:r>
        <w:rPr>
          <w:rFonts w:ascii="Arial" w:cs="Arial" w:eastAsia="Arial" w:hAnsi="Arial"/>
          <w:sz w:val="16"/>
          <w:szCs w:val="16"/>
          <w:color w:val="auto"/>
        </w:rPr>
        <w:t>In July 2018 we acquired BIIB110 (Phase 1a) and ALG-802 (preclinical) from AliveGen Inc. BIIB110 and ALG-802 represent novel ways of targeting the myostatin pathway. We initially plan to study BIIB110 in multiple neuromuscular indications, including SMA and ALS.</w:t>
      </w:r>
    </w:p>
    <w:p>
      <w:pPr>
        <w:ind w:left="420" w:right="420" w:hanging="216"/>
        <w:spacing w:after="0" w:line="246" w:lineRule="auto"/>
        <w:tabs>
          <w:tab w:leader="none" w:pos="420" w:val="left"/>
        </w:tabs>
        <w:numPr>
          <w:ilvl w:val="0"/>
          <w:numId w:val="93"/>
        </w:numPr>
        <w:rPr>
          <w:rFonts w:ascii="Arial" w:cs="Arial" w:eastAsia="Arial" w:hAnsi="Arial"/>
          <w:sz w:val="16"/>
          <w:szCs w:val="16"/>
          <w:color w:val="1A6DBB"/>
        </w:rPr>
      </w:pPr>
      <w:r>
        <w:rPr>
          <w:rFonts w:ascii="Arial" w:cs="Arial" w:eastAsia="Arial" w:hAnsi="Arial"/>
          <w:sz w:val="16"/>
          <w:szCs w:val="16"/>
          <w:color w:val="auto"/>
        </w:rPr>
        <w:t>In December 2018 we exercised our option with Ionis and obtained a worldwide, exclusive, royalty-bearing license to develop and commercialize BIIB067, an investigational treatment for ALS with SOD1 mutations.</w:t>
      </w:r>
    </w:p>
    <w:p>
      <w:pPr>
        <w:ind w:left="420" w:hanging="216"/>
        <w:spacing w:after="0" w:line="253" w:lineRule="auto"/>
        <w:tabs>
          <w:tab w:leader="none" w:pos="420" w:val="left"/>
        </w:tabs>
        <w:numPr>
          <w:ilvl w:val="0"/>
          <w:numId w:val="93"/>
        </w:numPr>
        <w:rPr>
          <w:rFonts w:ascii="Arial" w:cs="Arial" w:eastAsia="Arial" w:hAnsi="Arial"/>
          <w:sz w:val="16"/>
          <w:szCs w:val="16"/>
          <w:color w:val="1A6DBB"/>
        </w:rPr>
      </w:pPr>
      <w:r>
        <w:rPr>
          <w:rFonts w:ascii="Arial" w:cs="Arial" w:eastAsia="Arial" w:hAnsi="Arial"/>
          <w:sz w:val="16"/>
          <w:szCs w:val="16"/>
          <w:color w:val="auto"/>
        </w:rPr>
        <w:t>In December 2018 we entered into a collaborative research and license agreement with C4 Therapeutics (C4T) to investigate the use of C4T’s novel protein degradation platform to discover and develop potential new treatments for neurological diseases, such as Alzheimer’s disease and Parkinson’s disease. We will be responsible for the development and potential commercialization of any therapies resulting from this collaboration.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75565</wp:posOffset>
            </wp:positionV>
            <wp:extent cx="685800" cy="1543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-71120</wp:posOffset>
            </wp:positionV>
            <wp:extent cx="102870" cy="946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94"/>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1A6DBB"/>
        </w:rPr>
        <w:t>Share Repurchase Activity</w:t>
      </w:r>
    </w:p>
    <w:p>
      <w:pPr>
        <w:spacing w:after="0" w:line="147" w:lineRule="exact"/>
        <w:rPr>
          <w:sz w:val="20"/>
          <w:szCs w:val="20"/>
          <w:color w:val="auto"/>
        </w:rPr>
      </w:pPr>
    </w:p>
    <w:p>
      <w:pPr>
        <w:ind w:left="420" w:hanging="216"/>
        <w:spacing w:after="0" w:line="246" w:lineRule="auto"/>
        <w:tabs>
          <w:tab w:leader="none" w:pos="420" w:val="left"/>
        </w:tabs>
        <w:numPr>
          <w:ilvl w:val="0"/>
          <w:numId w:val="95"/>
        </w:numPr>
        <w:rPr>
          <w:rFonts w:ascii="Arial" w:cs="Arial" w:eastAsia="Arial" w:hAnsi="Arial"/>
          <w:sz w:val="16"/>
          <w:szCs w:val="16"/>
          <w:color w:val="1A6DBB"/>
        </w:rPr>
      </w:pPr>
      <w:r>
        <w:rPr>
          <w:rFonts w:ascii="Arial" w:cs="Arial" w:eastAsia="Arial" w:hAnsi="Arial"/>
          <w:sz w:val="16"/>
          <w:szCs w:val="16"/>
          <w:color w:val="auto"/>
        </w:rPr>
        <w:t>In August 2018 our Board of Directors authorized a program to repurchase up to $3.5 billion of our common stock (2018 Share Repurchase Program). Our 2018 Share Repurchase Program does not have an expiration date. All share repurchases under our 2018 Share Repurchase Program will be retired.</w:t>
      </w:r>
    </w:p>
    <w:p>
      <w:pPr>
        <w:spacing w:after="0" w:line="1" w:lineRule="exact"/>
        <w:rPr>
          <w:rFonts w:ascii="Arial" w:cs="Arial" w:eastAsia="Arial" w:hAnsi="Arial"/>
          <w:sz w:val="16"/>
          <w:szCs w:val="16"/>
          <w:color w:val="1A6DBB"/>
        </w:rPr>
      </w:pPr>
    </w:p>
    <w:p>
      <w:pPr>
        <w:ind w:left="420" w:right="80" w:hanging="216"/>
        <w:spacing w:after="0" w:line="253" w:lineRule="auto"/>
        <w:tabs>
          <w:tab w:leader="none" w:pos="420" w:val="left"/>
        </w:tabs>
        <w:numPr>
          <w:ilvl w:val="0"/>
          <w:numId w:val="95"/>
        </w:numPr>
        <w:rPr>
          <w:rFonts w:ascii="Arial" w:cs="Arial" w:eastAsia="Arial" w:hAnsi="Arial"/>
          <w:sz w:val="16"/>
          <w:szCs w:val="16"/>
          <w:color w:val="1A6DBB"/>
        </w:rPr>
      </w:pPr>
      <w:r>
        <w:rPr>
          <w:rFonts w:ascii="Arial" w:cs="Arial" w:eastAsia="Arial" w:hAnsi="Arial"/>
          <w:sz w:val="16"/>
          <w:szCs w:val="16"/>
          <w:color w:val="auto"/>
        </w:rPr>
        <w:t>We returned approximately $4.4 billion to stockholders in 2018 through share repurchases under our 2018 Share Repurchase Program and our 2016 Share Repurchase Program, which was a program authorized by our Board of Directors in July 2016 to repurchase up to $5.0 billion of our common stock and which was completed as of June 30, 2018.</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1A6DBB"/>
        </w:rPr>
        <w:t>Other Notable Achievements in the Workplace and Community</w:t>
      </w:r>
    </w:p>
    <w:p>
      <w:pPr>
        <w:spacing w:after="0" w:line="147" w:lineRule="exact"/>
        <w:rPr>
          <w:sz w:val="20"/>
          <w:szCs w:val="20"/>
          <w:color w:val="auto"/>
        </w:rPr>
      </w:pPr>
    </w:p>
    <w:p>
      <w:pPr>
        <w:ind w:left="420" w:hanging="216"/>
        <w:spacing w:after="0" w:line="246" w:lineRule="auto"/>
        <w:tabs>
          <w:tab w:leader="none" w:pos="420" w:val="left"/>
        </w:tabs>
        <w:numPr>
          <w:ilvl w:val="0"/>
          <w:numId w:val="96"/>
        </w:numPr>
        <w:rPr>
          <w:rFonts w:ascii="Arial" w:cs="Arial" w:eastAsia="Arial" w:hAnsi="Arial"/>
          <w:sz w:val="16"/>
          <w:szCs w:val="16"/>
          <w:color w:val="1A6DBB"/>
        </w:rPr>
      </w:pPr>
      <w:r>
        <w:rPr>
          <w:rFonts w:ascii="Arial" w:cs="Arial" w:eastAsia="Arial" w:hAnsi="Arial"/>
          <w:sz w:val="16"/>
          <w:szCs w:val="16"/>
          <w:color w:val="auto"/>
        </w:rPr>
        <w:t>Awarded the 2018 International Prix Galien as Best Biotechnology Product for SPINRAZA. The prestigious honor marks the seventh Prix Galien for SPINRAZA, following country recognitions in the U.S., Germany, Italy, Belgium-Luxembourg, the Netherlands and the U.K. The International Prix Galien is given every two years by Prix Galien International Committee members in recognition of excellence in scientific innovation to improve human health.</w:t>
      </w:r>
    </w:p>
    <w:p>
      <w:pPr>
        <w:spacing w:after="0" w:line="1" w:lineRule="exact"/>
        <w:rPr>
          <w:rFonts w:ascii="Arial" w:cs="Arial" w:eastAsia="Arial" w:hAnsi="Arial"/>
          <w:sz w:val="16"/>
          <w:szCs w:val="16"/>
          <w:color w:val="1A6DBB"/>
        </w:rPr>
      </w:pPr>
    </w:p>
    <w:p>
      <w:pPr>
        <w:ind w:left="420" w:hanging="216"/>
        <w:spacing w:after="0"/>
        <w:tabs>
          <w:tab w:leader="none" w:pos="420" w:val="left"/>
        </w:tabs>
        <w:numPr>
          <w:ilvl w:val="0"/>
          <w:numId w:val="96"/>
        </w:numPr>
        <w:rPr>
          <w:rFonts w:ascii="Arial" w:cs="Arial" w:eastAsia="Arial" w:hAnsi="Arial"/>
          <w:sz w:val="16"/>
          <w:szCs w:val="16"/>
          <w:color w:val="1A6DBB"/>
        </w:rPr>
      </w:pPr>
      <w:r>
        <w:rPr>
          <w:rFonts w:ascii="Arial" w:cs="Arial" w:eastAsia="Arial" w:hAnsi="Arial"/>
          <w:sz w:val="16"/>
          <w:szCs w:val="16"/>
          <w:color w:val="auto"/>
        </w:rPr>
        <w:t>Named the Biotechnology Industry Leader on the Dow Jones Sustainability World Index.</w:t>
      </w:r>
    </w:p>
    <w:p>
      <w:pPr>
        <w:spacing w:after="0" w:line="5" w:lineRule="exact"/>
        <w:rPr>
          <w:rFonts w:ascii="Arial" w:cs="Arial" w:eastAsia="Arial" w:hAnsi="Arial"/>
          <w:sz w:val="16"/>
          <w:szCs w:val="16"/>
          <w:color w:val="1A6DBB"/>
        </w:rPr>
      </w:pPr>
    </w:p>
    <w:p>
      <w:pPr>
        <w:ind w:left="420" w:hanging="216"/>
        <w:spacing w:after="0"/>
        <w:tabs>
          <w:tab w:leader="none" w:pos="420" w:val="left"/>
        </w:tabs>
        <w:numPr>
          <w:ilvl w:val="0"/>
          <w:numId w:val="96"/>
        </w:numPr>
        <w:rPr>
          <w:rFonts w:ascii="Arial" w:cs="Arial" w:eastAsia="Arial" w:hAnsi="Arial"/>
          <w:sz w:val="16"/>
          <w:szCs w:val="16"/>
          <w:color w:val="1A6DBB"/>
        </w:rPr>
      </w:pPr>
      <w:r>
        <w:rPr>
          <w:rFonts w:ascii="Arial" w:cs="Arial" w:eastAsia="Arial" w:hAnsi="Arial"/>
          <w:sz w:val="16"/>
          <w:szCs w:val="16"/>
          <w:color w:val="auto"/>
        </w:rPr>
        <w:t>Recognized as a corporate sustainability leader with Gold Class and Industry Mover Sustainability Awards from RobecoSAM.</w:t>
      </w:r>
    </w:p>
    <w:p>
      <w:pPr>
        <w:spacing w:after="0" w:line="5" w:lineRule="exact"/>
        <w:rPr>
          <w:rFonts w:ascii="Arial" w:cs="Arial" w:eastAsia="Arial" w:hAnsi="Arial"/>
          <w:sz w:val="16"/>
          <w:szCs w:val="16"/>
          <w:color w:val="1A6DBB"/>
        </w:rPr>
      </w:pPr>
    </w:p>
    <w:p>
      <w:pPr>
        <w:ind w:left="420" w:hanging="216"/>
        <w:spacing w:after="0"/>
        <w:tabs>
          <w:tab w:leader="none" w:pos="420" w:val="left"/>
        </w:tabs>
        <w:numPr>
          <w:ilvl w:val="0"/>
          <w:numId w:val="96"/>
        </w:numPr>
        <w:rPr>
          <w:rFonts w:ascii="Arial" w:cs="Arial" w:eastAsia="Arial" w:hAnsi="Arial"/>
          <w:sz w:val="16"/>
          <w:szCs w:val="16"/>
          <w:color w:val="1A6DBB"/>
        </w:rPr>
      </w:pPr>
      <w:r>
        <w:rPr>
          <w:rFonts w:ascii="Arial" w:cs="Arial" w:eastAsia="Arial" w:hAnsi="Arial"/>
          <w:sz w:val="16"/>
          <w:szCs w:val="16"/>
          <w:color w:val="auto"/>
        </w:rPr>
        <w:t>Continued commitment to operational carbon neutrality highlighted through the use of 100% renewable electricity globally.</w:t>
      </w:r>
    </w:p>
    <w:p>
      <w:pPr>
        <w:spacing w:after="0" w:line="5" w:lineRule="exact"/>
        <w:rPr>
          <w:rFonts w:ascii="Arial" w:cs="Arial" w:eastAsia="Arial" w:hAnsi="Arial"/>
          <w:sz w:val="16"/>
          <w:szCs w:val="16"/>
          <w:color w:val="1A6DBB"/>
        </w:rPr>
      </w:pPr>
    </w:p>
    <w:p>
      <w:pPr>
        <w:ind w:left="420" w:right="100" w:hanging="216"/>
        <w:spacing w:after="0" w:line="246" w:lineRule="auto"/>
        <w:tabs>
          <w:tab w:leader="none" w:pos="420" w:val="left"/>
        </w:tabs>
        <w:numPr>
          <w:ilvl w:val="0"/>
          <w:numId w:val="96"/>
        </w:numPr>
        <w:rPr>
          <w:rFonts w:ascii="Arial" w:cs="Arial" w:eastAsia="Arial" w:hAnsi="Arial"/>
          <w:sz w:val="16"/>
          <w:szCs w:val="16"/>
          <w:color w:val="1A6DBB"/>
        </w:rPr>
      </w:pPr>
      <w:r>
        <w:rPr>
          <w:rFonts w:ascii="Arial" w:cs="Arial" w:eastAsia="Arial" w:hAnsi="Arial"/>
          <w:sz w:val="16"/>
          <w:szCs w:val="16"/>
          <w:color w:val="auto"/>
        </w:rPr>
        <w:t>Committed to reduce carbon emissions by a targeted amount approved by the Science Based Target Initiative, to align ourselves with the global goal of limiting global temperature rise to under two degrees Celsius.</w:t>
      </w:r>
    </w:p>
    <w:p>
      <w:pPr>
        <w:ind w:left="420" w:hanging="216"/>
        <w:spacing w:after="0"/>
        <w:tabs>
          <w:tab w:leader="none" w:pos="420" w:val="left"/>
        </w:tabs>
        <w:numPr>
          <w:ilvl w:val="0"/>
          <w:numId w:val="96"/>
        </w:numPr>
        <w:rPr>
          <w:rFonts w:ascii="Arial" w:cs="Arial" w:eastAsia="Arial" w:hAnsi="Arial"/>
          <w:sz w:val="16"/>
          <w:szCs w:val="16"/>
          <w:color w:val="1A6DBB"/>
        </w:rPr>
      </w:pPr>
      <w:r>
        <w:rPr>
          <w:rFonts w:ascii="Arial" w:cs="Arial" w:eastAsia="Arial" w:hAnsi="Arial"/>
          <w:sz w:val="16"/>
          <w:szCs w:val="16"/>
          <w:color w:val="auto"/>
        </w:rPr>
        <w:t>Earned CDP scores of A, A- and B in the areas of Supplier Engagement, Climate Change and Water, respectively.</w:t>
      </w:r>
    </w:p>
    <w:p>
      <w:pPr>
        <w:spacing w:after="0" w:line="5" w:lineRule="exact"/>
        <w:rPr>
          <w:rFonts w:ascii="Arial" w:cs="Arial" w:eastAsia="Arial" w:hAnsi="Arial"/>
          <w:sz w:val="16"/>
          <w:szCs w:val="16"/>
          <w:color w:val="1A6DBB"/>
        </w:rPr>
      </w:pPr>
    </w:p>
    <w:p>
      <w:pPr>
        <w:ind w:left="420" w:right="140" w:hanging="216"/>
        <w:spacing w:after="0" w:line="246" w:lineRule="auto"/>
        <w:tabs>
          <w:tab w:leader="none" w:pos="420" w:val="left"/>
        </w:tabs>
        <w:numPr>
          <w:ilvl w:val="0"/>
          <w:numId w:val="96"/>
        </w:numPr>
        <w:rPr>
          <w:rFonts w:ascii="Arial" w:cs="Arial" w:eastAsia="Arial" w:hAnsi="Arial"/>
          <w:sz w:val="16"/>
          <w:szCs w:val="16"/>
          <w:color w:val="1A6DBB"/>
        </w:rPr>
      </w:pPr>
      <w:r>
        <w:rPr>
          <w:rFonts w:ascii="Arial" w:cs="Arial" w:eastAsia="Arial" w:hAnsi="Arial"/>
          <w:sz w:val="16"/>
          <w:szCs w:val="16"/>
          <w:color w:val="auto"/>
        </w:rPr>
        <w:t>Earned a perfect score of 100% on the Human Rights Campaign’s Corporate Equality Index (a national benchmarking tool on corporate policies and practices pertinent to LGBTQ employees) for the fifth consecutive year.</w:t>
      </w:r>
    </w:p>
    <w:p>
      <w:pPr>
        <w:ind w:left="420" w:hanging="216"/>
        <w:spacing w:after="0"/>
        <w:tabs>
          <w:tab w:leader="none" w:pos="420" w:val="left"/>
        </w:tabs>
        <w:numPr>
          <w:ilvl w:val="0"/>
          <w:numId w:val="96"/>
        </w:numPr>
        <w:rPr>
          <w:rFonts w:ascii="Arial" w:cs="Arial" w:eastAsia="Arial" w:hAnsi="Arial"/>
          <w:sz w:val="16"/>
          <w:szCs w:val="16"/>
          <w:color w:val="1A6DBB"/>
        </w:rPr>
      </w:pPr>
      <w:r>
        <w:rPr>
          <w:rFonts w:ascii="Arial" w:cs="Arial" w:eastAsia="Arial" w:hAnsi="Arial"/>
          <w:sz w:val="16"/>
          <w:szCs w:val="16"/>
          <w:color w:val="auto"/>
        </w:rPr>
        <w:t>Continued commitment to diversity and inclusion. As of December 31, 2018, 44% of Director-level positions and above were held by women.</w:t>
      </w:r>
    </w:p>
    <w:p>
      <w:pPr>
        <w:spacing w:after="0" w:line="5" w:lineRule="exact"/>
        <w:rPr>
          <w:rFonts w:ascii="Arial" w:cs="Arial" w:eastAsia="Arial" w:hAnsi="Arial"/>
          <w:sz w:val="16"/>
          <w:szCs w:val="16"/>
          <w:color w:val="1A6DBB"/>
        </w:rPr>
      </w:pPr>
    </w:p>
    <w:p>
      <w:pPr>
        <w:ind w:left="420" w:hanging="216"/>
        <w:spacing w:after="0"/>
        <w:tabs>
          <w:tab w:leader="none" w:pos="420" w:val="left"/>
        </w:tabs>
        <w:numPr>
          <w:ilvl w:val="0"/>
          <w:numId w:val="96"/>
        </w:numPr>
        <w:rPr>
          <w:rFonts w:ascii="Arial" w:cs="Arial" w:eastAsia="Arial" w:hAnsi="Arial"/>
          <w:sz w:val="16"/>
          <w:szCs w:val="16"/>
          <w:color w:val="1A6DBB"/>
        </w:rPr>
      </w:pPr>
      <w:r>
        <w:rPr>
          <w:rFonts w:ascii="Arial" w:cs="Arial" w:eastAsia="Arial" w:hAnsi="Arial"/>
          <w:sz w:val="16"/>
          <w:szCs w:val="16"/>
          <w:color w:val="auto"/>
        </w:rPr>
        <w:t>Over 3,200 employees volunteered from 28 countries during our annual Care Deeply Day.</w:t>
      </w:r>
    </w:p>
    <w:p>
      <w:pPr>
        <w:spacing w:after="0" w:line="5" w:lineRule="exact"/>
        <w:rPr>
          <w:rFonts w:ascii="Arial" w:cs="Arial" w:eastAsia="Arial" w:hAnsi="Arial"/>
          <w:sz w:val="16"/>
          <w:szCs w:val="16"/>
          <w:color w:val="1A6DBB"/>
        </w:rPr>
      </w:pPr>
    </w:p>
    <w:p>
      <w:pPr>
        <w:ind w:left="420" w:hanging="216"/>
        <w:spacing w:after="0"/>
        <w:tabs>
          <w:tab w:leader="none" w:pos="420" w:val="left"/>
        </w:tabs>
        <w:numPr>
          <w:ilvl w:val="0"/>
          <w:numId w:val="96"/>
        </w:numPr>
        <w:rPr>
          <w:rFonts w:ascii="Arial" w:cs="Arial" w:eastAsia="Arial" w:hAnsi="Arial"/>
          <w:sz w:val="16"/>
          <w:szCs w:val="16"/>
          <w:color w:val="1A6DBB"/>
        </w:rPr>
      </w:pPr>
      <w:r>
        <w:rPr>
          <w:rFonts w:ascii="Arial" w:cs="Arial" w:eastAsia="Arial" w:hAnsi="Arial"/>
          <w:sz w:val="16"/>
          <w:szCs w:val="16"/>
          <w:color w:val="auto"/>
        </w:rPr>
        <w:t>Engaged 50,000+ students in hands-on learning to inspire their passion for science since the inception of Biogen’s Community Labs.</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1A6DBB"/>
        </w:rPr>
        <w:t>2018 Executive Compensation Programs and Pay-for-Performance Alignment</w:t>
      </w:r>
    </w:p>
    <w:p>
      <w:pPr>
        <w:spacing w:after="0" w:line="128" w:lineRule="exact"/>
        <w:rPr>
          <w:sz w:val="20"/>
          <w:szCs w:val="20"/>
          <w:color w:val="auto"/>
        </w:rPr>
      </w:pPr>
    </w:p>
    <w:p>
      <w:pPr>
        <w:ind w:left="200" w:right="240"/>
        <w:spacing w:after="0" w:line="253" w:lineRule="auto"/>
        <w:rPr>
          <w:sz w:val="20"/>
          <w:szCs w:val="20"/>
          <w:color w:val="auto"/>
        </w:rPr>
      </w:pPr>
      <w:r>
        <w:rPr>
          <w:rFonts w:ascii="Arial" w:cs="Arial" w:eastAsia="Arial" w:hAnsi="Arial"/>
          <w:sz w:val="16"/>
          <w:szCs w:val="16"/>
          <w:color w:val="auto"/>
        </w:rPr>
        <w:t>We believe our executive compensation programs are effectively designed and have worked well to implement a pay-for-performance culture that is aligned with the interests of our stockholders. In 2018 our executive compensation programs consisted of base salary, short- and long-term incentives and other benefits.</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1A6DBB"/>
        </w:rPr>
        <w:t>91% of our CEO’s and 84% of our other NEOs’ 2018 target compensation was performance-based and at-risk.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92075</wp:posOffset>
            </wp:positionV>
            <wp:extent cx="4673600" cy="13119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673600"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740" w:right="380" w:hanging="320"/>
        <w:spacing w:after="0" w:line="258" w:lineRule="auto"/>
        <w:tabs>
          <w:tab w:leader="none" w:pos="7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Reflects annual salary, target bonus and target grant value of the 2018 annual long-term incentive awards. The NEO compensation mix excludes the one-time transition awards of RSUs granted to Dr. Ehlers, Ms. Alexander and Dr. McKenzie, as described in further detail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69215</wp:posOffset>
            </wp:positionV>
            <wp:extent cx="685800" cy="1543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-71120</wp:posOffset>
            </wp:positionV>
            <wp:extent cx="102870" cy="946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98"/>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1A6DBB"/>
        </w:rPr>
        <w:t>100% of our NEOs’ 2018 annual long-term incentive (LTI) grants were performance-based and at-risk.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92075</wp:posOffset>
            </wp:positionV>
            <wp:extent cx="2787015" cy="16979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787015" cy="1697990"/>
                    </a:xfrm>
                    <a:prstGeom prst="rect">
                      <a:avLst/>
                    </a:prstGeom>
                    <a:noFill/>
                  </pic:spPr>
                </pic:pic>
              </a:graphicData>
            </a:graphic>
          </wp:anchor>
        </w:drawing>
      </w:r>
    </w:p>
    <w:p>
      <w:pPr>
        <w:spacing w:after="0" w:line="127" w:lineRule="exact"/>
        <w:rPr>
          <w:sz w:val="20"/>
          <w:szCs w:val="20"/>
          <w:color w:val="auto"/>
        </w:rPr>
      </w:pPr>
    </w:p>
    <w:p>
      <w:pPr>
        <w:jc w:val="both"/>
        <w:ind w:left="6060" w:right="140" w:hanging="214"/>
        <w:spacing w:after="0" w:line="246" w:lineRule="auto"/>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60% earned based on achievement of three-year adjusted Non-GAAP</w:t>
      </w:r>
      <w:r>
        <w:rPr>
          <w:rFonts w:ascii="Arial" w:cs="Arial" w:eastAsia="Arial" w:hAnsi="Arial"/>
          <w:sz w:val="16"/>
          <w:szCs w:val="16"/>
          <w:color w:val="1A6DBB"/>
        </w:rPr>
        <w:t xml:space="preserve"> </w:t>
      </w:r>
      <w:r>
        <w:rPr>
          <w:rFonts w:ascii="Arial" w:cs="Arial" w:eastAsia="Arial" w:hAnsi="Arial"/>
          <w:sz w:val="16"/>
          <w:szCs w:val="16"/>
          <w:color w:val="000000"/>
        </w:rPr>
        <w:t>diluted earnings per share (EPS) and pipeline milestone performance goals</w:t>
      </w:r>
    </w:p>
    <w:p>
      <w:pPr>
        <w:spacing w:after="0" w:line="1" w:lineRule="exact"/>
        <w:rPr>
          <w:sz w:val="20"/>
          <w:szCs w:val="20"/>
          <w:color w:val="auto"/>
        </w:rPr>
      </w:pPr>
    </w:p>
    <w:p>
      <w:pPr>
        <w:ind w:left="6060" w:right="220" w:hanging="214"/>
        <w:spacing w:after="0" w:line="246" w:lineRule="auto"/>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40% earned based on achievement of adjusted Non-GAAP free cash</w:t>
      </w:r>
      <w:r>
        <w:rPr>
          <w:rFonts w:ascii="Arial" w:cs="Arial" w:eastAsia="Arial" w:hAnsi="Arial"/>
          <w:sz w:val="16"/>
          <w:szCs w:val="16"/>
          <w:color w:val="1A6DBB"/>
        </w:rPr>
        <w:t xml:space="preserve"> </w:t>
      </w:r>
      <w:r>
        <w:rPr>
          <w:rFonts w:ascii="Arial" w:cs="Arial" w:eastAsia="Arial" w:hAnsi="Arial"/>
          <w:sz w:val="16"/>
          <w:szCs w:val="16"/>
          <w:color w:val="000000"/>
        </w:rPr>
        <w:t>flows and revenues over three one-year performance periods</w:t>
      </w:r>
    </w:p>
    <w:p>
      <w:pPr>
        <w:spacing w:after="0" w:line="1" w:lineRule="exact"/>
        <w:rPr>
          <w:sz w:val="20"/>
          <w:szCs w:val="20"/>
          <w:color w:val="auto"/>
        </w:rPr>
      </w:pPr>
    </w:p>
    <w:p>
      <w:pPr>
        <w:ind w:left="6060" w:right="380" w:hanging="214"/>
        <w:spacing w:after="0" w:line="260" w:lineRule="auto"/>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PSUs were introduced in 2018. For more information on our PSUs,</w:t>
      </w:r>
      <w:r>
        <w:rPr>
          <w:rFonts w:ascii="Arial" w:cs="Arial" w:eastAsia="Arial" w:hAnsi="Arial"/>
          <w:sz w:val="16"/>
          <w:szCs w:val="16"/>
          <w:color w:val="1A6DBB"/>
        </w:rPr>
        <w:t xml:space="preserve"> </w:t>
      </w:r>
      <w:r>
        <w:rPr>
          <w:rFonts w:ascii="Arial" w:cs="Arial" w:eastAsia="Arial" w:hAnsi="Arial"/>
          <w:sz w:val="16"/>
          <w:szCs w:val="16"/>
          <w:color w:val="000000"/>
        </w:rPr>
        <w:t>please see “Long-Term Incentives – 2018 PSUs” below.</w:t>
      </w:r>
    </w:p>
    <w:p>
      <w:pPr>
        <w:spacing w:after="0" w:line="344" w:lineRule="exact"/>
        <w:rPr>
          <w:sz w:val="20"/>
          <w:szCs w:val="20"/>
          <w:color w:val="auto"/>
        </w:rPr>
      </w:pPr>
    </w:p>
    <w:p>
      <w:pPr>
        <w:ind w:left="6060" w:right="40" w:hanging="214"/>
        <w:spacing w:after="0" w:line="260" w:lineRule="auto"/>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Earned based on stock price performance over one, two and three year</w:t>
      </w:r>
      <w:r>
        <w:rPr>
          <w:rFonts w:ascii="Arial" w:cs="Arial" w:eastAsia="Arial" w:hAnsi="Arial"/>
          <w:sz w:val="16"/>
          <w:szCs w:val="16"/>
          <w:color w:val="1A6DBB"/>
        </w:rPr>
        <w:t xml:space="preserve"> </w:t>
      </w:r>
      <w:r>
        <w:rPr>
          <w:rFonts w:ascii="Arial" w:cs="Arial" w:eastAsia="Arial" w:hAnsi="Arial"/>
          <w:sz w:val="16"/>
          <w:szCs w:val="16"/>
          <w:color w:val="000000"/>
        </w:rPr>
        <w:t>periods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1A6DBB"/>
        </w:rPr>
        <w:t>Our 2018 performance-based compensation payouts align with our commitment to strong performance.</w:t>
      </w:r>
    </w:p>
    <w:p>
      <w:pPr>
        <w:spacing w:after="0" w:line="133" w:lineRule="exact"/>
        <w:rPr>
          <w:sz w:val="20"/>
          <w:szCs w:val="20"/>
          <w:color w:val="auto"/>
        </w:rPr>
      </w:pPr>
    </w:p>
    <w:p>
      <w:pPr>
        <w:ind w:left="200" w:right="80"/>
        <w:spacing w:after="0" w:line="253" w:lineRule="auto"/>
        <w:rPr>
          <w:sz w:val="20"/>
          <w:szCs w:val="20"/>
          <w:color w:val="auto"/>
        </w:rPr>
      </w:pPr>
      <w:r>
        <w:rPr>
          <w:rFonts w:ascii="Arial" w:cs="Arial" w:eastAsia="Arial" w:hAnsi="Arial"/>
          <w:sz w:val="16"/>
          <w:szCs w:val="16"/>
          <w:color w:val="auto"/>
        </w:rPr>
        <w:t>In 2018 we exceeded the vast majority of the corporate performance goals that we set at the beginning of the year for our incentive compensation plans. As a result, the payouts, as a percentage of target, for our 2018 annual bonus plan and the portions of our PSUs and MSUs that were eligible to be earned based on 2018 performance were above target payout amounts, as described in further detail below.</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1A6DBB"/>
        </w:rPr>
        <w:t>2018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6085205</wp:posOffset>
            </wp:positionH>
            <wp:positionV relativeFrom="paragraph">
              <wp:posOffset>92075</wp:posOffset>
            </wp:positionV>
            <wp:extent cx="1046480" cy="104648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046480" cy="1046480"/>
                    </a:xfrm>
                    <a:prstGeom prst="rect">
                      <a:avLst/>
                    </a:prstGeom>
                    <a:noFill/>
                  </pic:spPr>
                </pic:pic>
              </a:graphicData>
            </a:graphic>
          </wp:anchor>
        </w:drawing>
      </w:r>
    </w:p>
    <w:p>
      <w:pPr>
        <w:spacing w:after="0" w:line="329" w:lineRule="exact"/>
        <w:rPr>
          <w:sz w:val="20"/>
          <w:szCs w:val="20"/>
          <w:color w:val="auto"/>
        </w:rPr>
      </w:pPr>
    </w:p>
    <w:p>
      <w:pPr>
        <w:ind w:left="200" w:right="2080"/>
        <w:spacing w:after="0" w:line="250" w:lineRule="auto"/>
        <w:rPr>
          <w:sz w:val="20"/>
          <w:szCs w:val="20"/>
          <w:color w:val="auto"/>
        </w:rPr>
      </w:pPr>
      <w:r>
        <w:rPr>
          <w:rFonts w:ascii="Arial" w:cs="Arial" w:eastAsia="Arial" w:hAnsi="Arial"/>
          <w:sz w:val="16"/>
          <w:szCs w:val="16"/>
          <w:color w:val="auto"/>
        </w:rPr>
        <w:t>At our 2018 annual meeting of stockholders, we continued to receive strong support for our executive compensation programs with approximately 95% of the votes cast for approval of our annual “say-on-pay” proposal. Our C&amp;MD Committee viewed this as positive support for our executive compensation programs and their alignment with long-term stockholder value creation and determined that the Company’s executive compensation programs have been effective in implementing the Company’s stated compensation philosophy and objectives.</w:t>
      </w:r>
    </w:p>
    <w:p>
      <w:pPr>
        <w:spacing w:after="0" w:line="109" w:lineRule="exact"/>
        <w:rPr>
          <w:sz w:val="20"/>
          <w:szCs w:val="20"/>
          <w:color w:val="auto"/>
        </w:rPr>
      </w:pPr>
    </w:p>
    <w:p>
      <w:pPr>
        <w:ind w:left="200" w:right="2220"/>
        <w:spacing w:after="0" w:line="260" w:lineRule="auto"/>
        <w:rPr>
          <w:sz w:val="20"/>
          <w:szCs w:val="20"/>
          <w:color w:val="auto"/>
        </w:rPr>
      </w:pPr>
      <w:r>
        <w:rPr>
          <w:rFonts w:ascii="Arial" w:cs="Arial" w:eastAsia="Arial" w:hAnsi="Arial"/>
          <w:sz w:val="16"/>
          <w:szCs w:val="16"/>
          <w:color w:val="auto"/>
        </w:rPr>
        <w:t>Our C&amp;MD Committee is committed to continually reviewing our executive compensation programs on a proactive basis to ensure the ongoing alignment of such programs with the interests of our stockholders.</w:t>
      </w:r>
    </w:p>
    <w:p>
      <w:pPr>
        <w:spacing w:after="0" w:line="115"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color w:val="auto"/>
        </w:rPr>
        <w:t>In 2018 our C&amp;MD Committee reviewed the external landscape, the results from our “say-on-pay” proposal at last year’s annual meeting of stockholders and the Company’s performance against the current compensation programs. Our C&amp;MD Committee was satisfied that our existing compensation programs further our pay-for-performance philosophy, but made certain enhancements to the design of our LTI program in 2018 to strengthen its focus on long-term performance and alignment with our stockholders’ interests.</w:t>
      </w:r>
    </w:p>
    <w:p>
      <w:pPr>
        <w:spacing w:after="0" w:line="95" w:lineRule="exact"/>
        <w:rPr>
          <w:sz w:val="20"/>
          <w:szCs w:val="20"/>
          <w:color w:val="auto"/>
        </w:rPr>
      </w:pPr>
    </w:p>
    <w:p>
      <w:pPr>
        <w:ind w:left="200" w:right="120"/>
        <w:spacing w:after="0" w:line="260" w:lineRule="auto"/>
        <w:rPr>
          <w:sz w:val="20"/>
          <w:szCs w:val="20"/>
          <w:color w:val="auto"/>
        </w:rPr>
      </w:pPr>
      <w:r>
        <w:rPr>
          <w:rFonts w:ascii="Arial" w:cs="Arial" w:eastAsia="Arial" w:hAnsi="Arial"/>
          <w:sz w:val="16"/>
          <w:szCs w:val="16"/>
          <w:color w:val="auto"/>
        </w:rPr>
        <w:t>Specifically, under our 2018 LTI program, grants of PSUs replaced grants of cash-settled performance units (CSPUs), which we had granted in previous years. The key changes are as follows:</w:t>
      </w:r>
    </w:p>
    <w:p>
      <w:pPr>
        <w:spacing w:after="0" w:line="101" w:lineRule="exact"/>
        <w:rPr>
          <w:sz w:val="20"/>
          <w:szCs w:val="20"/>
          <w:color w:val="auto"/>
        </w:rPr>
      </w:pPr>
    </w:p>
    <w:p>
      <w:pPr>
        <w:ind w:left="420" w:hanging="216"/>
        <w:spacing w:after="0"/>
        <w:tabs>
          <w:tab w:leader="none" w:pos="420" w:val="left"/>
        </w:tabs>
        <w:numPr>
          <w:ilvl w:val="0"/>
          <w:numId w:val="99"/>
        </w:numPr>
        <w:rPr>
          <w:rFonts w:ascii="Arial" w:cs="Arial" w:eastAsia="Arial" w:hAnsi="Arial"/>
          <w:sz w:val="16"/>
          <w:szCs w:val="16"/>
          <w:color w:val="1A6DBB"/>
        </w:rPr>
      </w:pPr>
      <w:r>
        <w:rPr>
          <w:rFonts w:ascii="Arial" w:cs="Arial" w:eastAsia="Arial" w:hAnsi="Arial"/>
          <w:sz w:val="16"/>
          <w:szCs w:val="16"/>
          <w:color w:val="auto"/>
        </w:rPr>
        <w:t>PSU awards are subject to three-year cliff vesting as compared to annual ratable vesting over three years (1/3 per year) for CSPU awards;</w:t>
      </w:r>
    </w:p>
    <w:p>
      <w:pPr>
        <w:spacing w:after="0" w:line="5" w:lineRule="exact"/>
        <w:rPr>
          <w:rFonts w:ascii="Arial" w:cs="Arial" w:eastAsia="Arial" w:hAnsi="Arial"/>
          <w:sz w:val="16"/>
          <w:szCs w:val="16"/>
          <w:color w:val="1A6DBB"/>
        </w:rPr>
      </w:pPr>
    </w:p>
    <w:p>
      <w:pPr>
        <w:ind w:left="420" w:right="100" w:hanging="216"/>
        <w:spacing w:after="0" w:line="246" w:lineRule="auto"/>
        <w:tabs>
          <w:tab w:leader="none" w:pos="420" w:val="left"/>
        </w:tabs>
        <w:numPr>
          <w:ilvl w:val="0"/>
          <w:numId w:val="99"/>
        </w:numPr>
        <w:rPr>
          <w:rFonts w:ascii="Arial" w:cs="Arial" w:eastAsia="Arial" w:hAnsi="Arial"/>
          <w:sz w:val="16"/>
          <w:szCs w:val="16"/>
          <w:color w:val="1A6DBB"/>
        </w:rPr>
      </w:pPr>
      <w:r>
        <w:rPr>
          <w:rFonts w:ascii="Arial" w:cs="Arial" w:eastAsia="Arial" w:hAnsi="Arial"/>
          <w:sz w:val="16"/>
          <w:szCs w:val="16"/>
          <w:color w:val="auto"/>
        </w:rPr>
        <w:t>60% of PSU awards are earned over a three-year performance period based on the achievement of three-year cumulative performance goals for stock-settled PSU awards and 40% of PSU awards are earned over three annual performance periods based on the achievement of three sets of annual performance goals for cash-settled PSU awards as compared to 100% of CSPUs awards earned based upon one annual performance period for CSPU awards; and</w:t>
      </w:r>
    </w:p>
    <w:p>
      <w:pPr>
        <w:spacing w:after="0" w:line="1" w:lineRule="exact"/>
        <w:rPr>
          <w:rFonts w:ascii="Arial" w:cs="Arial" w:eastAsia="Arial" w:hAnsi="Arial"/>
          <w:sz w:val="16"/>
          <w:szCs w:val="16"/>
          <w:color w:val="1A6DBB"/>
        </w:rPr>
      </w:pPr>
    </w:p>
    <w:p>
      <w:pPr>
        <w:ind w:left="420" w:right="240" w:hanging="216"/>
        <w:spacing w:after="0" w:line="260" w:lineRule="auto"/>
        <w:tabs>
          <w:tab w:leader="none" w:pos="420" w:val="left"/>
        </w:tabs>
        <w:numPr>
          <w:ilvl w:val="0"/>
          <w:numId w:val="99"/>
        </w:numPr>
        <w:rPr>
          <w:rFonts w:ascii="Arial" w:cs="Arial" w:eastAsia="Arial" w:hAnsi="Arial"/>
          <w:sz w:val="16"/>
          <w:szCs w:val="16"/>
          <w:color w:val="1A6DBB"/>
        </w:rPr>
      </w:pPr>
      <w:r>
        <w:rPr>
          <w:rFonts w:ascii="Arial" w:cs="Arial" w:eastAsia="Arial" w:hAnsi="Arial"/>
          <w:sz w:val="16"/>
          <w:szCs w:val="16"/>
          <w:color w:val="auto"/>
        </w:rPr>
        <w:t>60% of the PSU awards will be settled in stock and 40% of the PSU awards will be settled in cash as compared to 100% cash settlement for CSPU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71755</wp:posOffset>
            </wp:positionV>
            <wp:extent cx="6997700"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208915</wp:posOffset>
            </wp:positionV>
            <wp:extent cx="685800" cy="15430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351"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-62865</wp:posOffset>
            </wp:positionV>
            <wp:extent cx="102870" cy="946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100"/>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For additional information on our PSU awards, please see “Long-Term Incentives – 2018 PSUs” below.</w:t>
      </w:r>
    </w:p>
    <w:p>
      <w:pPr>
        <w:sectPr>
          <w:pgSz w:w="11900" w:h="16838" w:orient="portrait"/>
          <w:cols w:equalWidth="0" w:num="1">
            <w:col w:w="11220"/>
          </w:cols>
          <w:pgMar w:left="240" w:top="459" w:right="439" w:bottom="1440" w:gutter="0" w:footer="0" w:header="0"/>
        </w:sectPr>
      </w:pPr>
    </w:p>
    <w:p>
      <w:pPr>
        <w:spacing w:after="0" w:line="39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1A6DBB"/>
        </w:rPr>
        <w:t>Roles and Responsibilities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1A6DBB"/>
        </w:rPr>
        <w:t>Role of our C&amp;MD Committee</w:t>
      </w:r>
    </w:p>
    <w:p>
      <w:pPr>
        <w:spacing w:after="0" w:line="133" w:lineRule="exact"/>
        <w:rPr>
          <w:sz w:val="20"/>
          <w:szCs w:val="20"/>
          <w:color w:val="auto"/>
        </w:rPr>
      </w:pPr>
    </w:p>
    <w:p>
      <w:pPr>
        <w:ind w:left="220" w:right="60"/>
        <w:spacing w:after="0" w:line="247" w:lineRule="auto"/>
        <w:rPr>
          <w:sz w:val="20"/>
          <w:szCs w:val="20"/>
          <w:color w:val="auto"/>
        </w:rPr>
      </w:pPr>
      <w:r>
        <w:rPr>
          <w:rFonts w:ascii="Arial" w:cs="Arial" w:eastAsia="Arial" w:hAnsi="Arial"/>
          <w:sz w:val="16"/>
          <w:szCs w:val="16"/>
          <w:color w:val="auto"/>
        </w:rPr>
        <w:t>Our C&amp;MD Committee, which is composed of four independent directors, oversees and administers our executive compensation programs. In making executive compensation decisions, our C&amp;MD Committee reviews a variety of factors and data, most importantly our performance and individual executives’ performance, and considers the totality of compensation that may be paid. In addition, our C&amp;MD Committee administers our annual bonus plan and our equity plans, reviews business achievements relevant to payouts under our compensation plans, makes recommendations to our Board of Directors with respect to compensation policies and practices as well as the compensation of our CEO and seeks to ensure that total compensation paid to our executive officers is fair, competitive and aligned with stockholder interests. Our C&amp;MD Committee retains the right to hire outside advisors as needed to assist it in reviewing and revising our executive compensation programs.</w:t>
      </w:r>
    </w:p>
    <w:p>
      <w:pPr>
        <w:spacing w:after="0" w:line="104" w:lineRule="exact"/>
        <w:rPr>
          <w:sz w:val="20"/>
          <w:szCs w:val="20"/>
          <w:color w:val="auto"/>
        </w:rPr>
      </w:pPr>
    </w:p>
    <w:p>
      <w:pPr>
        <w:ind w:left="220" w:right="60"/>
        <w:spacing w:after="0" w:line="250" w:lineRule="auto"/>
        <w:rPr>
          <w:sz w:val="20"/>
          <w:szCs w:val="20"/>
          <w:color w:val="auto"/>
        </w:rPr>
      </w:pPr>
      <w:r>
        <w:rPr>
          <w:rFonts w:ascii="Arial" w:cs="Arial" w:eastAsia="Arial" w:hAnsi="Arial"/>
          <w:sz w:val="16"/>
          <w:szCs w:val="16"/>
          <w:color w:val="auto"/>
        </w:rPr>
        <w:t xml:space="preserve">The duties and responsibilities of our C&amp;MD Committee are described on page 20 and can be found in our C&amp;MD Committee’s written charter adopted by our Board of Directors, which can be found on our website, </w:t>
      </w:r>
      <w:r>
        <w:rPr>
          <w:rFonts w:ascii="Arial" w:cs="Arial" w:eastAsia="Arial" w:hAnsi="Arial"/>
          <w:sz w:val="16"/>
          <w:szCs w:val="16"/>
          <w:i w:val="1"/>
          <w:iCs w:val="1"/>
          <w:color w:val="auto"/>
        </w:rPr>
        <w:t>www.biogen.com</w:t>
      </w:r>
      <w:r>
        <w:rPr>
          <w:rFonts w:ascii="Arial" w:cs="Arial" w:eastAsia="Arial" w:hAnsi="Arial"/>
          <w:sz w:val="16"/>
          <w:szCs w:val="16"/>
          <w:color w:val="auto"/>
        </w:rPr>
        <w:t>, under the “Corporate Governance” subsection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“Investors” section of the website.</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1A6DBB"/>
        </w:rPr>
        <w:t>Role of the Independent Compensation Consultant</w:t>
      </w:r>
    </w:p>
    <w:p>
      <w:pPr>
        <w:spacing w:after="0" w:line="133" w:lineRule="exact"/>
        <w:rPr>
          <w:sz w:val="20"/>
          <w:szCs w:val="20"/>
          <w:color w:val="auto"/>
        </w:rPr>
      </w:pPr>
    </w:p>
    <w:p>
      <w:pPr>
        <w:ind w:left="220"/>
        <w:spacing w:after="0" w:line="247" w:lineRule="auto"/>
        <w:rPr>
          <w:sz w:val="20"/>
          <w:szCs w:val="20"/>
          <w:color w:val="auto"/>
        </w:rPr>
      </w:pPr>
      <w:r>
        <w:rPr>
          <w:rFonts w:ascii="Arial" w:cs="Arial" w:eastAsia="Arial" w:hAnsi="Arial"/>
          <w:sz w:val="16"/>
          <w:szCs w:val="16"/>
          <w:color w:val="auto"/>
        </w:rPr>
        <w:t>Our C&amp;MD Committee believes that independent advice is important in developing and overseeing our executive compensation programs. Frederic W. Cook &amp; Co., Inc. (FW Cook) served as our C&amp;MD Committee’s independent compensation consultant until June 2018 and advised our C&amp;MD Committee regarding compensation decisions in 2018. FW Cook did not provide any other services to Biogen. Pearl Meyer &amp; Partners LLC (Pearl Meyer) has served as our C&amp;MD Committee’s independent compensation consultant since June 2018 and has advised our C&amp;MD Committee regarding compensation decisions since that time. Pearl Meyer does not provide any other services to Biogen and engages in other matters as needed and as directed solely by our C&amp;MD Committee. References in this CD&amp;A to our independent compensation consultant refer to FW Cook for the period during which it was engaged and to Pearl Meyer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296545</wp:posOffset>
            </wp:positionV>
            <wp:extent cx="685800" cy="15430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Reporting directly to our C&amp;MD Committee, our independent compensation consultant provides guidance on trends in CEO, executive and non-employee director compensation, the development of specific executive compensation programs and the composition of the Company’s compensation peer group. Additionally, our independent compensation consultant prepares a report on CEO pay that compares each element of compensation to that of CEOs in comparable positions at companies in our peer group. Using this and other similar information, our C&amp;MD Committee recommends, and our Board of Directors approves, the elements and target levels of our CEO’s compensation.</w:t>
      </w:r>
    </w:p>
    <w:p>
      <w:pPr>
        <w:spacing w:after="0" w:line="98"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During 2018 the Company paid FW Cook and Pearl Meyer $123,275 and $47,666, respectively, in consulting fees directly related to these services. Our C&amp;MD Committee assessed FW Cook’s independence annually and, in accordance with applicable SEC and Nasdaq rules, confirmed in December 2017 that FW Cook’s work did not raise any conflicts of interest and that FW Cook remained independent under applicable rules. Our C&amp;MD Committee assessed Pearl Meyer’s independence in connection with its engagement in June 2018 and, in accordance with applicable SEC and Nasdaq rules, confirmed in December 2018 that Pearl Meyer’s work did not raise any conflicts of interest and that Pearl Meyer remains independent under applicable rules.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A6DBB"/>
        </w:rPr>
        <w:t>Role of our CEO</w:t>
      </w:r>
    </w:p>
    <w:p>
      <w:pPr>
        <w:spacing w:after="0" w:line="13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Each year our CEO provides an assessment of the performance of each executive officer, other than himself, during the prior year and recommends to our C&amp;MD Committee the compensation to be paid or awarded to each executive. Our CEO’s recommendations are based on numerous factors, including:</w:t>
      </w:r>
    </w:p>
    <w:p>
      <w:pPr>
        <w:spacing w:after="0" w:line="109" w:lineRule="exact"/>
        <w:rPr>
          <w:sz w:val="20"/>
          <w:szCs w:val="20"/>
          <w:color w:val="auto"/>
        </w:rPr>
      </w:pPr>
    </w:p>
    <w:p>
      <w:pPr>
        <w:ind w:left="260" w:hanging="251"/>
        <w:spacing w:after="0"/>
        <w:tabs>
          <w:tab w:leader="none" w:pos="260" w:val="left"/>
        </w:tabs>
        <w:numPr>
          <w:ilvl w:val="0"/>
          <w:numId w:val="101"/>
        </w:numPr>
        <w:rPr>
          <w:rFonts w:ascii="Arial" w:cs="Arial" w:eastAsia="Arial" w:hAnsi="Arial"/>
          <w:sz w:val="16"/>
          <w:szCs w:val="16"/>
          <w:color w:val="1A6DBB"/>
        </w:rPr>
      </w:pPr>
      <w:r>
        <w:rPr>
          <w:rFonts w:ascii="Arial" w:cs="Arial" w:eastAsia="Arial" w:hAnsi="Arial"/>
          <w:sz w:val="16"/>
          <w:szCs w:val="16"/>
          <w:color w:val="auto"/>
        </w:rPr>
        <w:t>Company, team and individual performance;</w:t>
      </w:r>
    </w:p>
    <w:p>
      <w:pPr>
        <w:spacing w:after="0" w:line="5" w:lineRule="exact"/>
        <w:rPr>
          <w:rFonts w:ascii="Arial" w:cs="Arial" w:eastAsia="Arial" w:hAnsi="Arial"/>
          <w:sz w:val="16"/>
          <w:szCs w:val="16"/>
          <w:color w:val="1A6DBB"/>
        </w:rPr>
      </w:pPr>
    </w:p>
    <w:p>
      <w:pPr>
        <w:ind w:left="260" w:hanging="251"/>
        <w:spacing w:after="0"/>
        <w:tabs>
          <w:tab w:leader="none" w:pos="260" w:val="left"/>
        </w:tabs>
        <w:numPr>
          <w:ilvl w:val="0"/>
          <w:numId w:val="101"/>
        </w:numPr>
        <w:rPr>
          <w:rFonts w:ascii="Arial" w:cs="Arial" w:eastAsia="Arial" w:hAnsi="Arial"/>
          <w:sz w:val="16"/>
          <w:szCs w:val="16"/>
          <w:color w:val="1A6DBB"/>
        </w:rPr>
      </w:pPr>
      <w:r>
        <w:rPr>
          <w:rFonts w:ascii="Arial" w:cs="Arial" w:eastAsia="Arial" w:hAnsi="Arial"/>
          <w:sz w:val="16"/>
          <w:szCs w:val="16"/>
          <w:color w:val="auto"/>
        </w:rPr>
        <w:t>potential for future contributions;</w:t>
      </w:r>
    </w:p>
    <w:p>
      <w:pPr>
        <w:spacing w:after="0" w:line="5" w:lineRule="exact"/>
        <w:rPr>
          <w:rFonts w:ascii="Arial" w:cs="Arial" w:eastAsia="Arial" w:hAnsi="Arial"/>
          <w:sz w:val="16"/>
          <w:szCs w:val="16"/>
          <w:color w:val="1A6DBB"/>
        </w:rPr>
      </w:pPr>
    </w:p>
    <w:p>
      <w:pPr>
        <w:ind w:left="260" w:hanging="251"/>
        <w:spacing w:after="0"/>
        <w:tabs>
          <w:tab w:leader="none" w:pos="260" w:val="left"/>
        </w:tabs>
        <w:numPr>
          <w:ilvl w:val="0"/>
          <w:numId w:val="101"/>
        </w:numPr>
        <w:rPr>
          <w:rFonts w:ascii="Arial" w:cs="Arial" w:eastAsia="Arial" w:hAnsi="Arial"/>
          <w:sz w:val="16"/>
          <w:szCs w:val="16"/>
          <w:color w:val="1A6DBB"/>
        </w:rPr>
      </w:pPr>
      <w:r>
        <w:rPr>
          <w:rFonts w:ascii="Arial" w:cs="Arial" w:eastAsia="Arial" w:hAnsi="Arial"/>
          <w:sz w:val="16"/>
          <w:szCs w:val="16"/>
          <w:color w:val="auto"/>
        </w:rPr>
        <w:t>leadership competencies;</w:t>
      </w:r>
    </w:p>
    <w:p>
      <w:pPr>
        <w:spacing w:after="0" w:line="5" w:lineRule="exact"/>
        <w:rPr>
          <w:rFonts w:ascii="Arial" w:cs="Arial" w:eastAsia="Arial" w:hAnsi="Arial"/>
          <w:sz w:val="16"/>
          <w:szCs w:val="16"/>
          <w:color w:val="1A6DBB"/>
        </w:rPr>
      </w:pPr>
    </w:p>
    <w:p>
      <w:pPr>
        <w:ind w:left="260" w:hanging="251"/>
        <w:spacing w:after="0"/>
        <w:tabs>
          <w:tab w:leader="none" w:pos="260" w:val="left"/>
        </w:tabs>
        <w:numPr>
          <w:ilvl w:val="0"/>
          <w:numId w:val="101"/>
        </w:numPr>
        <w:rPr>
          <w:rFonts w:ascii="Arial" w:cs="Arial" w:eastAsia="Arial" w:hAnsi="Arial"/>
          <w:sz w:val="16"/>
          <w:szCs w:val="16"/>
          <w:color w:val="1A6DBB"/>
        </w:rPr>
      </w:pPr>
      <w:r>
        <w:rPr>
          <w:rFonts w:ascii="Arial" w:cs="Arial" w:eastAsia="Arial" w:hAnsi="Arial"/>
          <w:sz w:val="16"/>
          <w:szCs w:val="16"/>
          <w:color w:val="auto"/>
        </w:rPr>
        <w:t>external market competitiveness;</w:t>
      </w:r>
    </w:p>
    <w:p>
      <w:pPr>
        <w:spacing w:after="0" w:line="5" w:lineRule="exact"/>
        <w:rPr>
          <w:rFonts w:ascii="Arial" w:cs="Arial" w:eastAsia="Arial" w:hAnsi="Arial"/>
          <w:sz w:val="16"/>
          <w:szCs w:val="16"/>
          <w:color w:val="1A6DBB"/>
        </w:rPr>
      </w:pPr>
    </w:p>
    <w:p>
      <w:pPr>
        <w:ind w:left="260" w:hanging="251"/>
        <w:spacing w:after="0"/>
        <w:tabs>
          <w:tab w:leader="none" w:pos="260" w:val="left"/>
        </w:tabs>
        <w:numPr>
          <w:ilvl w:val="0"/>
          <w:numId w:val="101"/>
        </w:numPr>
        <w:rPr>
          <w:rFonts w:ascii="Arial" w:cs="Arial" w:eastAsia="Arial" w:hAnsi="Arial"/>
          <w:sz w:val="16"/>
          <w:szCs w:val="16"/>
          <w:color w:val="1A6DBB"/>
        </w:rPr>
      </w:pPr>
      <w:r>
        <w:rPr>
          <w:rFonts w:ascii="Arial" w:cs="Arial" w:eastAsia="Arial" w:hAnsi="Arial"/>
          <w:sz w:val="16"/>
          <w:szCs w:val="16"/>
          <w:color w:val="auto"/>
        </w:rPr>
        <w:t>internal pay comparisons; and</w:t>
      </w:r>
    </w:p>
    <w:p>
      <w:pPr>
        <w:spacing w:after="0" w:line="5" w:lineRule="exact"/>
        <w:rPr>
          <w:rFonts w:ascii="Arial" w:cs="Arial" w:eastAsia="Arial" w:hAnsi="Arial"/>
          <w:sz w:val="16"/>
          <w:szCs w:val="16"/>
          <w:color w:val="1A6DBB"/>
        </w:rPr>
      </w:pPr>
    </w:p>
    <w:p>
      <w:pPr>
        <w:ind w:left="260" w:hanging="251"/>
        <w:spacing w:after="0"/>
        <w:tabs>
          <w:tab w:leader="none" w:pos="260" w:val="left"/>
        </w:tabs>
        <w:numPr>
          <w:ilvl w:val="0"/>
          <w:numId w:val="101"/>
        </w:numPr>
        <w:rPr>
          <w:rFonts w:ascii="Arial" w:cs="Arial" w:eastAsia="Arial" w:hAnsi="Arial"/>
          <w:sz w:val="16"/>
          <w:szCs w:val="16"/>
          <w:color w:val="1A6DBB"/>
        </w:rPr>
      </w:pPr>
      <w:r>
        <w:rPr>
          <w:rFonts w:ascii="Arial" w:cs="Arial" w:eastAsia="Arial" w:hAnsi="Arial"/>
          <w:sz w:val="16"/>
          <w:szCs w:val="16"/>
          <w:color w:val="auto"/>
        </w:rPr>
        <w:t>other factors deemed relevant.</w:t>
      </w:r>
    </w:p>
    <w:p>
      <w:pPr>
        <w:spacing w:after="0" w:line="11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To understand the external market competitiveness of the compensation for our executive officers, our CEO and our C&amp;MD Committee review a report analyzing publicly-available information and surveys prepared by our internal</w:t>
      </w:r>
    </w:p>
    <w:p>
      <w:pPr>
        <w:spacing w:after="0" w:line="200"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111"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-62865</wp:posOffset>
            </wp:positionV>
            <wp:extent cx="102870" cy="946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7" w:lineRule="exact"/>
        <w:rPr>
          <w:sz w:val="20"/>
          <w:szCs w:val="20"/>
          <w:color w:val="auto"/>
        </w:rPr>
      </w:pPr>
    </w:p>
    <w:p>
      <w:pPr>
        <w:ind w:left="460"/>
        <w:spacing w:after="0"/>
        <w:rPr>
          <w:sz w:val="20"/>
          <w:szCs w:val="20"/>
          <w:color w:val="auto"/>
        </w:rPr>
      </w:pPr>
      <w:r>
        <w:rPr>
          <w:rFonts w:ascii="Arial" w:cs="Arial" w:eastAsia="Arial" w:hAnsi="Arial"/>
          <w:sz w:val="88"/>
          <w:szCs w:val="88"/>
          <w:color w:val="1A6DBB"/>
        </w:rPr>
        <w:t xml:space="preserve">5 </w:t>
      </w:r>
      <w:r>
        <w:rPr>
          <w:rFonts w:ascii="Arial" w:cs="Arial" w:eastAsia="Arial" w:hAnsi="Arial"/>
          <w:sz w:val="40"/>
          <w:szCs w:val="40"/>
          <w:color w:val="1A6DBB"/>
        </w:rPr>
        <w:t>Executive Compensation Matters</w:t>
      </w:r>
      <w:r>
        <w:rPr>
          <w:rFonts w:ascii="Arial" w:cs="Arial" w:eastAsia="Arial" w:hAnsi="Arial"/>
          <w:sz w:val="88"/>
          <w:szCs w:val="88"/>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81"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auto"/>
        </w:rPr>
        <w:t>compensation group and reviewed by our independent compensation consultant. The report compares the compensation of each executive officer, other than our CEO, to data for comparable positions at companies in our peer group, by compensation element (please see “External Market Competitiveness and Peer Group” below for further details). Our C&amp;MD Committee considers all of the information presented, discusses the recommendations with our CEO and with our independent compensation consultant and applies its judgment to determine the elements of compensation and target compensation levels for each executive officer other than the CEO.</w:t>
      </w:r>
    </w:p>
    <w:p>
      <w:pPr>
        <w:spacing w:after="0" w:line="98" w:lineRule="exact"/>
        <w:rPr>
          <w:sz w:val="20"/>
          <w:szCs w:val="20"/>
          <w:color w:val="auto"/>
        </w:rPr>
      </w:pPr>
    </w:p>
    <w:p>
      <w:pPr>
        <w:ind w:left="200" w:right="20"/>
        <w:spacing w:after="0" w:line="250" w:lineRule="auto"/>
        <w:rPr>
          <w:sz w:val="20"/>
          <w:szCs w:val="20"/>
          <w:color w:val="auto"/>
        </w:rPr>
      </w:pPr>
      <w:r>
        <w:rPr>
          <w:rFonts w:ascii="Arial" w:cs="Arial" w:eastAsia="Arial" w:hAnsi="Arial"/>
          <w:sz w:val="16"/>
          <w:szCs w:val="16"/>
          <w:color w:val="auto"/>
        </w:rPr>
        <w:t>Our CEO also provides a self-assessment of his achievements for the prior year. Our C&amp;MD Committee reviews and considers this in analyzing the CEO’s performance, and in recommending for approval by our Board of Directors, the compensation of our CEO. Our CEO does not participate in any deliberations regarding his own compensation.</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1A6DBB"/>
        </w:rPr>
        <w:t>Executive Compensation Philosophy and Objectives</w:t>
      </w:r>
    </w:p>
    <w:p>
      <w:pPr>
        <w:spacing w:after="0" w:line="128" w:lineRule="exact"/>
        <w:rPr>
          <w:sz w:val="20"/>
          <w:szCs w:val="20"/>
          <w:color w:val="auto"/>
        </w:rPr>
      </w:pPr>
    </w:p>
    <w:p>
      <w:pPr>
        <w:ind w:left="200" w:right="60"/>
        <w:spacing w:after="0" w:line="249" w:lineRule="auto"/>
        <w:rPr>
          <w:sz w:val="20"/>
          <w:szCs w:val="20"/>
          <w:color w:val="auto"/>
        </w:rPr>
      </w:pPr>
      <w:r>
        <w:rPr>
          <w:rFonts w:ascii="Arial" w:cs="Arial" w:eastAsia="Arial" w:hAnsi="Arial"/>
          <w:sz w:val="16"/>
          <w:szCs w:val="16"/>
          <w:color w:val="auto"/>
        </w:rPr>
        <w:t>Our executive compensation programs are designed to drive the creation of long-term stockholder value by delivering performance-based compensation that is competitive with our peer group in order to attract and retain extraordinary leaders who can perform at high levels and succeed in a demanding business environment. We aim to achieve this by designing programs that are:</w:t>
      </w:r>
    </w:p>
    <w:p>
      <w:pPr>
        <w:spacing w:after="0" w:line="95" w:lineRule="exact"/>
        <w:rPr>
          <w:sz w:val="20"/>
          <w:szCs w:val="20"/>
          <w:color w:val="auto"/>
        </w:rPr>
      </w:pPr>
    </w:p>
    <w:p>
      <w:pPr>
        <w:ind w:left="460" w:right="100" w:hanging="256"/>
        <w:spacing w:after="0" w:line="248" w:lineRule="auto"/>
        <w:tabs>
          <w:tab w:leader="none" w:pos="460" w:val="left"/>
        </w:tabs>
        <w:numPr>
          <w:ilvl w:val="0"/>
          <w:numId w:val="102"/>
        </w:numPr>
        <w:rPr>
          <w:rFonts w:ascii="Arial" w:cs="Arial" w:eastAsia="Arial" w:hAnsi="Arial"/>
          <w:sz w:val="16"/>
          <w:szCs w:val="16"/>
          <w:color w:val="1A6DBB"/>
        </w:rPr>
      </w:pPr>
      <w:r>
        <w:rPr>
          <w:rFonts w:ascii="Arial" w:cs="Arial" w:eastAsia="Arial" w:hAnsi="Arial"/>
          <w:sz w:val="16"/>
          <w:szCs w:val="16"/>
          <w:i w:val="1"/>
          <w:iCs w:val="1"/>
          <w:color w:val="427F3D"/>
        </w:rPr>
        <w:t xml:space="preserve">Mission Focused and Business Driven. </w:t>
      </w:r>
      <w:r>
        <w:rPr>
          <w:rFonts w:ascii="Arial" w:cs="Arial" w:eastAsia="Arial" w:hAnsi="Arial"/>
          <w:sz w:val="16"/>
          <w:szCs w:val="16"/>
          <w:color w:val="000000"/>
        </w:rPr>
        <w:t>Our executive compensation</w:t>
      </w:r>
      <w:r>
        <w:rPr>
          <w:rFonts w:ascii="Arial" w:cs="Arial" w:eastAsia="Arial" w:hAnsi="Arial"/>
          <w:sz w:val="16"/>
          <w:szCs w:val="16"/>
          <w:i w:val="1"/>
          <w:iCs w:val="1"/>
          <w:color w:val="427F3D"/>
        </w:rPr>
        <w:t xml:space="preserve"> </w:t>
      </w:r>
      <w:r>
        <w:rPr>
          <w:rFonts w:ascii="Arial" w:cs="Arial" w:eastAsia="Arial" w:hAnsi="Arial"/>
          <w:sz w:val="16"/>
          <w:szCs w:val="16"/>
          <w:color w:val="000000"/>
        </w:rPr>
        <w:t>programs support the relentless pursuit of delivering meaningful and innovative therapies to patients by providing our executives with incentives to achieve the near- and long-term objectives of our business. Substantially all of our executive incentive compensation programs are tied directly, and meaningfully, to Company performance. Our objective is to emphasize the importance of achieving short-term goals while building and sustaining a foundation for long-term success.</w:t>
      </w:r>
    </w:p>
    <w:p>
      <w:pPr>
        <w:spacing w:after="0" w:line="6" w:lineRule="exact"/>
        <w:rPr>
          <w:rFonts w:ascii="Arial" w:cs="Arial" w:eastAsia="Arial" w:hAnsi="Arial"/>
          <w:sz w:val="16"/>
          <w:szCs w:val="16"/>
          <w:color w:val="1A6DBB"/>
        </w:rPr>
      </w:pPr>
    </w:p>
    <w:p>
      <w:pPr>
        <w:ind w:left="460" w:right="60" w:hanging="256"/>
        <w:spacing w:after="0" w:line="248" w:lineRule="auto"/>
        <w:tabs>
          <w:tab w:leader="none" w:pos="460" w:val="left"/>
        </w:tabs>
        <w:numPr>
          <w:ilvl w:val="0"/>
          <w:numId w:val="102"/>
        </w:numPr>
        <w:rPr>
          <w:rFonts w:ascii="Arial" w:cs="Arial" w:eastAsia="Arial" w:hAnsi="Arial"/>
          <w:sz w:val="16"/>
          <w:szCs w:val="16"/>
          <w:color w:val="1A6DBB"/>
        </w:rPr>
      </w:pPr>
      <w:r>
        <w:rPr>
          <w:rFonts w:ascii="Arial" w:cs="Arial" w:eastAsia="Arial" w:hAnsi="Arial"/>
          <w:sz w:val="16"/>
          <w:szCs w:val="16"/>
          <w:i w:val="1"/>
          <w:iCs w:val="1"/>
          <w:color w:val="427F3D"/>
        </w:rPr>
        <w:t xml:space="preserve">Competitively Advantageous. </w:t>
      </w:r>
      <w:r>
        <w:rPr>
          <w:rFonts w:ascii="Arial" w:cs="Arial" w:eastAsia="Arial" w:hAnsi="Arial"/>
          <w:sz w:val="16"/>
          <w:szCs w:val="16"/>
          <w:color w:val="000000"/>
        </w:rPr>
        <w:t>We benchmark our executive</w:t>
      </w:r>
      <w:r>
        <w:rPr>
          <w:rFonts w:ascii="Arial" w:cs="Arial" w:eastAsia="Arial" w:hAnsi="Arial"/>
          <w:sz w:val="16"/>
          <w:szCs w:val="16"/>
          <w:i w:val="1"/>
          <w:iCs w:val="1"/>
          <w:color w:val="427F3D"/>
        </w:rPr>
        <w:t xml:space="preserve"> </w:t>
      </w:r>
      <w:r>
        <w:rPr>
          <w:rFonts w:ascii="Arial" w:cs="Arial" w:eastAsia="Arial" w:hAnsi="Arial"/>
          <w:sz w:val="16"/>
          <w:szCs w:val="16"/>
          <w:color w:val="000000"/>
        </w:rPr>
        <w:t>compensation programs against a peer group of biotechnology and pharmaceutical companies that we believe are representative of the companies we primarily compete with for talent, balanced with factors such as business scope and size, including revenues and market capitalization, business focus and geographic scope of operations. Peer group practices are among the many factors we take into account in developing compensation programs that we believe are most effective, and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173355</wp:posOffset>
            </wp:positionV>
            <wp:extent cx="685800" cy="15430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ind w:left="260" w:right="20"/>
        <w:spacing w:after="0" w:line="246" w:lineRule="auto"/>
        <w:rPr>
          <w:sz w:val="20"/>
          <w:szCs w:val="20"/>
          <w:color w:val="auto"/>
        </w:rPr>
      </w:pPr>
      <w:r>
        <w:rPr>
          <w:rFonts w:ascii="Arial" w:cs="Arial" w:eastAsia="Arial" w:hAnsi="Arial"/>
          <w:sz w:val="16"/>
          <w:szCs w:val="16"/>
          <w:color w:val="auto"/>
        </w:rPr>
        <w:t>enable us to recruit, retain and motivate our leadership team to achieve their best for Biogen and our stockholders.</w:t>
      </w:r>
    </w:p>
    <w:p>
      <w:pPr>
        <w:spacing w:after="0" w:line="1" w:lineRule="exact"/>
        <w:rPr>
          <w:sz w:val="20"/>
          <w:szCs w:val="20"/>
          <w:color w:val="auto"/>
        </w:rPr>
      </w:pPr>
    </w:p>
    <w:p>
      <w:pPr>
        <w:ind w:left="260" w:hanging="256"/>
        <w:spacing w:after="0" w:line="246" w:lineRule="auto"/>
        <w:tabs>
          <w:tab w:leader="none" w:pos="260" w:val="left"/>
        </w:tabs>
        <w:numPr>
          <w:ilvl w:val="0"/>
          <w:numId w:val="103"/>
        </w:numPr>
        <w:rPr>
          <w:rFonts w:ascii="Arial" w:cs="Arial" w:eastAsia="Arial" w:hAnsi="Arial"/>
          <w:sz w:val="16"/>
          <w:szCs w:val="16"/>
          <w:color w:val="1A6DBB"/>
        </w:rPr>
      </w:pPr>
      <w:r>
        <w:rPr>
          <w:rFonts w:ascii="Arial" w:cs="Arial" w:eastAsia="Arial" w:hAnsi="Arial"/>
          <w:sz w:val="16"/>
          <w:szCs w:val="16"/>
          <w:i w:val="1"/>
          <w:iCs w:val="1"/>
          <w:color w:val="427F3D"/>
        </w:rPr>
        <w:t xml:space="preserve">Performance Differentiated. </w:t>
      </w:r>
      <w:r>
        <w:rPr>
          <w:rFonts w:ascii="Arial" w:cs="Arial" w:eastAsia="Arial" w:hAnsi="Arial"/>
          <w:sz w:val="16"/>
          <w:szCs w:val="16"/>
          <w:color w:val="000000"/>
        </w:rPr>
        <w:t>We believe strongly in pay-for-performance</w:t>
      </w:r>
      <w:r>
        <w:rPr>
          <w:rFonts w:ascii="Arial" w:cs="Arial" w:eastAsia="Arial" w:hAnsi="Arial"/>
          <w:sz w:val="16"/>
          <w:szCs w:val="16"/>
          <w:i w:val="1"/>
          <w:iCs w:val="1"/>
          <w:color w:val="427F3D"/>
        </w:rPr>
        <w:t xml:space="preserve"> </w:t>
      </w:r>
      <w:r>
        <w:rPr>
          <w:rFonts w:ascii="Arial" w:cs="Arial" w:eastAsia="Arial" w:hAnsi="Arial"/>
          <w:sz w:val="16"/>
          <w:szCs w:val="16"/>
          <w:color w:val="000000"/>
        </w:rPr>
        <w:t>and endeavor to significantly differentiate rewards by delivering the highest rewards to our best performers and lesser rewards to those who do not meet our performance expectations.</w:t>
      </w:r>
    </w:p>
    <w:p>
      <w:pPr>
        <w:spacing w:after="0" w:line="1" w:lineRule="exact"/>
        <w:rPr>
          <w:rFonts w:ascii="Arial" w:cs="Arial" w:eastAsia="Arial" w:hAnsi="Arial"/>
          <w:sz w:val="16"/>
          <w:szCs w:val="16"/>
          <w:color w:val="1A6DBB"/>
        </w:rPr>
      </w:pPr>
    </w:p>
    <w:p>
      <w:pPr>
        <w:ind w:left="260" w:right="60" w:hanging="256"/>
        <w:spacing w:after="0" w:line="246" w:lineRule="auto"/>
        <w:tabs>
          <w:tab w:leader="none" w:pos="260" w:val="left"/>
        </w:tabs>
        <w:numPr>
          <w:ilvl w:val="0"/>
          <w:numId w:val="103"/>
        </w:numPr>
        <w:rPr>
          <w:rFonts w:ascii="Arial" w:cs="Arial" w:eastAsia="Arial" w:hAnsi="Arial"/>
          <w:sz w:val="16"/>
          <w:szCs w:val="16"/>
          <w:color w:val="1A6DBB"/>
        </w:rPr>
      </w:pPr>
      <w:r>
        <w:rPr>
          <w:rFonts w:ascii="Arial" w:cs="Arial" w:eastAsia="Arial" w:hAnsi="Arial"/>
          <w:sz w:val="16"/>
          <w:szCs w:val="16"/>
          <w:i w:val="1"/>
          <w:iCs w:val="1"/>
          <w:color w:val="427F3D"/>
        </w:rPr>
        <w:t xml:space="preserve">Ownership Aligned. </w:t>
      </w:r>
      <w:r>
        <w:rPr>
          <w:rFonts w:ascii="Arial" w:cs="Arial" w:eastAsia="Arial" w:hAnsi="Arial"/>
          <w:sz w:val="16"/>
          <w:szCs w:val="16"/>
          <w:color w:val="000000"/>
        </w:rPr>
        <w:t>At Biogen, we believe every employee contributes</w:t>
      </w:r>
      <w:r>
        <w:rPr>
          <w:rFonts w:ascii="Arial" w:cs="Arial" w:eastAsia="Arial" w:hAnsi="Arial"/>
          <w:sz w:val="16"/>
          <w:szCs w:val="16"/>
          <w:i w:val="1"/>
          <w:iCs w:val="1"/>
          <w:color w:val="427F3D"/>
        </w:rPr>
        <w:t xml:space="preserve"> </w:t>
      </w:r>
      <w:r>
        <w:rPr>
          <w:rFonts w:ascii="Arial" w:cs="Arial" w:eastAsia="Arial" w:hAnsi="Arial"/>
          <w:sz w:val="16"/>
          <w:szCs w:val="16"/>
          <w:color w:val="000000"/>
        </w:rPr>
        <w:t>to the success of the Company and, as such, every employee has a vested interest in the Company’s success. To reinforce this alignment with our stockholders, we strongly encourage stock ownership through our equity-based compensation programs. For members of our executive team, including our NEOs, who set and lead the future strategic direction of our Company, we ensure that a significant portion of their total pay opportunities are equity-based to maintain alignment between the interests of our executive officers and our stockholders.</w:t>
      </w:r>
    </w:p>
    <w:p>
      <w:pPr>
        <w:spacing w:after="0" w:line="4" w:lineRule="exact"/>
        <w:rPr>
          <w:rFonts w:ascii="Arial" w:cs="Arial" w:eastAsia="Arial" w:hAnsi="Arial"/>
          <w:sz w:val="16"/>
          <w:szCs w:val="16"/>
          <w:color w:val="1A6DBB"/>
        </w:rPr>
      </w:pPr>
    </w:p>
    <w:p>
      <w:pPr>
        <w:ind w:left="260" w:right="160" w:hanging="256"/>
        <w:spacing w:after="0" w:line="251" w:lineRule="auto"/>
        <w:tabs>
          <w:tab w:leader="none" w:pos="260" w:val="left"/>
        </w:tabs>
        <w:numPr>
          <w:ilvl w:val="0"/>
          <w:numId w:val="103"/>
        </w:numPr>
        <w:rPr>
          <w:rFonts w:ascii="Arial" w:cs="Arial" w:eastAsia="Arial" w:hAnsi="Arial"/>
          <w:sz w:val="16"/>
          <w:szCs w:val="16"/>
          <w:color w:val="1A6DBB"/>
        </w:rPr>
      </w:pPr>
      <w:r>
        <w:rPr>
          <w:rFonts w:ascii="Arial" w:cs="Arial" w:eastAsia="Arial" w:hAnsi="Arial"/>
          <w:sz w:val="16"/>
          <w:szCs w:val="16"/>
          <w:i w:val="1"/>
          <w:iCs w:val="1"/>
          <w:color w:val="427F3D"/>
        </w:rPr>
        <w:t xml:space="preserve">Flexible. </w:t>
      </w:r>
      <w:r>
        <w:rPr>
          <w:rFonts w:ascii="Arial" w:cs="Arial" w:eastAsia="Arial" w:hAnsi="Arial"/>
          <w:sz w:val="16"/>
          <w:szCs w:val="16"/>
          <w:color w:val="000000"/>
        </w:rPr>
        <w:t>We are committed to providing flexible benefits designed to</w:t>
      </w:r>
      <w:r>
        <w:rPr>
          <w:rFonts w:ascii="Arial" w:cs="Arial" w:eastAsia="Arial" w:hAnsi="Arial"/>
          <w:sz w:val="16"/>
          <w:szCs w:val="16"/>
          <w:i w:val="1"/>
          <w:iCs w:val="1"/>
          <w:color w:val="427F3D"/>
        </w:rPr>
        <w:t xml:space="preserve"> </w:t>
      </w:r>
      <w:r>
        <w:rPr>
          <w:rFonts w:ascii="Arial" w:cs="Arial" w:eastAsia="Arial" w:hAnsi="Arial"/>
          <w:sz w:val="16"/>
          <w:szCs w:val="16"/>
          <w:color w:val="000000"/>
        </w:rPr>
        <w:t>allow our diverse global workforce to have reward opportunities that meet their varied needs so that they are inspired to perform their very best on behalf of patients and stockholders each day.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1A6DBB"/>
        </w:rPr>
        <w:t>External Market Competitiveness and Peer Group</w:t>
      </w:r>
    </w:p>
    <w:p>
      <w:pPr>
        <w:spacing w:after="0" w:line="12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consider market practices and trends when determining executive compensation levels and compensation program designs at Biogen. We do not target a specific market percentile or simply replicate the market practice. Instead, we review external market practices as a reference point to assist us in providing programs designed to attract, retain and inspire extraordinary talent. Our C&amp;MD Committee also uses a peer group to provide context for its executive compensation decision-making. Each year our independent compensation consultant reviews the external market landscape and evaluates the composition of our peer group for appropriateness.</w:t>
      </w:r>
    </w:p>
    <w:p>
      <w:pPr>
        <w:spacing w:after="0" w:line="9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Our C&amp;MD Committee reviews the information provided from internal sources as well as the information provided by our independent compensation consultant to select our peer group based on comparable companies that approximate (1) our scope of business, including revenues and market capitalization, (2) our global geographical reach, (3) our research-based business with multiple marketed products and (4) a comparable pool of talent for which we compete.</w:t>
      </w:r>
    </w:p>
    <w:p>
      <w:pPr>
        <w:spacing w:after="0" w:line="101" w:lineRule="exact"/>
        <w:rPr>
          <w:sz w:val="20"/>
          <w:szCs w:val="20"/>
          <w:color w:val="auto"/>
        </w:rPr>
      </w:pPr>
    </w:p>
    <w:p>
      <w:pPr>
        <w:ind w:right="680"/>
        <w:spacing w:after="0" w:line="260" w:lineRule="auto"/>
        <w:rPr>
          <w:sz w:val="20"/>
          <w:szCs w:val="20"/>
          <w:color w:val="auto"/>
        </w:rPr>
      </w:pPr>
      <w:r>
        <w:rPr>
          <w:rFonts w:ascii="Arial" w:cs="Arial" w:eastAsia="Arial" w:hAnsi="Arial"/>
          <w:sz w:val="16"/>
          <w:szCs w:val="16"/>
          <w:color w:val="auto"/>
        </w:rPr>
        <w:t>The peer group for determining our 2018 compensation decisions consisted of biotechnology and pharmaceutical</w:t>
      </w:r>
    </w:p>
    <w:p>
      <w:pPr>
        <w:spacing w:after="0" w:line="391" w:lineRule="exact"/>
        <w:rPr>
          <w:sz w:val="20"/>
          <w:szCs w:val="20"/>
          <w:color w:val="auto"/>
        </w:rPr>
      </w:pPr>
    </w:p>
    <w:p>
      <w:pPr>
        <w:sectPr>
          <w:pgSz w:w="11900" w:h="16838" w:orient="portrait"/>
          <w:cols w:equalWidth="0" w:num="2">
            <w:col w:w="5500" w:space="320"/>
            <w:col w:w="5380"/>
          </w:cols>
          <w:pgMar w:left="240" w:top="459" w:right="459" w:bottom="1440" w:gutter="0" w:footer="0" w:header="0"/>
          <w:type w:val="continuous"/>
        </w:sectPr>
      </w:pPr>
    </w:p>
    <w:p>
      <w:pPr>
        <w:spacing w:after="0" w:line="115"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-62865</wp:posOffset>
            </wp:positionV>
            <wp:extent cx="102870" cy="946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7" w:lineRule="exact"/>
        <w:rPr>
          <w:sz w:val="20"/>
          <w:szCs w:val="20"/>
          <w:color w:val="auto"/>
        </w:rPr>
      </w:pPr>
    </w:p>
    <w:p>
      <w:pPr>
        <w:ind w:left="460"/>
        <w:spacing w:after="0"/>
        <w:rPr>
          <w:sz w:val="20"/>
          <w:szCs w:val="20"/>
          <w:color w:val="auto"/>
        </w:rPr>
      </w:pPr>
      <w:r>
        <w:rPr>
          <w:rFonts w:ascii="Arial" w:cs="Arial" w:eastAsia="Arial" w:hAnsi="Arial"/>
          <w:sz w:val="88"/>
          <w:szCs w:val="88"/>
          <w:color w:val="1A6DBB"/>
        </w:rPr>
        <w:t xml:space="preserve">5 </w:t>
      </w:r>
      <w:r>
        <w:rPr>
          <w:rFonts w:ascii="Arial" w:cs="Arial" w:eastAsia="Arial" w:hAnsi="Arial"/>
          <w:sz w:val="40"/>
          <w:szCs w:val="40"/>
          <w:color w:val="1A6DBB"/>
        </w:rPr>
        <w:t>Executive Compensation Matters</w:t>
      </w:r>
      <w:r>
        <w:rPr>
          <w:rFonts w:ascii="Arial" w:cs="Arial" w:eastAsia="Arial" w:hAnsi="Arial"/>
          <w:sz w:val="88"/>
          <w:szCs w:val="88"/>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81" w:lineRule="exact"/>
        <w:rPr>
          <w:sz w:val="20"/>
          <w:szCs w:val="20"/>
          <w:color w:val="auto"/>
        </w:rPr>
      </w:pPr>
    </w:p>
    <w:p>
      <w:pPr>
        <w:ind w:left="220" w:right="220"/>
        <w:spacing w:after="0" w:line="260" w:lineRule="auto"/>
        <w:rPr>
          <w:sz w:val="20"/>
          <w:szCs w:val="20"/>
          <w:color w:val="auto"/>
        </w:rPr>
      </w:pPr>
      <w:r>
        <w:rPr>
          <w:rFonts w:ascii="Arial" w:cs="Arial" w:eastAsia="Arial" w:hAnsi="Arial"/>
          <w:sz w:val="16"/>
          <w:szCs w:val="16"/>
          <w:color w:val="auto"/>
        </w:rPr>
        <w:t>companies, as we compete with companies in both of these sectors for executive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140335</wp:posOffset>
            </wp:positionV>
            <wp:extent cx="3353435" cy="1117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353435" cy="111760"/>
                    </a:xfrm>
                    <a:prstGeom prst="rect">
                      <a:avLst/>
                    </a:prstGeom>
                    <a:noFill/>
                  </pic:spPr>
                </pic:pic>
              </a:graphicData>
            </a:graphic>
          </wp:anchor>
        </w:drawing>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4"/>
          <w:szCs w:val="14"/>
          <w:color w:val="FFFFFF"/>
        </w:rPr>
        <w:t>Biotechnology Peers</w:t>
      </w:r>
    </w:p>
    <w:p>
      <w:pPr>
        <w:ind w:left="380"/>
        <w:spacing w:after="0"/>
        <w:rPr>
          <w:sz w:val="20"/>
          <w:szCs w:val="20"/>
          <w:color w:val="auto"/>
        </w:rPr>
      </w:pPr>
      <w:r>
        <w:rPr>
          <w:rFonts w:ascii="Arial" w:cs="Arial" w:eastAsia="Arial" w:hAnsi="Arial"/>
          <w:sz w:val="16"/>
          <w:szCs w:val="16"/>
          <w:color w:val="auto"/>
        </w:rPr>
        <w:t>Alexion Pharmaceuticals, Inc.</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Amgen Inc.</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Celgene Corporation</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Gilead Sciences Inc.</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Vertex Pharmaceuticals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87630</wp:posOffset>
            </wp:positionV>
            <wp:extent cx="3353435" cy="11176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353435" cy="111760"/>
                    </a:xfrm>
                    <a:prstGeom prst="rect">
                      <a:avLst/>
                    </a:prstGeom>
                    <a:noFill/>
                  </pic:spPr>
                </pic:pic>
              </a:graphicData>
            </a:graphic>
          </wp:anchor>
        </w:drawing>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4"/>
          <w:szCs w:val="14"/>
          <w:color w:val="FFFFFF"/>
        </w:rPr>
        <w:t>Pharmaceutical Peers</w:t>
      </w:r>
    </w:p>
    <w:p>
      <w:pPr>
        <w:ind w:left="380"/>
        <w:spacing w:after="0"/>
        <w:rPr>
          <w:sz w:val="20"/>
          <w:szCs w:val="20"/>
          <w:color w:val="auto"/>
        </w:rPr>
      </w:pPr>
      <w:r>
        <w:rPr>
          <w:rFonts w:ascii="Arial" w:cs="Arial" w:eastAsia="Arial" w:hAnsi="Arial"/>
          <w:sz w:val="16"/>
          <w:szCs w:val="16"/>
          <w:color w:val="auto"/>
        </w:rPr>
        <w:t>AbbVie Inc.</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Allergan plc</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Bristol-Myers Squibb Company</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Eli Lilly and Company</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Merck &amp; Co, Inc.</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Mylan N.V.</w:t>
      </w:r>
    </w:p>
    <w:p>
      <w:pPr>
        <w:spacing w:after="0" w:line="5" w:lineRule="exact"/>
        <w:rPr>
          <w:sz w:val="20"/>
          <w:szCs w:val="20"/>
          <w:color w:val="auto"/>
        </w:rPr>
      </w:pPr>
    </w:p>
    <w:p>
      <w:pPr>
        <w:ind w:left="540" w:right="960" w:hanging="143"/>
        <w:spacing w:after="0" w:line="260" w:lineRule="auto"/>
        <w:rPr>
          <w:sz w:val="20"/>
          <w:szCs w:val="20"/>
          <w:color w:val="auto"/>
        </w:rPr>
      </w:pPr>
      <w:r>
        <w:rPr>
          <w:rFonts w:ascii="Arial" w:cs="Arial" w:eastAsia="Arial" w:hAnsi="Arial"/>
          <w:sz w:val="16"/>
          <w:szCs w:val="16"/>
          <w:color w:val="auto"/>
        </w:rPr>
        <w:t>Bausch Health Companies (f/k/a Valeant Pharmaceuticals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335343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95" w:lineRule="exact"/>
        <w:rPr>
          <w:sz w:val="20"/>
          <w:szCs w:val="20"/>
          <w:color w:val="auto"/>
        </w:rPr>
      </w:pPr>
    </w:p>
    <w:p>
      <w:pPr>
        <w:ind w:left="220" w:right="40"/>
        <w:spacing w:after="0" w:line="248" w:lineRule="auto"/>
        <w:rPr>
          <w:sz w:val="20"/>
          <w:szCs w:val="20"/>
          <w:color w:val="auto"/>
        </w:rPr>
      </w:pPr>
      <w:r>
        <w:rPr>
          <w:rFonts w:ascii="Arial" w:cs="Arial" w:eastAsia="Arial" w:hAnsi="Arial"/>
          <w:sz w:val="16"/>
          <w:szCs w:val="16"/>
          <w:color w:val="auto"/>
        </w:rPr>
        <w:t>For each of the companies in our peer group, where available, we analyze the company’s Compensation Discussion and Analysis and other data publicly filed during the prior year to identify the executives at such companies whose positions are comparable to those held by our executive officers. We then compile and analyze the data for each comparable position. Our competitive analysis includes the structure and design of the compensation programs as well as the targeted value of the compensation under these programs.</w:t>
      </w:r>
    </w:p>
    <w:p>
      <w:pPr>
        <w:spacing w:after="0" w:line="100" w:lineRule="exact"/>
        <w:rPr>
          <w:sz w:val="20"/>
          <w:szCs w:val="20"/>
          <w:color w:val="auto"/>
        </w:rPr>
      </w:pPr>
    </w:p>
    <w:p>
      <w:pPr>
        <w:ind w:left="220"/>
        <w:spacing w:after="0" w:line="247" w:lineRule="auto"/>
        <w:rPr>
          <w:sz w:val="20"/>
          <w:szCs w:val="20"/>
          <w:color w:val="auto"/>
        </w:rPr>
      </w:pPr>
      <w:r>
        <w:rPr>
          <w:rFonts w:ascii="Arial" w:cs="Arial" w:eastAsia="Arial" w:hAnsi="Arial"/>
          <w:sz w:val="16"/>
          <w:szCs w:val="16"/>
          <w:color w:val="auto"/>
        </w:rPr>
        <w:t xml:space="preserve">For our executive officers other than our CEO, we may supplement the data from our peer group with published compensation surveys where appropriate. For 2018, consistent with past years, we used the </w:t>
      </w:r>
      <w:r>
        <w:rPr>
          <w:rFonts w:ascii="Arial" w:cs="Arial" w:eastAsia="Arial" w:hAnsi="Arial"/>
          <w:sz w:val="16"/>
          <w:szCs w:val="16"/>
          <w:i w:val="1"/>
          <w:iCs w:val="1"/>
          <w:color w:val="auto"/>
        </w:rPr>
        <w:t>Willis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Towers Watson U.S. CDB Pharmaceutical and Health Sciences Executive Compensation Database </w:t>
      </w:r>
      <w:r>
        <w:rPr>
          <w:rFonts w:ascii="Arial" w:cs="Arial" w:eastAsia="Arial" w:hAnsi="Arial"/>
          <w:sz w:val="16"/>
          <w:szCs w:val="16"/>
          <w:color w:val="auto"/>
        </w:rPr>
        <w:t>survey (which we refer to as the Willis</w:t>
      </w:r>
      <w:r>
        <w:rPr>
          <w:rFonts w:ascii="Arial" w:cs="Arial" w:eastAsia="Arial" w:hAnsi="Arial"/>
          <w:sz w:val="16"/>
          <w:szCs w:val="16"/>
          <w:i w:val="1"/>
          <w:iCs w:val="1"/>
          <w:color w:val="auto"/>
        </w:rPr>
        <w:t xml:space="preserve"> </w:t>
      </w:r>
      <w:r>
        <w:rPr>
          <w:rFonts w:ascii="Arial" w:cs="Arial" w:eastAsia="Arial" w:hAnsi="Arial"/>
          <w:sz w:val="16"/>
          <w:szCs w:val="16"/>
          <w:color w:val="auto"/>
        </w:rPr>
        <w:t>Towers Watson survey). We chose the Willis Towers Watson survey because of the number of companies in our peer group that participate in it, the number of positions reported by the survey that continue to be comparable to our executive positions and the high standards under which we understand the survey is conducted (including data collection and analysis methodologies). All of the companies in our peer group are represented in a special cross-section of the Willis Towers Watson survey focused on our peer group, other than Bausch Health Companies (formally known as Valeant Pharmaceuticals Incorporated), which did not participate in the survey.</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1A6DBB"/>
        </w:rPr>
        <w:t>Compensation Elements</w:t>
      </w:r>
    </w:p>
    <w:p>
      <w:pPr>
        <w:spacing w:after="0" w:line="128" w:lineRule="exact"/>
        <w:rPr>
          <w:sz w:val="20"/>
          <w:szCs w:val="20"/>
          <w:color w:val="auto"/>
        </w:rPr>
      </w:pPr>
    </w:p>
    <w:p>
      <w:pPr>
        <w:ind w:left="220" w:right="360"/>
        <w:spacing w:after="0" w:line="260" w:lineRule="auto"/>
        <w:rPr>
          <w:sz w:val="20"/>
          <w:szCs w:val="20"/>
          <w:color w:val="auto"/>
        </w:rPr>
      </w:pPr>
      <w:r>
        <w:rPr>
          <w:rFonts w:ascii="Arial" w:cs="Arial" w:eastAsia="Arial" w:hAnsi="Arial"/>
          <w:sz w:val="16"/>
          <w:szCs w:val="16"/>
          <w:color w:val="auto"/>
        </w:rPr>
        <w:t>Our C&amp;MD Committee determines the elements of compensation we provide to our executive officers. The elements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749300</wp:posOffset>
            </wp:positionV>
            <wp:extent cx="685800" cy="15430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programs and their objectives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 w:type="dxa"/>
            <w:vAlign w:val="bottom"/>
            <w:shd w:val="clear" w:color="auto" w:fill="1A6DBB"/>
          </w:tcPr>
          <w:p>
            <w:pPr>
              <w:ind w:left="220"/>
              <w:spacing w:after="0"/>
              <w:rPr>
                <w:sz w:val="20"/>
                <w:szCs w:val="20"/>
                <w:color w:val="auto"/>
              </w:rPr>
            </w:pPr>
            <w:r>
              <w:rPr>
                <w:rFonts w:ascii="Arial" w:cs="Arial" w:eastAsia="Arial" w:hAnsi="Arial"/>
                <w:sz w:val="16"/>
                <w:szCs w:val="16"/>
                <w:color w:val="FFFFFF"/>
              </w:rPr>
              <w:t>Element</w:t>
            </w:r>
          </w:p>
        </w:tc>
        <w:tc>
          <w:tcPr>
            <w:tcW w:w="80" w:type="dxa"/>
            <w:vAlign w:val="bottom"/>
            <w:shd w:val="clear" w:color="auto" w:fill="1A6DBB"/>
          </w:tcPr>
          <w:p>
            <w:pPr>
              <w:spacing w:after="0"/>
              <w:rPr>
                <w:sz w:val="17"/>
                <w:szCs w:val="17"/>
                <w:color w:val="auto"/>
              </w:rPr>
            </w:pPr>
          </w:p>
        </w:tc>
        <w:tc>
          <w:tcPr>
            <w:tcW w:w="4400" w:type="dxa"/>
            <w:vAlign w:val="bottom"/>
            <w:shd w:val="clear" w:color="auto" w:fill="1A6DBB"/>
          </w:tcPr>
          <w:p>
            <w:pPr>
              <w:ind w:left="1780"/>
              <w:spacing w:after="0"/>
              <w:rPr>
                <w:sz w:val="20"/>
                <w:szCs w:val="20"/>
                <w:color w:val="auto"/>
              </w:rPr>
            </w:pPr>
            <w:r>
              <w:rPr>
                <w:rFonts w:ascii="Arial" w:cs="Arial" w:eastAsia="Arial" w:hAnsi="Arial"/>
                <w:sz w:val="16"/>
                <w:szCs w:val="16"/>
                <w:color w:val="FFFFFF"/>
              </w:rPr>
              <w:t>Objective(s)</w:t>
            </w:r>
          </w:p>
        </w:tc>
        <w:tc>
          <w:tcPr>
            <w:tcW w:w="0" w:type="dxa"/>
            <w:vAlign w:val="bottom"/>
          </w:tcPr>
          <w:p>
            <w:pPr>
              <w:spacing w:after="0"/>
              <w:rPr>
                <w:sz w:val="1"/>
                <w:szCs w:val="1"/>
                <w:color w:val="auto"/>
              </w:rPr>
            </w:pPr>
          </w:p>
        </w:tc>
      </w:tr>
      <w:tr>
        <w:trPr>
          <w:trHeight w:val="191"/>
        </w:trPr>
        <w:tc>
          <w:tcPr>
            <w:tcW w:w="920" w:type="dxa"/>
            <w:vAlign w:val="bottom"/>
            <w:shd w:val="clear" w:color="auto" w:fill="E8F0F8"/>
          </w:tcPr>
          <w:p>
            <w:pPr>
              <w:ind w:left="100"/>
              <w:spacing w:after="0"/>
              <w:rPr>
                <w:sz w:val="20"/>
                <w:szCs w:val="20"/>
                <w:color w:val="auto"/>
              </w:rPr>
            </w:pPr>
            <w:r>
              <w:rPr>
                <w:rFonts w:ascii="Arial" w:cs="Arial" w:eastAsia="Arial" w:hAnsi="Arial"/>
                <w:sz w:val="16"/>
                <w:szCs w:val="16"/>
                <w:color w:val="auto"/>
              </w:rPr>
              <w:t>Base</w:t>
            </w:r>
          </w:p>
        </w:tc>
        <w:tc>
          <w:tcPr>
            <w:tcW w:w="4480" w:type="dxa"/>
            <w:vAlign w:val="bottom"/>
            <w:gridSpan w:val="2"/>
            <w:shd w:val="clear" w:color="auto" w:fill="E8F0F8"/>
          </w:tcPr>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Provides a fixed level of compensation that is</w:t>
            </w:r>
          </w:p>
        </w:tc>
        <w:tc>
          <w:tcPr>
            <w:tcW w:w="0" w:type="dxa"/>
            <w:vAlign w:val="bottom"/>
          </w:tcPr>
          <w:p>
            <w:pPr>
              <w:spacing w:after="0"/>
              <w:rPr>
                <w:sz w:val="1"/>
                <w:szCs w:val="1"/>
                <w:color w:val="auto"/>
              </w:rPr>
            </w:pPr>
          </w:p>
        </w:tc>
      </w:tr>
      <w:tr>
        <w:trPr>
          <w:trHeight w:val="189"/>
        </w:trPr>
        <w:tc>
          <w:tcPr>
            <w:tcW w:w="920" w:type="dxa"/>
            <w:vAlign w:val="bottom"/>
            <w:shd w:val="clear" w:color="auto" w:fill="E8F0F8"/>
          </w:tcPr>
          <w:p>
            <w:pPr>
              <w:ind w:left="100"/>
              <w:spacing w:after="0"/>
              <w:rPr>
                <w:sz w:val="20"/>
                <w:szCs w:val="20"/>
                <w:color w:val="auto"/>
              </w:rPr>
            </w:pPr>
            <w:r>
              <w:rPr>
                <w:rFonts w:ascii="Arial" w:cs="Arial" w:eastAsia="Arial" w:hAnsi="Arial"/>
                <w:sz w:val="16"/>
                <w:szCs w:val="16"/>
                <w:color w:val="auto"/>
              </w:rPr>
              <w:t>Salary</w:t>
            </w:r>
          </w:p>
        </w:tc>
        <w:tc>
          <w:tcPr>
            <w:tcW w:w="80" w:type="dxa"/>
            <w:vAlign w:val="bottom"/>
            <w:shd w:val="clear" w:color="auto" w:fill="E8F0F8"/>
          </w:tcPr>
          <w:p>
            <w:pPr>
              <w:spacing w:after="0"/>
              <w:rPr>
                <w:sz w:val="16"/>
                <w:szCs w:val="16"/>
                <w:color w:val="auto"/>
              </w:rPr>
            </w:pPr>
          </w:p>
        </w:tc>
        <w:tc>
          <w:tcPr>
            <w:tcW w:w="4400" w:type="dxa"/>
            <w:vAlign w:val="bottom"/>
            <w:shd w:val="clear" w:color="auto" w:fill="E8F0F8"/>
          </w:tcPr>
          <w:p>
            <w:pPr>
              <w:ind w:left="160"/>
              <w:spacing w:after="0"/>
              <w:rPr>
                <w:sz w:val="20"/>
                <w:szCs w:val="20"/>
                <w:color w:val="auto"/>
              </w:rPr>
            </w:pPr>
            <w:r>
              <w:rPr>
                <w:rFonts w:ascii="Arial" w:cs="Arial" w:eastAsia="Arial" w:hAnsi="Arial"/>
                <w:sz w:val="16"/>
                <w:szCs w:val="16"/>
                <w:color w:val="auto"/>
              </w:rPr>
              <w:t>competitive with the external market and reflects each</w:t>
            </w:r>
          </w:p>
        </w:tc>
        <w:tc>
          <w:tcPr>
            <w:tcW w:w="0" w:type="dxa"/>
            <w:vAlign w:val="bottom"/>
          </w:tcPr>
          <w:p>
            <w:pPr>
              <w:spacing w:after="0"/>
              <w:rPr>
                <w:sz w:val="1"/>
                <w:szCs w:val="1"/>
                <w:color w:val="auto"/>
              </w:rPr>
            </w:pPr>
          </w:p>
        </w:tc>
      </w:tr>
      <w:tr>
        <w:trPr>
          <w:trHeight w:val="189"/>
        </w:trPr>
        <w:tc>
          <w:tcPr>
            <w:tcW w:w="920" w:type="dxa"/>
            <w:vAlign w:val="bottom"/>
            <w:shd w:val="clear" w:color="auto" w:fill="E8F0F8"/>
          </w:tcPr>
          <w:p>
            <w:pPr>
              <w:spacing w:after="0"/>
              <w:rPr>
                <w:sz w:val="16"/>
                <w:szCs w:val="16"/>
                <w:color w:val="auto"/>
              </w:rPr>
            </w:pPr>
          </w:p>
        </w:tc>
        <w:tc>
          <w:tcPr>
            <w:tcW w:w="80" w:type="dxa"/>
            <w:vAlign w:val="bottom"/>
            <w:shd w:val="clear" w:color="auto" w:fill="E8F0F8"/>
          </w:tcPr>
          <w:p>
            <w:pPr>
              <w:spacing w:after="0"/>
              <w:rPr>
                <w:sz w:val="16"/>
                <w:szCs w:val="16"/>
                <w:color w:val="auto"/>
              </w:rPr>
            </w:pPr>
          </w:p>
        </w:tc>
        <w:tc>
          <w:tcPr>
            <w:tcW w:w="4400" w:type="dxa"/>
            <w:vAlign w:val="bottom"/>
            <w:shd w:val="clear" w:color="auto" w:fill="E8F0F8"/>
          </w:tcPr>
          <w:p>
            <w:pPr>
              <w:ind w:left="160"/>
              <w:spacing w:after="0"/>
              <w:rPr>
                <w:sz w:val="20"/>
                <w:szCs w:val="20"/>
                <w:color w:val="auto"/>
              </w:rPr>
            </w:pPr>
            <w:r>
              <w:rPr>
                <w:rFonts w:ascii="Arial" w:cs="Arial" w:eastAsia="Arial" w:hAnsi="Arial"/>
                <w:sz w:val="16"/>
                <w:szCs w:val="16"/>
                <w:color w:val="auto"/>
              </w:rPr>
              <w:t>executive’s contributions, experience, responsibilities</w:t>
            </w:r>
          </w:p>
        </w:tc>
        <w:tc>
          <w:tcPr>
            <w:tcW w:w="0" w:type="dxa"/>
            <w:vAlign w:val="bottom"/>
          </w:tcPr>
          <w:p>
            <w:pPr>
              <w:spacing w:after="0"/>
              <w:rPr>
                <w:sz w:val="1"/>
                <w:szCs w:val="1"/>
                <w:color w:val="auto"/>
              </w:rPr>
            </w:pPr>
          </w:p>
        </w:tc>
      </w:tr>
      <w:tr>
        <w:trPr>
          <w:trHeight w:val="195"/>
        </w:trPr>
        <w:tc>
          <w:tcPr>
            <w:tcW w:w="920" w:type="dxa"/>
            <w:vAlign w:val="bottom"/>
            <w:shd w:val="clear" w:color="auto" w:fill="E8F0F8"/>
          </w:tcPr>
          <w:p>
            <w:pPr>
              <w:spacing w:after="0"/>
              <w:rPr>
                <w:sz w:val="16"/>
                <w:szCs w:val="16"/>
                <w:color w:val="auto"/>
              </w:rPr>
            </w:pPr>
          </w:p>
        </w:tc>
        <w:tc>
          <w:tcPr>
            <w:tcW w:w="80" w:type="dxa"/>
            <w:vAlign w:val="bottom"/>
            <w:shd w:val="clear" w:color="auto" w:fill="E8F0F8"/>
          </w:tcPr>
          <w:p>
            <w:pPr>
              <w:spacing w:after="0"/>
              <w:rPr>
                <w:sz w:val="16"/>
                <w:szCs w:val="16"/>
                <w:color w:val="auto"/>
              </w:rPr>
            </w:pPr>
          </w:p>
        </w:tc>
        <w:tc>
          <w:tcPr>
            <w:tcW w:w="4400" w:type="dxa"/>
            <w:vAlign w:val="bottom"/>
            <w:shd w:val="clear" w:color="auto" w:fill="E8F0F8"/>
          </w:tcPr>
          <w:p>
            <w:pPr>
              <w:ind w:left="160"/>
              <w:spacing w:after="0"/>
              <w:rPr>
                <w:sz w:val="20"/>
                <w:szCs w:val="20"/>
                <w:color w:val="auto"/>
              </w:rPr>
            </w:pPr>
            <w:r>
              <w:rPr>
                <w:rFonts w:ascii="Arial" w:cs="Arial" w:eastAsia="Arial" w:hAnsi="Arial"/>
                <w:sz w:val="16"/>
                <w:szCs w:val="16"/>
                <w:color w:val="auto"/>
              </w:rPr>
              <w:t>and potential to contribute to our future success.</w:t>
            </w:r>
          </w:p>
        </w:tc>
        <w:tc>
          <w:tcPr>
            <w:tcW w:w="0" w:type="dxa"/>
            <w:vAlign w:val="bottom"/>
          </w:tcPr>
          <w:p>
            <w:pPr>
              <w:spacing w:after="0"/>
              <w:rPr>
                <w:sz w:val="1"/>
                <w:szCs w:val="1"/>
                <w:color w:val="auto"/>
              </w:rPr>
            </w:pPr>
          </w:p>
        </w:tc>
      </w:tr>
      <w:tr>
        <w:trPr>
          <w:trHeight w:val="74"/>
        </w:trPr>
        <w:tc>
          <w:tcPr>
            <w:tcW w:w="920" w:type="dxa"/>
            <w:vAlign w:val="bottom"/>
            <w:shd w:val="clear" w:color="auto" w:fill="E8F0F8"/>
          </w:tcPr>
          <w:p>
            <w:pPr>
              <w:spacing w:after="0"/>
              <w:rPr>
                <w:sz w:val="6"/>
                <w:szCs w:val="6"/>
                <w:color w:val="auto"/>
              </w:rPr>
            </w:pPr>
          </w:p>
        </w:tc>
        <w:tc>
          <w:tcPr>
            <w:tcW w:w="80" w:type="dxa"/>
            <w:vAlign w:val="bottom"/>
            <w:shd w:val="clear" w:color="auto" w:fill="E8F0F8"/>
          </w:tcPr>
          <w:p>
            <w:pPr>
              <w:spacing w:after="0"/>
              <w:rPr>
                <w:sz w:val="6"/>
                <w:szCs w:val="6"/>
                <w:color w:val="auto"/>
              </w:rPr>
            </w:pPr>
          </w:p>
        </w:tc>
        <w:tc>
          <w:tcPr>
            <w:tcW w:w="4400" w:type="dxa"/>
            <w:vAlign w:val="bottom"/>
            <w:shd w:val="clear" w:color="auto" w:fill="E8F0F8"/>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20" w:type="dxa"/>
            <w:vAlign w:val="bottom"/>
            <w:shd w:val="clear" w:color="auto" w:fill="BAD3EA"/>
          </w:tcPr>
          <w:p>
            <w:pPr>
              <w:ind w:left="100"/>
              <w:spacing w:after="0"/>
              <w:rPr>
                <w:sz w:val="20"/>
                <w:szCs w:val="20"/>
                <w:color w:val="auto"/>
              </w:rPr>
            </w:pPr>
            <w:r>
              <w:rPr>
                <w:rFonts w:ascii="Arial" w:cs="Arial" w:eastAsia="Arial" w:hAnsi="Arial"/>
                <w:sz w:val="16"/>
                <w:szCs w:val="16"/>
                <w:color w:val="auto"/>
              </w:rPr>
              <w:t>Annual</w:t>
            </w:r>
          </w:p>
        </w:tc>
        <w:tc>
          <w:tcPr>
            <w:tcW w:w="4480" w:type="dxa"/>
            <w:vAlign w:val="bottom"/>
            <w:gridSpan w:val="2"/>
            <w:shd w:val="clear" w:color="auto" w:fill="BAD3EA"/>
          </w:tcPr>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Aligns short-term compensation with the annual goals of</w:t>
            </w:r>
          </w:p>
        </w:tc>
        <w:tc>
          <w:tcPr>
            <w:tcW w:w="0" w:type="dxa"/>
            <w:vAlign w:val="bottom"/>
          </w:tcPr>
          <w:p>
            <w:pPr>
              <w:spacing w:after="0"/>
              <w:rPr>
                <w:sz w:val="1"/>
                <w:szCs w:val="1"/>
                <w:color w:val="auto"/>
              </w:rPr>
            </w:pPr>
          </w:p>
        </w:tc>
      </w:tr>
      <w:tr>
        <w:trPr>
          <w:trHeight w:val="189"/>
        </w:trPr>
        <w:tc>
          <w:tcPr>
            <w:tcW w:w="920" w:type="dxa"/>
            <w:vAlign w:val="bottom"/>
            <w:shd w:val="clear" w:color="auto" w:fill="BAD3EA"/>
          </w:tcPr>
          <w:p>
            <w:pPr>
              <w:ind w:left="100"/>
              <w:spacing w:after="0"/>
              <w:rPr>
                <w:sz w:val="20"/>
                <w:szCs w:val="20"/>
                <w:color w:val="auto"/>
              </w:rPr>
            </w:pPr>
            <w:r>
              <w:rPr>
                <w:rFonts w:ascii="Arial" w:cs="Arial" w:eastAsia="Arial" w:hAnsi="Arial"/>
                <w:sz w:val="16"/>
                <w:szCs w:val="16"/>
                <w:color w:val="auto"/>
              </w:rPr>
              <w:t>Bonus</w:t>
            </w:r>
          </w:p>
        </w:tc>
        <w:tc>
          <w:tcPr>
            <w:tcW w:w="80" w:type="dxa"/>
            <w:vAlign w:val="bottom"/>
            <w:shd w:val="clear" w:color="auto" w:fill="BAD3EA"/>
          </w:tcPr>
          <w:p>
            <w:pPr>
              <w:spacing w:after="0"/>
              <w:rPr>
                <w:sz w:val="16"/>
                <w:szCs w:val="16"/>
                <w:color w:val="auto"/>
              </w:rPr>
            </w:pPr>
          </w:p>
        </w:tc>
        <w:tc>
          <w:tcPr>
            <w:tcW w:w="4400" w:type="dxa"/>
            <w:vAlign w:val="bottom"/>
            <w:shd w:val="clear" w:color="auto" w:fill="BAD3EA"/>
          </w:tcPr>
          <w:p>
            <w:pPr>
              <w:ind w:left="160"/>
              <w:spacing w:after="0"/>
              <w:rPr>
                <w:sz w:val="20"/>
                <w:szCs w:val="20"/>
                <w:color w:val="auto"/>
              </w:rPr>
            </w:pPr>
            <w:r>
              <w:rPr>
                <w:rFonts w:ascii="Arial" w:cs="Arial" w:eastAsia="Arial" w:hAnsi="Arial"/>
                <w:sz w:val="16"/>
                <w:szCs w:val="16"/>
                <w:color w:val="auto"/>
              </w:rPr>
              <w:t>the Company.</w:t>
            </w:r>
          </w:p>
        </w:tc>
        <w:tc>
          <w:tcPr>
            <w:tcW w:w="0" w:type="dxa"/>
            <w:vAlign w:val="bottom"/>
          </w:tcPr>
          <w:p>
            <w:pPr>
              <w:spacing w:after="0"/>
              <w:rPr>
                <w:sz w:val="1"/>
                <w:szCs w:val="1"/>
                <w:color w:val="auto"/>
              </w:rPr>
            </w:pPr>
          </w:p>
        </w:tc>
      </w:tr>
      <w:tr>
        <w:trPr>
          <w:trHeight w:val="195"/>
        </w:trPr>
        <w:tc>
          <w:tcPr>
            <w:tcW w:w="920" w:type="dxa"/>
            <w:vAlign w:val="bottom"/>
            <w:shd w:val="clear" w:color="auto" w:fill="BAD3EA"/>
          </w:tcPr>
          <w:p>
            <w:pPr>
              <w:ind w:left="100"/>
              <w:spacing w:after="0"/>
              <w:rPr>
                <w:sz w:val="20"/>
                <w:szCs w:val="20"/>
                <w:color w:val="auto"/>
              </w:rPr>
            </w:pPr>
            <w:r>
              <w:rPr>
                <w:rFonts w:ascii="Arial" w:cs="Arial" w:eastAsia="Arial" w:hAnsi="Arial"/>
                <w:sz w:val="16"/>
                <w:szCs w:val="16"/>
                <w:color w:val="auto"/>
              </w:rPr>
              <w:t>Plan</w:t>
            </w:r>
          </w:p>
        </w:tc>
        <w:tc>
          <w:tcPr>
            <w:tcW w:w="4480" w:type="dxa"/>
            <w:vAlign w:val="bottom"/>
            <w:gridSpan w:val="2"/>
            <w:vMerge w:val="restart"/>
            <w:shd w:val="clear" w:color="auto" w:fill="BAD3EA"/>
          </w:tcPr>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Motivates and rewards the achievement of annual</w:t>
            </w:r>
          </w:p>
        </w:tc>
        <w:tc>
          <w:tcPr>
            <w:tcW w:w="0" w:type="dxa"/>
            <w:vAlign w:val="bottom"/>
          </w:tcPr>
          <w:p>
            <w:pPr>
              <w:spacing w:after="0"/>
              <w:rPr>
                <w:sz w:val="1"/>
                <w:szCs w:val="1"/>
                <w:color w:val="auto"/>
              </w:rPr>
            </w:pPr>
          </w:p>
        </w:tc>
      </w:tr>
      <w:tr>
        <w:trPr>
          <w:trHeight w:val="89"/>
        </w:trPr>
        <w:tc>
          <w:tcPr>
            <w:tcW w:w="920" w:type="dxa"/>
            <w:vAlign w:val="bottom"/>
            <w:shd w:val="clear" w:color="auto" w:fill="BAD3EA"/>
          </w:tcPr>
          <w:p>
            <w:pPr>
              <w:spacing w:after="0"/>
              <w:rPr>
                <w:sz w:val="7"/>
                <w:szCs w:val="7"/>
                <w:color w:val="auto"/>
              </w:rPr>
            </w:pPr>
          </w:p>
        </w:tc>
        <w:tc>
          <w:tcPr>
            <w:tcW w:w="4480" w:type="dxa"/>
            <w:vAlign w:val="bottom"/>
            <w:gridSpan w:val="2"/>
            <w:vMerge w:val="continue"/>
            <w:shd w:val="clear" w:color="auto" w:fill="BAD3EA"/>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920" w:type="dxa"/>
            <w:vAlign w:val="bottom"/>
            <w:shd w:val="clear" w:color="auto" w:fill="BAD3EA"/>
          </w:tcPr>
          <w:p>
            <w:pPr>
              <w:spacing w:after="0"/>
              <w:rPr>
                <w:sz w:val="16"/>
                <w:szCs w:val="16"/>
                <w:color w:val="auto"/>
              </w:rPr>
            </w:pPr>
          </w:p>
        </w:tc>
        <w:tc>
          <w:tcPr>
            <w:tcW w:w="80" w:type="dxa"/>
            <w:vAlign w:val="bottom"/>
            <w:shd w:val="clear" w:color="auto" w:fill="BAD3EA"/>
          </w:tcPr>
          <w:p>
            <w:pPr>
              <w:spacing w:after="0"/>
              <w:rPr>
                <w:sz w:val="16"/>
                <w:szCs w:val="16"/>
                <w:color w:val="auto"/>
              </w:rPr>
            </w:pPr>
          </w:p>
        </w:tc>
        <w:tc>
          <w:tcPr>
            <w:tcW w:w="4400" w:type="dxa"/>
            <w:vAlign w:val="bottom"/>
            <w:shd w:val="clear" w:color="auto" w:fill="BAD3EA"/>
          </w:tcPr>
          <w:p>
            <w:pPr>
              <w:ind w:left="160"/>
              <w:spacing w:after="0"/>
              <w:rPr>
                <w:sz w:val="20"/>
                <w:szCs w:val="20"/>
                <w:color w:val="auto"/>
              </w:rPr>
            </w:pPr>
            <w:r>
              <w:rPr>
                <w:rFonts w:ascii="Arial" w:cs="Arial" w:eastAsia="Arial" w:hAnsi="Arial"/>
                <w:sz w:val="16"/>
                <w:szCs w:val="16"/>
                <w:color w:val="auto"/>
              </w:rPr>
              <w:t>Company and individual performance goals that support</w:t>
            </w:r>
          </w:p>
        </w:tc>
        <w:tc>
          <w:tcPr>
            <w:tcW w:w="0" w:type="dxa"/>
            <w:vAlign w:val="bottom"/>
          </w:tcPr>
          <w:p>
            <w:pPr>
              <w:spacing w:after="0"/>
              <w:rPr>
                <w:sz w:val="1"/>
                <w:szCs w:val="1"/>
                <w:color w:val="auto"/>
              </w:rPr>
            </w:pPr>
          </w:p>
        </w:tc>
      </w:tr>
      <w:tr>
        <w:trPr>
          <w:trHeight w:val="195"/>
        </w:trPr>
        <w:tc>
          <w:tcPr>
            <w:tcW w:w="920" w:type="dxa"/>
            <w:vAlign w:val="bottom"/>
            <w:shd w:val="clear" w:color="auto" w:fill="BAD3EA"/>
          </w:tcPr>
          <w:p>
            <w:pPr>
              <w:spacing w:after="0"/>
              <w:rPr>
                <w:sz w:val="16"/>
                <w:szCs w:val="16"/>
                <w:color w:val="auto"/>
              </w:rPr>
            </w:pPr>
          </w:p>
        </w:tc>
        <w:tc>
          <w:tcPr>
            <w:tcW w:w="80" w:type="dxa"/>
            <w:vAlign w:val="bottom"/>
            <w:shd w:val="clear" w:color="auto" w:fill="BAD3EA"/>
          </w:tcPr>
          <w:p>
            <w:pPr>
              <w:spacing w:after="0"/>
              <w:rPr>
                <w:sz w:val="16"/>
                <w:szCs w:val="16"/>
                <w:color w:val="auto"/>
              </w:rPr>
            </w:pPr>
          </w:p>
        </w:tc>
        <w:tc>
          <w:tcPr>
            <w:tcW w:w="4400" w:type="dxa"/>
            <w:vAlign w:val="bottom"/>
            <w:shd w:val="clear" w:color="auto" w:fill="BAD3EA"/>
          </w:tcPr>
          <w:p>
            <w:pPr>
              <w:ind w:left="160"/>
              <w:spacing w:after="0"/>
              <w:rPr>
                <w:sz w:val="20"/>
                <w:szCs w:val="20"/>
                <w:color w:val="auto"/>
              </w:rPr>
            </w:pPr>
            <w:r>
              <w:rPr>
                <w:rFonts w:ascii="Arial" w:cs="Arial" w:eastAsia="Arial" w:hAnsi="Arial"/>
                <w:sz w:val="16"/>
                <w:szCs w:val="16"/>
                <w:color w:val="auto"/>
              </w:rPr>
              <w:t>short- and long-term value creation.</w:t>
            </w:r>
          </w:p>
        </w:tc>
        <w:tc>
          <w:tcPr>
            <w:tcW w:w="0" w:type="dxa"/>
            <w:vAlign w:val="bottom"/>
          </w:tcPr>
          <w:p>
            <w:pPr>
              <w:spacing w:after="0"/>
              <w:rPr>
                <w:sz w:val="1"/>
                <w:szCs w:val="1"/>
                <w:color w:val="auto"/>
              </w:rPr>
            </w:pPr>
          </w:p>
        </w:tc>
      </w:tr>
      <w:tr>
        <w:trPr>
          <w:trHeight w:val="87"/>
        </w:trPr>
        <w:tc>
          <w:tcPr>
            <w:tcW w:w="920" w:type="dxa"/>
            <w:vAlign w:val="bottom"/>
            <w:shd w:val="clear" w:color="auto" w:fill="BAD3EA"/>
          </w:tcPr>
          <w:p>
            <w:pPr>
              <w:spacing w:after="0"/>
              <w:rPr>
                <w:sz w:val="7"/>
                <w:szCs w:val="7"/>
                <w:color w:val="auto"/>
              </w:rPr>
            </w:pPr>
          </w:p>
        </w:tc>
        <w:tc>
          <w:tcPr>
            <w:tcW w:w="80" w:type="dxa"/>
            <w:vAlign w:val="bottom"/>
            <w:shd w:val="clear" w:color="auto" w:fill="BAD3EA"/>
          </w:tcPr>
          <w:p>
            <w:pPr>
              <w:spacing w:after="0"/>
              <w:rPr>
                <w:sz w:val="7"/>
                <w:szCs w:val="7"/>
                <w:color w:val="auto"/>
              </w:rPr>
            </w:pPr>
          </w:p>
        </w:tc>
        <w:tc>
          <w:tcPr>
            <w:tcW w:w="4400" w:type="dxa"/>
            <w:vAlign w:val="bottom"/>
            <w:shd w:val="clear" w:color="auto" w:fill="BAD3EA"/>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920" w:type="dxa"/>
            <w:vAlign w:val="bottom"/>
            <w:shd w:val="clear" w:color="auto" w:fill="E8F0F8"/>
          </w:tcPr>
          <w:p>
            <w:pPr>
              <w:ind w:left="80"/>
              <w:spacing w:after="0"/>
              <w:rPr>
                <w:sz w:val="20"/>
                <w:szCs w:val="20"/>
                <w:color w:val="auto"/>
              </w:rPr>
            </w:pPr>
            <w:r>
              <w:rPr>
                <w:rFonts w:ascii="Arial" w:cs="Arial" w:eastAsia="Arial" w:hAnsi="Arial"/>
                <w:sz w:val="16"/>
                <w:szCs w:val="16"/>
                <w:color w:val="auto"/>
              </w:rPr>
              <w:t>Long-term</w:t>
            </w:r>
          </w:p>
        </w:tc>
        <w:tc>
          <w:tcPr>
            <w:tcW w:w="4480" w:type="dxa"/>
            <w:vAlign w:val="bottom"/>
            <w:gridSpan w:val="2"/>
            <w:shd w:val="clear" w:color="auto" w:fill="E8F0F8"/>
          </w:tcPr>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Aligns executives’ interests with the long-term interests</w:t>
            </w:r>
          </w:p>
        </w:tc>
        <w:tc>
          <w:tcPr>
            <w:tcW w:w="0" w:type="dxa"/>
            <w:vAlign w:val="bottom"/>
          </w:tcPr>
          <w:p>
            <w:pPr>
              <w:spacing w:after="0"/>
              <w:rPr>
                <w:sz w:val="1"/>
                <w:szCs w:val="1"/>
                <w:color w:val="auto"/>
              </w:rPr>
            </w:pPr>
          </w:p>
        </w:tc>
      </w:tr>
      <w:tr>
        <w:trPr>
          <w:trHeight w:val="189"/>
        </w:trPr>
        <w:tc>
          <w:tcPr>
            <w:tcW w:w="920" w:type="dxa"/>
            <w:vAlign w:val="bottom"/>
            <w:shd w:val="clear" w:color="auto" w:fill="E8F0F8"/>
          </w:tcPr>
          <w:p>
            <w:pPr>
              <w:ind w:left="80"/>
              <w:spacing w:after="0"/>
              <w:rPr>
                <w:sz w:val="20"/>
                <w:szCs w:val="20"/>
                <w:color w:val="auto"/>
              </w:rPr>
            </w:pPr>
            <w:r>
              <w:rPr>
                <w:rFonts w:ascii="Arial" w:cs="Arial" w:eastAsia="Arial" w:hAnsi="Arial"/>
                <w:sz w:val="16"/>
                <w:szCs w:val="16"/>
                <w:color w:val="auto"/>
              </w:rPr>
              <w:t>Incentives</w:t>
            </w:r>
          </w:p>
        </w:tc>
        <w:tc>
          <w:tcPr>
            <w:tcW w:w="80" w:type="dxa"/>
            <w:vAlign w:val="bottom"/>
            <w:shd w:val="clear" w:color="auto" w:fill="E8F0F8"/>
          </w:tcPr>
          <w:p>
            <w:pPr>
              <w:spacing w:after="0"/>
              <w:rPr>
                <w:sz w:val="16"/>
                <w:szCs w:val="16"/>
                <w:color w:val="auto"/>
              </w:rPr>
            </w:pPr>
          </w:p>
        </w:tc>
        <w:tc>
          <w:tcPr>
            <w:tcW w:w="4400" w:type="dxa"/>
            <w:vAlign w:val="bottom"/>
            <w:shd w:val="clear" w:color="auto" w:fill="E8F0F8"/>
          </w:tcPr>
          <w:p>
            <w:pPr>
              <w:ind w:left="160"/>
              <w:spacing w:after="0"/>
              <w:rPr>
                <w:sz w:val="20"/>
                <w:szCs w:val="20"/>
                <w:color w:val="auto"/>
              </w:rPr>
            </w:pPr>
            <w:r>
              <w:rPr>
                <w:rFonts w:ascii="Arial" w:cs="Arial" w:eastAsia="Arial" w:hAnsi="Arial"/>
                <w:sz w:val="16"/>
                <w:szCs w:val="16"/>
                <w:color w:val="auto"/>
              </w:rPr>
              <w:t>of our stockholders by linking the value of awards to</w:t>
            </w:r>
          </w:p>
        </w:tc>
        <w:tc>
          <w:tcPr>
            <w:tcW w:w="0" w:type="dxa"/>
            <w:vAlign w:val="bottom"/>
          </w:tcPr>
          <w:p>
            <w:pPr>
              <w:spacing w:after="0"/>
              <w:rPr>
                <w:sz w:val="1"/>
                <w:szCs w:val="1"/>
                <w:color w:val="auto"/>
              </w:rPr>
            </w:pPr>
          </w:p>
        </w:tc>
      </w:tr>
      <w:tr>
        <w:trPr>
          <w:trHeight w:val="195"/>
        </w:trPr>
        <w:tc>
          <w:tcPr>
            <w:tcW w:w="920" w:type="dxa"/>
            <w:vAlign w:val="bottom"/>
            <w:shd w:val="clear" w:color="auto" w:fill="E8F0F8"/>
          </w:tcPr>
          <w:p>
            <w:pPr>
              <w:spacing w:after="0"/>
              <w:rPr>
                <w:sz w:val="16"/>
                <w:szCs w:val="16"/>
                <w:color w:val="auto"/>
              </w:rPr>
            </w:pPr>
          </w:p>
        </w:tc>
        <w:tc>
          <w:tcPr>
            <w:tcW w:w="80" w:type="dxa"/>
            <w:vAlign w:val="bottom"/>
            <w:shd w:val="clear" w:color="auto" w:fill="E8F0F8"/>
          </w:tcPr>
          <w:p>
            <w:pPr>
              <w:spacing w:after="0"/>
              <w:rPr>
                <w:sz w:val="16"/>
                <w:szCs w:val="16"/>
                <w:color w:val="auto"/>
              </w:rPr>
            </w:pPr>
          </w:p>
        </w:tc>
        <w:tc>
          <w:tcPr>
            <w:tcW w:w="4400" w:type="dxa"/>
            <w:vAlign w:val="bottom"/>
            <w:shd w:val="clear" w:color="auto" w:fill="E8F0F8"/>
          </w:tcPr>
          <w:p>
            <w:pPr>
              <w:ind w:left="160"/>
              <w:spacing w:after="0"/>
              <w:rPr>
                <w:sz w:val="20"/>
                <w:szCs w:val="20"/>
                <w:color w:val="auto"/>
              </w:rPr>
            </w:pPr>
            <w:r>
              <w:rPr>
                <w:rFonts w:ascii="Arial" w:cs="Arial" w:eastAsia="Arial" w:hAnsi="Arial"/>
                <w:sz w:val="16"/>
                <w:szCs w:val="16"/>
                <w:color w:val="auto"/>
              </w:rPr>
              <w:t>increases in our stock price.</w:t>
            </w:r>
          </w:p>
        </w:tc>
        <w:tc>
          <w:tcPr>
            <w:tcW w:w="0" w:type="dxa"/>
            <w:vAlign w:val="bottom"/>
          </w:tcPr>
          <w:p>
            <w:pPr>
              <w:spacing w:after="0"/>
              <w:rPr>
                <w:sz w:val="1"/>
                <w:szCs w:val="1"/>
                <w:color w:val="auto"/>
              </w:rPr>
            </w:pPr>
          </w:p>
        </w:tc>
      </w:tr>
      <w:tr>
        <w:trPr>
          <w:trHeight w:val="278"/>
        </w:trPr>
        <w:tc>
          <w:tcPr>
            <w:tcW w:w="920" w:type="dxa"/>
            <w:vAlign w:val="bottom"/>
            <w:shd w:val="clear" w:color="auto" w:fill="E8F0F8"/>
          </w:tcPr>
          <w:p>
            <w:pPr>
              <w:spacing w:after="0"/>
              <w:rPr>
                <w:sz w:val="24"/>
                <w:szCs w:val="24"/>
                <w:color w:val="auto"/>
              </w:rPr>
            </w:pPr>
          </w:p>
        </w:tc>
        <w:tc>
          <w:tcPr>
            <w:tcW w:w="4480" w:type="dxa"/>
            <w:vAlign w:val="bottom"/>
            <w:gridSpan w:val="2"/>
            <w:shd w:val="clear" w:color="auto" w:fill="E8F0F8"/>
          </w:tcPr>
          <w:p>
            <w:pPr>
              <w:spacing w:after="0"/>
              <w:rPr>
                <w:sz w:val="20"/>
                <w:szCs w:val="20"/>
                <w:color w:val="auto"/>
              </w:rPr>
            </w:pPr>
            <w:r>
              <w:rPr>
                <w:rFonts w:ascii="Arial" w:cs="Arial" w:eastAsia="Arial" w:hAnsi="Arial"/>
                <w:sz w:val="16"/>
                <w:szCs w:val="16"/>
                <w:color w:val="1A6DBB"/>
              </w:rPr>
              <w:t xml:space="preserve">•  </w:t>
            </w:r>
            <w:r>
              <w:rPr>
                <w:rFonts w:ascii="Arial" w:cs="Arial" w:eastAsia="Arial" w:hAnsi="Arial"/>
                <w:sz w:val="16"/>
                <w:szCs w:val="16"/>
                <w:color w:val="000000"/>
              </w:rPr>
              <w:t>Motivates and rewards the achievement of stock price</w:t>
            </w:r>
          </w:p>
        </w:tc>
        <w:tc>
          <w:tcPr>
            <w:tcW w:w="0" w:type="dxa"/>
            <w:vAlign w:val="bottom"/>
          </w:tcPr>
          <w:p>
            <w:pPr>
              <w:spacing w:after="0"/>
              <w:rPr>
                <w:sz w:val="1"/>
                <w:szCs w:val="1"/>
                <w:color w:val="auto"/>
              </w:rPr>
            </w:pPr>
          </w:p>
        </w:tc>
      </w:tr>
      <w:tr>
        <w:trPr>
          <w:trHeight w:val="189"/>
        </w:trPr>
        <w:tc>
          <w:tcPr>
            <w:tcW w:w="920" w:type="dxa"/>
            <w:vAlign w:val="bottom"/>
            <w:shd w:val="clear" w:color="auto" w:fill="E8F0F8"/>
          </w:tcPr>
          <w:p>
            <w:pPr>
              <w:spacing w:after="0"/>
              <w:rPr>
                <w:sz w:val="16"/>
                <w:szCs w:val="16"/>
                <w:color w:val="auto"/>
              </w:rPr>
            </w:pPr>
          </w:p>
        </w:tc>
        <w:tc>
          <w:tcPr>
            <w:tcW w:w="80" w:type="dxa"/>
            <w:vAlign w:val="bottom"/>
            <w:shd w:val="clear" w:color="auto" w:fill="E8F0F8"/>
          </w:tcPr>
          <w:p>
            <w:pPr>
              <w:spacing w:after="0"/>
              <w:rPr>
                <w:sz w:val="16"/>
                <w:szCs w:val="16"/>
                <w:color w:val="auto"/>
              </w:rPr>
            </w:pPr>
          </w:p>
        </w:tc>
        <w:tc>
          <w:tcPr>
            <w:tcW w:w="4400" w:type="dxa"/>
            <w:vAlign w:val="bottom"/>
            <w:shd w:val="clear" w:color="auto" w:fill="E8F0F8"/>
          </w:tcPr>
          <w:p>
            <w:pPr>
              <w:ind w:left="160"/>
              <w:spacing w:after="0"/>
              <w:rPr>
                <w:sz w:val="20"/>
                <w:szCs w:val="20"/>
                <w:color w:val="auto"/>
              </w:rPr>
            </w:pPr>
            <w:r>
              <w:rPr>
                <w:rFonts w:ascii="Arial" w:cs="Arial" w:eastAsia="Arial" w:hAnsi="Arial"/>
                <w:sz w:val="16"/>
                <w:szCs w:val="16"/>
                <w:color w:val="auto"/>
              </w:rPr>
              <w:t>growth and pre-established corporate performance</w:t>
            </w:r>
          </w:p>
        </w:tc>
        <w:tc>
          <w:tcPr>
            <w:tcW w:w="0" w:type="dxa"/>
            <w:vAlign w:val="bottom"/>
          </w:tcPr>
          <w:p>
            <w:pPr>
              <w:spacing w:after="0"/>
              <w:rPr>
                <w:sz w:val="1"/>
                <w:szCs w:val="1"/>
                <w:color w:val="auto"/>
              </w:rPr>
            </w:pPr>
          </w:p>
        </w:tc>
      </w:tr>
      <w:tr>
        <w:trPr>
          <w:trHeight w:val="195"/>
        </w:trPr>
        <w:tc>
          <w:tcPr>
            <w:tcW w:w="920" w:type="dxa"/>
            <w:vAlign w:val="bottom"/>
            <w:shd w:val="clear" w:color="auto" w:fill="E8F0F8"/>
          </w:tcPr>
          <w:p>
            <w:pPr>
              <w:spacing w:after="0"/>
              <w:rPr>
                <w:sz w:val="16"/>
                <w:szCs w:val="16"/>
                <w:color w:val="auto"/>
              </w:rPr>
            </w:pPr>
          </w:p>
        </w:tc>
        <w:tc>
          <w:tcPr>
            <w:tcW w:w="80" w:type="dxa"/>
            <w:vAlign w:val="bottom"/>
            <w:shd w:val="clear" w:color="auto" w:fill="E8F0F8"/>
          </w:tcPr>
          <w:p>
            <w:pPr>
              <w:spacing w:after="0"/>
              <w:rPr>
                <w:sz w:val="16"/>
                <w:szCs w:val="16"/>
                <w:color w:val="auto"/>
              </w:rPr>
            </w:pPr>
          </w:p>
        </w:tc>
        <w:tc>
          <w:tcPr>
            <w:tcW w:w="4400" w:type="dxa"/>
            <w:vAlign w:val="bottom"/>
            <w:shd w:val="clear" w:color="auto" w:fill="E8F0F8"/>
          </w:tcPr>
          <w:p>
            <w:pPr>
              <w:ind w:left="160"/>
              <w:spacing w:after="0"/>
              <w:rPr>
                <w:sz w:val="20"/>
                <w:szCs w:val="20"/>
                <w:color w:val="auto"/>
              </w:rPr>
            </w:pPr>
            <w:r>
              <w:rPr>
                <w:rFonts w:ascii="Arial" w:cs="Arial" w:eastAsia="Arial" w:hAnsi="Arial"/>
                <w:sz w:val="16"/>
                <w:szCs w:val="16"/>
                <w:color w:val="auto"/>
              </w:rPr>
              <w:t>goals, including those with a longer-term focus.</w:t>
            </w:r>
          </w:p>
        </w:tc>
        <w:tc>
          <w:tcPr>
            <w:tcW w:w="0" w:type="dxa"/>
            <w:vAlign w:val="bottom"/>
          </w:tcPr>
          <w:p>
            <w:pPr>
              <w:spacing w:after="0"/>
              <w:rPr>
                <w:sz w:val="1"/>
                <w:szCs w:val="1"/>
                <w:color w:val="auto"/>
              </w:rPr>
            </w:pPr>
          </w:p>
        </w:tc>
      </w:tr>
      <w:tr>
        <w:trPr>
          <w:trHeight w:val="278"/>
        </w:trPr>
        <w:tc>
          <w:tcPr>
            <w:tcW w:w="920" w:type="dxa"/>
            <w:vAlign w:val="bottom"/>
            <w:shd w:val="clear" w:color="auto" w:fill="E8F0F8"/>
          </w:tcPr>
          <w:p>
            <w:pPr>
              <w:spacing w:after="0"/>
              <w:rPr>
                <w:sz w:val="24"/>
                <w:szCs w:val="24"/>
                <w:color w:val="auto"/>
              </w:rPr>
            </w:pPr>
          </w:p>
        </w:tc>
        <w:tc>
          <w:tcPr>
            <w:tcW w:w="80" w:type="dxa"/>
            <w:vAlign w:val="bottom"/>
            <w:shd w:val="clear" w:color="auto" w:fill="E8F0F8"/>
          </w:tcPr>
          <w:p>
            <w:pPr>
              <w:spacing w:after="0"/>
              <w:rPr>
                <w:sz w:val="20"/>
                <w:szCs w:val="20"/>
                <w:color w:val="auto"/>
              </w:rPr>
            </w:pPr>
            <w:r>
              <w:rPr>
                <w:rFonts w:ascii="Arial" w:cs="Arial" w:eastAsia="Arial" w:hAnsi="Arial"/>
                <w:sz w:val="16"/>
                <w:szCs w:val="16"/>
                <w:color w:val="1A6DBB"/>
              </w:rPr>
              <w:t>•</w:t>
            </w:r>
          </w:p>
        </w:tc>
        <w:tc>
          <w:tcPr>
            <w:tcW w:w="4400" w:type="dxa"/>
            <w:vAlign w:val="bottom"/>
            <w:shd w:val="clear" w:color="auto" w:fill="E8F0F8"/>
          </w:tcPr>
          <w:p>
            <w:pPr>
              <w:ind w:left="160"/>
              <w:spacing w:after="0"/>
              <w:rPr>
                <w:sz w:val="20"/>
                <w:szCs w:val="20"/>
                <w:color w:val="auto"/>
              </w:rPr>
            </w:pPr>
            <w:r>
              <w:rPr>
                <w:rFonts w:ascii="Arial" w:cs="Arial" w:eastAsia="Arial" w:hAnsi="Arial"/>
                <w:sz w:val="16"/>
                <w:szCs w:val="16"/>
                <w:color w:val="auto"/>
              </w:rPr>
              <w:t>Promotes executive retention and stock ownership and</w:t>
            </w:r>
          </w:p>
        </w:tc>
        <w:tc>
          <w:tcPr>
            <w:tcW w:w="0" w:type="dxa"/>
            <w:vAlign w:val="bottom"/>
          </w:tcPr>
          <w:p>
            <w:pPr>
              <w:spacing w:after="0"/>
              <w:rPr>
                <w:sz w:val="1"/>
                <w:szCs w:val="1"/>
                <w:color w:val="auto"/>
              </w:rPr>
            </w:pPr>
          </w:p>
        </w:tc>
      </w:tr>
      <w:tr>
        <w:trPr>
          <w:trHeight w:val="189"/>
        </w:trPr>
        <w:tc>
          <w:tcPr>
            <w:tcW w:w="920" w:type="dxa"/>
            <w:vAlign w:val="bottom"/>
            <w:shd w:val="clear" w:color="auto" w:fill="E8F0F8"/>
          </w:tcPr>
          <w:p>
            <w:pPr>
              <w:spacing w:after="0"/>
              <w:rPr>
                <w:sz w:val="16"/>
                <w:szCs w:val="16"/>
                <w:color w:val="auto"/>
              </w:rPr>
            </w:pPr>
          </w:p>
        </w:tc>
        <w:tc>
          <w:tcPr>
            <w:tcW w:w="80" w:type="dxa"/>
            <w:vAlign w:val="bottom"/>
            <w:shd w:val="clear" w:color="auto" w:fill="E8F0F8"/>
          </w:tcPr>
          <w:p>
            <w:pPr>
              <w:spacing w:after="0"/>
              <w:rPr>
                <w:sz w:val="16"/>
                <w:szCs w:val="16"/>
                <w:color w:val="auto"/>
              </w:rPr>
            </w:pPr>
          </w:p>
        </w:tc>
        <w:tc>
          <w:tcPr>
            <w:tcW w:w="4400" w:type="dxa"/>
            <w:vAlign w:val="bottom"/>
            <w:shd w:val="clear" w:color="auto" w:fill="E8F0F8"/>
          </w:tcPr>
          <w:p>
            <w:pPr>
              <w:ind w:left="160"/>
              <w:spacing w:after="0"/>
              <w:rPr>
                <w:sz w:val="20"/>
                <w:szCs w:val="20"/>
                <w:color w:val="auto"/>
              </w:rPr>
            </w:pPr>
            <w:r>
              <w:rPr>
                <w:rFonts w:ascii="Arial" w:cs="Arial" w:eastAsia="Arial" w:hAnsi="Arial"/>
                <w:sz w:val="16"/>
                <w:szCs w:val="16"/>
                <w:color w:val="auto"/>
              </w:rPr>
              <w:t>focuses executives on enhancing long-term stockholder</w:t>
            </w:r>
          </w:p>
        </w:tc>
        <w:tc>
          <w:tcPr>
            <w:tcW w:w="0" w:type="dxa"/>
            <w:vAlign w:val="bottom"/>
          </w:tcPr>
          <w:p>
            <w:pPr>
              <w:spacing w:after="0"/>
              <w:rPr>
                <w:sz w:val="1"/>
                <w:szCs w:val="1"/>
                <w:color w:val="auto"/>
              </w:rPr>
            </w:pPr>
          </w:p>
        </w:tc>
      </w:tr>
      <w:tr>
        <w:trPr>
          <w:trHeight w:val="195"/>
        </w:trPr>
        <w:tc>
          <w:tcPr>
            <w:tcW w:w="920" w:type="dxa"/>
            <w:vAlign w:val="bottom"/>
            <w:shd w:val="clear" w:color="auto" w:fill="E8F0F8"/>
          </w:tcPr>
          <w:p>
            <w:pPr>
              <w:spacing w:after="0"/>
              <w:rPr>
                <w:sz w:val="16"/>
                <w:szCs w:val="16"/>
                <w:color w:val="auto"/>
              </w:rPr>
            </w:pPr>
          </w:p>
        </w:tc>
        <w:tc>
          <w:tcPr>
            <w:tcW w:w="80" w:type="dxa"/>
            <w:vAlign w:val="bottom"/>
            <w:shd w:val="clear" w:color="auto" w:fill="E8F0F8"/>
          </w:tcPr>
          <w:p>
            <w:pPr>
              <w:spacing w:after="0"/>
              <w:rPr>
                <w:sz w:val="16"/>
                <w:szCs w:val="16"/>
                <w:color w:val="auto"/>
              </w:rPr>
            </w:pPr>
          </w:p>
        </w:tc>
        <w:tc>
          <w:tcPr>
            <w:tcW w:w="4400" w:type="dxa"/>
            <w:vAlign w:val="bottom"/>
            <w:shd w:val="clear" w:color="auto" w:fill="E8F0F8"/>
          </w:tcPr>
          <w:p>
            <w:pPr>
              <w:ind w:left="160"/>
              <w:spacing w:after="0"/>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87"/>
        </w:trPr>
        <w:tc>
          <w:tcPr>
            <w:tcW w:w="920" w:type="dxa"/>
            <w:vAlign w:val="bottom"/>
            <w:shd w:val="clear" w:color="auto" w:fill="E8F0F8"/>
          </w:tcPr>
          <w:p>
            <w:pPr>
              <w:spacing w:after="0"/>
              <w:rPr>
                <w:sz w:val="7"/>
                <w:szCs w:val="7"/>
                <w:color w:val="auto"/>
              </w:rPr>
            </w:pPr>
          </w:p>
        </w:tc>
        <w:tc>
          <w:tcPr>
            <w:tcW w:w="80" w:type="dxa"/>
            <w:vAlign w:val="bottom"/>
            <w:shd w:val="clear" w:color="auto" w:fill="E8F0F8"/>
          </w:tcPr>
          <w:p>
            <w:pPr>
              <w:spacing w:after="0"/>
              <w:rPr>
                <w:sz w:val="7"/>
                <w:szCs w:val="7"/>
                <w:color w:val="auto"/>
              </w:rPr>
            </w:pPr>
          </w:p>
        </w:tc>
        <w:tc>
          <w:tcPr>
            <w:tcW w:w="4400" w:type="dxa"/>
            <w:vAlign w:val="bottom"/>
            <w:shd w:val="clear" w:color="auto" w:fill="E8F0F8"/>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920" w:type="dxa"/>
            <w:vAlign w:val="bottom"/>
            <w:shd w:val="clear" w:color="auto" w:fill="BAD3EA"/>
          </w:tcPr>
          <w:p>
            <w:pPr>
              <w:ind w:left="100"/>
              <w:spacing w:after="0"/>
              <w:rPr>
                <w:sz w:val="20"/>
                <w:szCs w:val="20"/>
                <w:color w:val="auto"/>
              </w:rPr>
            </w:pPr>
            <w:r>
              <w:rPr>
                <w:rFonts w:ascii="Arial" w:cs="Arial" w:eastAsia="Arial" w:hAnsi="Arial"/>
                <w:sz w:val="16"/>
                <w:szCs w:val="16"/>
                <w:color w:val="auto"/>
              </w:rPr>
              <w:t>Benefits</w:t>
            </w:r>
          </w:p>
        </w:tc>
        <w:tc>
          <w:tcPr>
            <w:tcW w:w="80" w:type="dxa"/>
            <w:vAlign w:val="bottom"/>
            <w:shd w:val="clear" w:color="auto" w:fill="BAD3EA"/>
          </w:tcPr>
          <w:p>
            <w:pPr>
              <w:spacing w:after="0"/>
              <w:rPr>
                <w:sz w:val="20"/>
                <w:szCs w:val="20"/>
                <w:color w:val="auto"/>
              </w:rPr>
            </w:pPr>
            <w:r>
              <w:rPr>
                <w:rFonts w:ascii="Arial" w:cs="Arial" w:eastAsia="Arial" w:hAnsi="Arial"/>
                <w:sz w:val="16"/>
                <w:szCs w:val="16"/>
                <w:color w:val="1A6DBB"/>
              </w:rPr>
              <w:t>•</w:t>
            </w:r>
          </w:p>
        </w:tc>
        <w:tc>
          <w:tcPr>
            <w:tcW w:w="4400" w:type="dxa"/>
            <w:vAlign w:val="bottom"/>
            <w:shd w:val="clear" w:color="auto" w:fill="BAD3EA"/>
          </w:tcPr>
          <w:p>
            <w:pPr>
              <w:ind w:left="160"/>
              <w:spacing w:after="0"/>
              <w:rPr>
                <w:sz w:val="20"/>
                <w:szCs w:val="20"/>
                <w:color w:val="auto"/>
              </w:rPr>
            </w:pPr>
            <w:r>
              <w:rPr>
                <w:rFonts w:ascii="Arial" w:cs="Arial" w:eastAsia="Arial" w:hAnsi="Arial"/>
                <w:sz w:val="16"/>
                <w:szCs w:val="16"/>
                <w:color w:val="auto"/>
              </w:rPr>
              <w:t>Promotes health and wellness.</w:t>
            </w:r>
          </w:p>
        </w:tc>
        <w:tc>
          <w:tcPr>
            <w:tcW w:w="0" w:type="dxa"/>
            <w:vAlign w:val="bottom"/>
          </w:tcPr>
          <w:p>
            <w:pPr>
              <w:spacing w:after="0"/>
              <w:rPr>
                <w:sz w:val="1"/>
                <w:szCs w:val="1"/>
                <w:color w:val="auto"/>
              </w:rPr>
            </w:pPr>
          </w:p>
        </w:tc>
      </w:tr>
      <w:tr>
        <w:trPr>
          <w:trHeight w:val="278"/>
        </w:trPr>
        <w:tc>
          <w:tcPr>
            <w:tcW w:w="920" w:type="dxa"/>
            <w:vAlign w:val="bottom"/>
            <w:shd w:val="clear" w:color="auto" w:fill="BAD3EA"/>
          </w:tcPr>
          <w:p>
            <w:pPr>
              <w:spacing w:after="0"/>
              <w:rPr>
                <w:sz w:val="24"/>
                <w:szCs w:val="24"/>
                <w:color w:val="auto"/>
              </w:rPr>
            </w:pPr>
          </w:p>
        </w:tc>
        <w:tc>
          <w:tcPr>
            <w:tcW w:w="80" w:type="dxa"/>
            <w:vAlign w:val="bottom"/>
            <w:shd w:val="clear" w:color="auto" w:fill="BAD3EA"/>
          </w:tcPr>
          <w:p>
            <w:pPr>
              <w:spacing w:after="0"/>
              <w:rPr>
                <w:sz w:val="20"/>
                <w:szCs w:val="20"/>
                <w:color w:val="auto"/>
              </w:rPr>
            </w:pPr>
            <w:r>
              <w:rPr>
                <w:rFonts w:ascii="Arial" w:cs="Arial" w:eastAsia="Arial" w:hAnsi="Arial"/>
                <w:sz w:val="16"/>
                <w:szCs w:val="16"/>
                <w:color w:val="1A6DBB"/>
              </w:rPr>
              <w:t>•</w:t>
            </w:r>
          </w:p>
        </w:tc>
        <w:tc>
          <w:tcPr>
            <w:tcW w:w="4400" w:type="dxa"/>
            <w:vAlign w:val="bottom"/>
            <w:shd w:val="clear" w:color="auto" w:fill="BAD3EA"/>
          </w:tcPr>
          <w:p>
            <w:pPr>
              <w:ind w:left="160"/>
              <w:spacing w:after="0"/>
              <w:rPr>
                <w:sz w:val="20"/>
                <w:szCs w:val="20"/>
                <w:color w:val="auto"/>
              </w:rPr>
            </w:pPr>
            <w:r>
              <w:rPr>
                <w:rFonts w:ascii="Arial" w:cs="Arial" w:eastAsia="Arial" w:hAnsi="Arial"/>
                <w:sz w:val="16"/>
                <w:szCs w:val="16"/>
                <w:color w:val="auto"/>
              </w:rPr>
              <w:t>Provides financial protection in the event of disability or</w:t>
            </w:r>
          </w:p>
        </w:tc>
        <w:tc>
          <w:tcPr>
            <w:tcW w:w="0" w:type="dxa"/>
            <w:vAlign w:val="bottom"/>
          </w:tcPr>
          <w:p>
            <w:pPr>
              <w:spacing w:after="0"/>
              <w:rPr>
                <w:sz w:val="1"/>
                <w:szCs w:val="1"/>
                <w:color w:val="auto"/>
              </w:rPr>
            </w:pPr>
          </w:p>
        </w:tc>
      </w:tr>
      <w:tr>
        <w:trPr>
          <w:trHeight w:val="195"/>
        </w:trPr>
        <w:tc>
          <w:tcPr>
            <w:tcW w:w="920" w:type="dxa"/>
            <w:vAlign w:val="bottom"/>
            <w:shd w:val="clear" w:color="auto" w:fill="BAD3EA"/>
          </w:tcPr>
          <w:p>
            <w:pPr>
              <w:spacing w:after="0"/>
              <w:rPr>
                <w:sz w:val="16"/>
                <w:szCs w:val="16"/>
                <w:color w:val="auto"/>
              </w:rPr>
            </w:pPr>
          </w:p>
        </w:tc>
        <w:tc>
          <w:tcPr>
            <w:tcW w:w="80" w:type="dxa"/>
            <w:vAlign w:val="bottom"/>
            <w:shd w:val="clear" w:color="auto" w:fill="BAD3EA"/>
          </w:tcPr>
          <w:p>
            <w:pPr>
              <w:spacing w:after="0"/>
              <w:rPr>
                <w:sz w:val="16"/>
                <w:szCs w:val="16"/>
                <w:color w:val="auto"/>
              </w:rPr>
            </w:pPr>
          </w:p>
        </w:tc>
        <w:tc>
          <w:tcPr>
            <w:tcW w:w="4400" w:type="dxa"/>
            <w:vAlign w:val="bottom"/>
            <w:shd w:val="clear" w:color="auto" w:fill="BAD3EA"/>
          </w:tcPr>
          <w:p>
            <w:pPr>
              <w:ind w:left="160"/>
              <w:spacing w:after="0"/>
              <w:rPr>
                <w:sz w:val="20"/>
                <w:szCs w:val="20"/>
                <w:color w:val="auto"/>
              </w:rPr>
            </w:pPr>
            <w:r>
              <w:rPr>
                <w:rFonts w:ascii="Arial" w:cs="Arial" w:eastAsia="Arial" w:hAnsi="Arial"/>
                <w:sz w:val="16"/>
                <w:szCs w:val="16"/>
                <w:color w:val="auto"/>
              </w:rPr>
              <w:t>death.</w:t>
            </w:r>
          </w:p>
        </w:tc>
        <w:tc>
          <w:tcPr>
            <w:tcW w:w="0" w:type="dxa"/>
            <w:vAlign w:val="bottom"/>
          </w:tcPr>
          <w:p>
            <w:pPr>
              <w:spacing w:after="0"/>
              <w:rPr>
                <w:sz w:val="1"/>
                <w:szCs w:val="1"/>
                <w:color w:val="auto"/>
              </w:rPr>
            </w:pPr>
          </w:p>
        </w:tc>
      </w:tr>
      <w:tr>
        <w:trPr>
          <w:trHeight w:val="278"/>
        </w:trPr>
        <w:tc>
          <w:tcPr>
            <w:tcW w:w="920" w:type="dxa"/>
            <w:vAlign w:val="bottom"/>
            <w:shd w:val="clear" w:color="auto" w:fill="BAD3EA"/>
          </w:tcPr>
          <w:p>
            <w:pPr>
              <w:spacing w:after="0"/>
              <w:rPr>
                <w:sz w:val="24"/>
                <w:szCs w:val="24"/>
                <w:color w:val="auto"/>
              </w:rPr>
            </w:pPr>
          </w:p>
        </w:tc>
        <w:tc>
          <w:tcPr>
            <w:tcW w:w="80" w:type="dxa"/>
            <w:vAlign w:val="bottom"/>
            <w:shd w:val="clear" w:color="auto" w:fill="BAD3EA"/>
          </w:tcPr>
          <w:p>
            <w:pPr>
              <w:spacing w:after="0"/>
              <w:rPr>
                <w:sz w:val="20"/>
                <w:szCs w:val="20"/>
                <w:color w:val="auto"/>
              </w:rPr>
            </w:pPr>
            <w:r>
              <w:rPr>
                <w:rFonts w:ascii="Arial" w:cs="Arial" w:eastAsia="Arial" w:hAnsi="Arial"/>
                <w:sz w:val="16"/>
                <w:szCs w:val="16"/>
                <w:color w:val="1A6DBB"/>
              </w:rPr>
              <w:t>•</w:t>
            </w:r>
          </w:p>
        </w:tc>
        <w:tc>
          <w:tcPr>
            <w:tcW w:w="4400" w:type="dxa"/>
            <w:vAlign w:val="bottom"/>
            <w:shd w:val="clear" w:color="auto" w:fill="BAD3EA"/>
          </w:tcPr>
          <w:p>
            <w:pPr>
              <w:ind w:left="160"/>
              <w:spacing w:after="0"/>
              <w:rPr>
                <w:sz w:val="20"/>
                <w:szCs w:val="20"/>
                <w:color w:val="auto"/>
              </w:rPr>
            </w:pPr>
            <w:r>
              <w:rPr>
                <w:rFonts w:ascii="Arial" w:cs="Arial" w:eastAsia="Arial" w:hAnsi="Arial"/>
                <w:sz w:val="16"/>
                <w:szCs w:val="16"/>
                <w:color w:val="auto"/>
              </w:rPr>
              <w:t>Provides tax-beneficial ways for executives to save</w:t>
            </w:r>
          </w:p>
        </w:tc>
        <w:tc>
          <w:tcPr>
            <w:tcW w:w="0" w:type="dxa"/>
            <w:vAlign w:val="bottom"/>
          </w:tcPr>
          <w:p>
            <w:pPr>
              <w:spacing w:after="0"/>
              <w:rPr>
                <w:sz w:val="1"/>
                <w:szCs w:val="1"/>
                <w:color w:val="auto"/>
              </w:rPr>
            </w:pPr>
          </w:p>
        </w:tc>
      </w:tr>
      <w:tr>
        <w:trPr>
          <w:trHeight w:val="189"/>
        </w:trPr>
        <w:tc>
          <w:tcPr>
            <w:tcW w:w="920" w:type="dxa"/>
            <w:vAlign w:val="bottom"/>
            <w:shd w:val="clear" w:color="auto" w:fill="BAD3EA"/>
          </w:tcPr>
          <w:p>
            <w:pPr>
              <w:spacing w:after="0"/>
              <w:rPr>
                <w:sz w:val="16"/>
                <w:szCs w:val="16"/>
                <w:color w:val="auto"/>
              </w:rPr>
            </w:pPr>
          </w:p>
        </w:tc>
        <w:tc>
          <w:tcPr>
            <w:tcW w:w="80" w:type="dxa"/>
            <w:vAlign w:val="bottom"/>
            <w:shd w:val="clear" w:color="auto" w:fill="BAD3EA"/>
          </w:tcPr>
          <w:p>
            <w:pPr>
              <w:spacing w:after="0"/>
              <w:rPr>
                <w:sz w:val="16"/>
                <w:szCs w:val="16"/>
                <w:color w:val="auto"/>
              </w:rPr>
            </w:pPr>
          </w:p>
        </w:tc>
        <w:tc>
          <w:tcPr>
            <w:tcW w:w="4400" w:type="dxa"/>
            <w:vAlign w:val="bottom"/>
            <w:shd w:val="clear" w:color="auto" w:fill="BAD3EA"/>
          </w:tcPr>
          <w:p>
            <w:pPr>
              <w:ind w:left="160"/>
              <w:spacing w:after="0"/>
              <w:rPr>
                <w:sz w:val="20"/>
                <w:szCs w:val="20"/>
                <w:color w:val="auto"/>
              </w:rPr>
            </w:pPr>
            <w:r>
              <w:rPr>
                <w:rFonts w:ascii="Arial" w:cs="Arial" w:eastAsia="Arial" w:hAnsi="Arial"/>
                <w:sz w:val="16"/>
                <w:szCs w:val="16"/>
                <w:color w:val="auto"/>
              </w:rPr>
              <w:t>towards their retirement and encourages savings</w:t>
            </w:r>
          </w:p>
        </w:tc>
        <w:tc>
          <w:tcPr>
            <w:tcW w:w="0" w:type="dxa"/>
            <w:vAlign w:val="bottom"/>
          </w:tcPr>
          <w:p>
            <w:pPr>
              <w:spacing w:after="0"/>
              <w:rPr>
                <w:sz w:val="1"/>
                <w:szCs w:val="1"/>
                <w:color w:val="auto"/>
              </w:rPr>
            </w:pPr>
          </w:p>
        </w:tc>
      </w:tr>
      <w:tr>
        <w:trPr>
          <w:trHeight w:val="189"/>
        </w:trPr>
        <w:tc>
          <w:tcPr>
            <w:tcW w:w="920" w:type="dxa"/>
            <w:vAlign w:val="bottom"/>
            <w:shd w:val="clear" w:color="auto" w:fill="BAD3EA"/>
          </w:tcPr>
          <w:p>
            <w:pPr>
              <w:spacing w:after="0"/>
              <w:rPr>
                <w:sz w:val="16"/>
                <w:szCs w:val="16"/>
                <w:color w:val="auto"/>
              </w:rPr>
            </w:pPr>
          </w:p>
        </w:tc>
        <w:tc>
          <w:tcPr>
            <w:tcW w:w="80" w:type="dxa"/>
            <w:vAlign w:val="bottom"/>
            <w:shd w:val="clear" w:color="auto" w:fill="BAD3EA"/>
          </w:tcPr>
          <w:p>
            <w:pPr>
              <w:spacing w:after="0"/>
              <w:rPr>
                <w:sz w:val="16"/>
                <w:szCs w:val="16"/>
                <w:color w:val="auto"/>
              </w:rPr>
            </w:pPr>
          </w:p>
        </w:tc>
        <w:tc>
          <w:tcPr>
            <w:tcW w:w="4400" w:type="dxa"/>
            <w:vAlign w:val="bottom"/>
            <w:shd w:val="clear" w:color="auto" w:fill="BAD3EA"/>
          </w:tcPr>
          <w:p>
            <w:pPr>
              <w:ind w:left="160"/>
              <w:spacing w:after="0"/>
              <w:rPr>
                <w:sz w:val="20"/>
                <w:szCs w:val="20"/>
                <w:color w:val="auto"/>
              </w:rPr>
            </w:pPr>
            <w:r>
              <w:rPr>
                <w:rFonts w:ascii="Arial" w:cs="Arial" w:eastAsia="Arial" w:hAnsi="Arial"/>
                <w:sz w:val="16"/>
                <w:szCs w:val="16"/>
                <w:color w:val="auto"/>
              </w:rPr>
              <w:t>through competitive matches to executives’ retirement</w:t>
            </w:r>
          </w:p>
        </w:tc>
        <w:tc>
          <w:tcPr>
            <w:tcW w:w="0" w:type="dxa"/>
            <w:vAlign w:val="bottom"/>
          </w:tcPr>
          <w:p>
            <w:pPr>
              <w:spacing w:after="0"/>
              <w:rPr>
                <w:sz w:val="1"/>
                <w:szCs w:val="1"/>
                <w:color w:val="auto"/>
              </w:rPr>
            </w:pPr>
          </w:p>
        </w:tc>
      </w:tr>
      <w:tr>
        <w:trPr>
          <w:trHeight w:val="195"/>
        </w:trPr>
        <w:tc>
          <w:tcPr>
            <w:tcW w:w="920" w:type="dxa"/>
            <w:vAlign w:val="bottom"/>
            <w:shd w:val="clear" w:color="auto" w:fill="BAD3EA"/>
          </w:tcPr>
          <w:p>
            <w:pPr>
              <w:spacing w:after="0"/>
              <w:rPr>
                <w:sz w:val="16"/>
                <w:szCs w:val="16"/>
                <w:color w:val="auto"/>
              </w:rPr>
            </w:pPr>
          </w:p>
        </w:tc>
        <w:tc>
          <w:tcPr>
            <w:tcW w:w="80" w:type="dxa"/>
            <w:vAlign w:val="bottom"/>
            <w:shd w:val="clear" w:color="auto" w:fill="BAD3EA"/>
          </w:tcPr>
          <w:p>
            <w:pPr>
              <w:spacing w:after="0"/>
              <w:rPr>
                <w:sz w:val="16"/>
                <w:szCs w:val="16"/>
                <w:color w:val="auto"/>
              </w:rPr>
            </w:pPr>
          </w:p>
        </w:tc>
        <w:tc>
          <w:tcPr>
            <w:tcW w:w="4400" w:type="dxa"/>
            <w:vAlign w:val="bottom"/>
            <w:shd w:val="clear" w:color="auto" w:fill="BAD3EA"/>
          </w:tcPr>
          <w:p>
            <w:pPr>
              <w:ind w:left="160"/>
              <w:spacing w:after="0"/>
              <w:rPr>
                <w:sz w:val="20"/>
                <w:szCs w:val="20"/>
                <w:color w:val="auto"/>
              </w:rPr>
            </w:pPr>
            <w:r>
              <w:rPr>
                <w:rFonts w:ascii="Arial" w:cs="Arial" w:eastAsia="Arial" w:hAnsi="Arial"/>
                <w:sz w:val="16"/>
                <w:szCs w:val="16"/>
                <w:color w:val="auto"/>
              </w:rPr>
              <w:t>savings.</w:t>
            </w:r>
          </w:p>
        </w:tc>
        <w:tc>
          <w:tcPr>
            <w:tcW w:w="0" w:type="dxa"/>
            <w:vAlign w:val="bottom"/>
          </w:tcPr>
          <w:p>
            <w:pPr>
              <w:spacing w:after="0"/>
              <w:rPr>
                <w:sz w:val="1"/>
                <w:szCs w:val="1"/>
                <w:color w:val="auto"/>
              </w:rPr>
            </w:pPr>
          </w:p>
        </w:tc>
      </w:tr>
      <w:tr>
        <w:trPr>
          <w:trHeight w:val="87"/>
        </w:trPr>
        <w:tc>
          <w:tcPr>
            <w:tcW w:w="920" w:type="dxa"/>
            <w:vAlign w:val="bottom"/>
            <w:tcBorders>
              <w:bottom w:val="single" w:sz="8" w:color="auto"/>
            </w:tcBorders>
            <w:shd w:val="clear" w:color="auto" w:fill="BAD3EA"/>
          </w:tcPr>
          <w:p>
            <w:pPr>
              <w:spacing w:after="0"/>
              <w:rPr>
                <w:sz w:val="7"/>
                <w:szCs w:val="7"/>
                <w:color w:val="auto"/>
              </w:rPr>
            </w:pPr>
          </w:p>
        </w:tc>
        <w:tc>
          <w:tcPr>
            <w:tcW w:w="80" w:type="dxa"/>
            <w:vAlign w:val="bottom"/>
            <w:tcBorders>
              <w:bottom w:val="single" w:sz="8" w:color="auto"/>
            </w:tcBorders>
            <w:shd w:val="clear" w:color="auto" w:fill="BAD3EA"/>
          </w:tcPr>
          <w:p>
            <w:pPr>
              <w:spacing w:after="0"/>
              <w:rPr>
                <w:sz w:val="7"/>
                <w:szCs w:val="7"/>
                <w:color w:val="auto"/>
              </w:rPr>
            </w:pPr>
          </w:p>
        </w:tc>
        <w:tc>
          <w:tcPr>
            <w:tcW w:w="4400" w:type="dxa"/>
            <w:vAlign w:val="bottom"/>
            <w:tcBorders>
              <w:bottom w:val="single" w:sz="8" w:color="auto"/>
            </w:tcBorders>
            <w:shd w:val="clear" w:color="auto" w:fill="BAD3EA"/>
          </w:tcPr>
          <w:p>
            <w:pPr>
              <w:spacing w:after="0"/>
              <w:rPr>
                <w:sz w:val="7"/>
                <w:szCs w:val="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1A6DBB"/>
        </w:rPr>
        <w:t>Compensation Mix</w:t>
      </w:r>
    </w:p>
    <w:p>
      <w:pPr>
        <w:spacing w:after="0" w:line="128"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Our C&amp;MD Committee determines the general mix of the elements of our executive compensation programs. It does not target a specific mix of value for the compensation elements within these programs in either the program design or pay decisions. Rather, our C&amp;MD Committee reviews the mix of compensation elements to ensure an appropriate level of performance-based compensation is apportioned to the short-term and even more to the long-term to ensure alignment with our business goals and performance.</w:t>
      </w:r>
    </w:p>
    <w:p>
      <w:pPr>
        <w:spacing w:after="0" w:line="100"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Additionally, our C&amp;MD Committee believes the greater the leadership responsibilities, the greater the potential impact an individual will have on Biogen’s future strategic direction. Therefore, for our executive officers, including our NEOs, additional emphasis is placed on performance-based compensation, with a particular emphasis on LTI.</w:t>
      </w:r>
    </w:p>
    <w:p>
      <w:pPr>
        <w:spacing w:after="0" w:line="9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2018 compensation mix for Mr. Vounatsos and our other NEOs was highly performance-based and at-risk; 91% of 2018 compensation was performance-based for Mr. Vounatsos and 84% of 2018 compensation was</w:t>
      </w:r>
    </w:p>
    <w:p>
      <w:pPr>
        <w:spacing w:after="0" w:line="200"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110"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-62865</wp:posOffset>
            </wp:positionV>
            <wp:extent cx="102870" cy="946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7" w:lineRule="exact"/>
        <w:rPr>
          <w:sz w:val="20"/>
          <w:szCs w:val="20"/>
          <w:color w:val="auto"/>
        </w:rPr>
      </w:pPr>
    </w:p>
    <w:p>
      <w:pPr>
        <w:ind w:left="460"/>
        <w:spacing w:after="0"/>
        <w:rPr>
          <w:sz w:val="20"/>
          <w:szCs w:val="20"/>
          <w:color w:val="auto"/>
        </w:rPr>
      </w:pPr>
      <w:r>
        <w:rPr>
          <w:rFonts w:ascii="Arial" w:cs="Arial" w:eastAsia="Arial" w:hAnsi="Arial"/>
          <w:sz w:val="88"/>
          <w:szCs w:val="88"/>
          <w:color w:val="1A6DBB"/>
        </w:rPr>
        <w:t xml:space="preserve">5 </w:t>
      </w:r>
      <w:r>
        <w:rPr>
          <w:rFonts w:ascii="Arial" w:cs="Arial" w:eastAsia="Arial" w:hAnsi="Arial"/>
          <w:sz w:val="40"/>
          <w:szCs w:val="40"/>
          <w:color w:val="1A6DBB"/>
        </w:rPr>
        <w:t>Executive Compensation Matters</w:t>
      </w:r>
      <w:r>
        <w:rPr>
          <w:rFonts w:ascii="Arial" w:cs="Arial" w:eastAsia="Arial" w:hAnsi="Arial"/>
          <w:sz w:val="88"/>
          <w:szCs w:val="88"/>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40"/>
          </w:cols>
          <w:pgMar w:left="240" w:top="459" w:right="519" w:bottom="1440" w:gutter="0" w:footer="0" w:header="0"/>
        </w:sectPr>
      </w:pPr>
    </w:p>
    <w:p>
      <w:pPr>
        <w:spacing w:after="0" w:line="281" w:lineRule="exact"/>
        <w:rPr>
          <w:sz w:val="20"/>
          <w:szCs w:val="20"/>
          <w:color w:val="auto"/>
        </w:rPr>
      </w:pPr>
    </w:p>
    <w:p>
      <w:pPr>
        <w:ind w:left="200"/>
        <w:spacing w:after="0" w:line="253" w:lineRule="auto"/>
        <w:rPr>
          <w:sz w:val="20"/>
          <w:szCs w:val="20"/>
          <w:color w:val="auto"/>
        </w:rPr>
      </w:pPr>
      <w:r>
        <w:rPr>
          <w:rFonts w:ascii="Arial" w:cs="Arial" w:eastAsia="Arial" w:hAnsi="Arial"/>
          <w:sz w:val="16"/>
          <w:szCs w:val="16"/>
          <w:color w:val="auto"/>
        </w:rPr>
        <w:t>performance-based for our other NEOs, assuming target level achievement of applicable corporate performance goals and with LTI awards measured at target grant date</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values, and excluding the one-time transition awards of RSUs granted to Dr. Ehlers, Ms. Alexander and Dr. McKenzie, as described in further detail below.</w:t>
      </w:r>
    </w:p>
    <w:p>
      <w:pPr>
        <w:spacing w:after="0" w:line="200" w:lineRule="exact"/>
        <w:rPr>
          <w:sz w:val="20"/>
          <w:szCs w:val="20"/>
          <w:color w:val="auto"/>
        </w:rPr>
      </w:pPr>
    </w:p>
    <w:p>
      <w:pPr>
        <w:sectPr>
          <w:pgSz w:w="11900" w:h="16838" w:orient="portrait"/>
          <w:cols w:equalWidth="0" w:num="2">
            <w:col w:w="5120" w:space="700"/>
            <w:col w:w="5320"/>
          </w:cols>
          <w:pgMar w:left="240" w:top="459" w:right="519" w:bottom="1440" w:gutter="0" w:footer="0" w:header="0"/>
          <w:type w:val="continuous"/>
        </w:sectPr>
      </w:pPr>
    </w:p>
    <w:p>
      <w:pPr>
        <w:spacing w:after="0" w:line="1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1A6DBB"/>
        </w:rPr>
        <w:t>Performance Goals and Target Setting Process</w:t>
      </w:r>
    </w:p>
    <w:p>
      <w:pPr>
        <w:spacing w:after="0" w:line="128" w:lineRule="exact"/>
        <w:rPr>
          <w:sz w:val="20"/>
          <w:szCs w:val="20"/>
          <w:color w:val="auto"/>
        </w:rPr>
      </w:pPr>
    </w:p>
    <w:p>
      <w:pPr>
        <w:ind w:left="200" w:right="320"/>
        <w:spacing w:after="0" w:line="260" w:lineRule="auto"/>
        <w:rPr>
          <w:sz w:val="20"/>
          <w:szCs w:val="20"/>
          <w:color w:val="auto"/>
        </w:rPr>
      </w:pPr>
      <w:r>
        <w:rPr>
          <w:rFonts w:ascii="Arial" w:cs="Arial" w:eastAsia="Arial" w:hAnsi="Arial"/>
          <w:sz w:val="16"/>
          <w:szCs w:val="16"/>
          <w:color w:val="auto"/>
        </w:rPr>
        <w:t>Early each year, our C&amp;MD Committee reviews and establishes the pay levels of each element of total compensation for our executive officers. Total compensation is comprised of base salary, annual bonus and LTI awards.</w:t>
      </w:r>
    </w:p>
    <w:p>
      <w:pPr>
        <w:spacing w:after="0" w:line="88" w:lineRule="exact"/>
        <w:rPr>
          <w:sz w:val="20"/>
          <w:szCs w:val="20"/>
          <w:color w:val="auto"/>
        </w:rPr>
      </w:pPr>
    </w:p>
    <w:p>
      <w:pPr>
        <w:ind w:left="200"/>
        <w:spacing w:after="0" w:line="249" w:lineRule="auto"/>
        <w:rPr>
          <w:sz w:val="20"/>
          <w:szCs w:val="20"/>
          <w:color w:val="auto"/>
        </w:rPr>
      </w:pPr>
      <w:r>
        <w:rPr>
          <w:rFonts w:ascii="Arial" w:cs="Arial" w:eastAsia="Arial" w:hAnsi="Arial"/>
          <w:sz w:val="16"/>
          <w:szCs w:val="16"/>
          <w:color w:val="auto"/>
        </w:rPr>
        <w:t>As part of this process, our C&amp;MD Committee reviews the mix of compensation elements to ensure our performance-based compensation is apportioned appropriately and aligns with our business goals and performance. Our C&amp;MD Committee also ensures that the performance metrics and goals are aligned with the annual business plan approved by our Board of Directors so there is full alignment of executive incentive goals with the goals that have been established for the year. Executive officers are also evaluated based on qualitative factors, such as individual, strategic and leadership achievements. The use of both quantitative and qualitative metrics, as well as the weighting of such metrics, effectively mitigates the impact of a single risk, such as dependence on drug pricing, pipeline performance or market share, on overall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78105</wp:posOffset>
            </wp:positionV>
            <wp:extent cx="685800" cy="15430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-62865</wp:posOffset>
            </wp:positionV>
            <wp:extent cx="102870" cy="946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140"/>
          </w:cols>
          <w:pgMar w:left="240" w:top="459" w:right="51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7" w:lineRule="exact"/>
        <w:rPr>
          <w:sz w:val="20"/>
          <w:szCs w:val="20"/>
          <w:color w:val="auto"/>
        </w:rPr>
      </w:pPr>
    </w:p>
    <w:p>
      <w:pPr>
        <w:ind w:left="460"/>
        <w:spacing w:after="0"/>
        <w:rPr>
          <w:sz w:val="20"/>
          <w:szCs w:val="20"/>
          <w:color w:val="auto"/>
        </w:rPr>
      </w:pPr>
      <w:r>
        <w:rPr>
          <w:rFonts w:ascii="Arial" w:cs="Arial" w:eastAsia="Arial" w:hAnsi="Arial"/>
          <w:sz w:val="88"/>
          <w:szCs w:val="88"/>
          <w:color w:val="1A6DBB"/>
        </w:rPr>
        <w:t xml:space="preserve">5 </w:t>
      </w:r>
      <w:r>
        <w:rPr>
          <w:rFonts w:ascii="Arial" w:cs="Arial" w:eastAsia="Arial" w:hAnsi="Arial"/>
          <w:sz w:val="40"/>
          <w:szCs w:val="40"/>
          <w:color w:val="1A6DBB"/>
        </w:rPr>
        <w:t>Executive Compensation Matters</w:t>
      </w:r>
      <w:r>
        <w:rPr>
          <w:rFonts w:ascii="Arial" w:cs="Arial" w:eastAsia="Arial" w:hAnsi="Arial"/>
          <w:sz w:val="88"/>
          <w:szCs w:val="88"/>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 summary of the process our C&amp;MD Committee follows in setting compensation is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156210</wp:posOffset>
            </wp:positionV>
            <wp:extent cx="2075180" cy="246126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075180" cy="2461260"/>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p>
      <w:pPr>
        <w:spacing w:after="0" w:line="246" w:lineRule="exact"/>
        <w:rPr>
          <w:sz w:val="20"/>
          <w:szCs w:val="20"/>
          <w:color w:val="auto"/>
        </w:rPr>
      </w:pPr>
    </w:p>
    <w:p>
      <w:pPr>
        <w:jc w:val="center"/>
        <w:ind w:left="240"/>
        <w:spacing w:after="0"/>
        <w:rPr>
          <w:sz w:val="20"/>
          <w:szCs w:val="20"/>
          <w:color w:val="auto"/>
        </w:rPr>
      </w:pPr>
      <w:r>
        <w:rPr>
          <w:sz w:val="1"/>
          <w:szCs w:val="1"/>
          <w:color w:val="auto"/>
        </w:rPr>
        <w:drawing>
          <wp:inline distT="0" distB="0" distL="0" distR="0">
            <wp:extent cx="240030" cy="240030"/>
            <wp:effectExtent l="0" t="0" r="0" b="0"/>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40030"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Target Setting</w:t>
      </w:r>
    </w:p>
    <w:p>
      <w:pPr>
        <w:spacing w:after="0" w:line="265" w:lineRule="exact"/>
        <w:rPr>
          <w:sz w:val="20"/>
          <w:szCs w:val="20"/>
          <w:color w:val="auto"/>
        </w:rPr>
      </w:pPr>
    </w:p>
    <w:p>
      <w:pPr>
        <w:ind w:left="420" w:right="60" w:hanging="216"/>
        <w:spacing w:after="0" w:line="249" w:lineRule="auto"/>
        <w:tabs>
          <w:tab w:leader="none" w:pos="430" w:val="left"/>
        </w:tabs>
        <w:numPr>
          <w:ilvl w:val="0"/>
          <w:numId w:val="104"/>
        </w:numPr>
        <w:rPr>
          <w:rFonts w:ascii="Arial" w:cs="Arial" w:eastAsia="Arial" w:hAnsi="Arial"/>
          <w:sz w:val="16"/>
          <w:szCs w:val="16"/>
          <w:color w:val="1A6DBB"/>
        </w:rPr>
      </w:pPr>
      <w:r>
        <w:rPr>
          <w:rFonts w:ascii="Arial" w:cs="Arial" w:eastAsia="Arial" w:hAnsi="Arial"/>
          <w:sz w:val="16"/>
          <w:szCs w:val="16"/>
          <w:color w:val="auto"/>
        </w:rPr>
        <w:t>Our C&amp;MD Committee and our CEO discuss potential goals for the upcoming year that are tied to the short- and longer-term strategic goals of the Company as well as individual goals for our executive officers.</w:t>
      </w:r>
    </w:p>
    <w:p>
      <w:pPr>
        <w:spacing w:after="0" w:line="110" w:lineRule="exact"/>
        <w:rPr>
          <w:rFonts w:ascii="Arial" w:cs="Arial" w:eastAsia="Arial" w:hAnsi="Arial"/>
          <w:sz w:val="16"/>
          <w:szCs w:val="16"/>
          <w:color w:val="1A6DBB"/>
        </w:rPr>
      </w:pPr>
    </w:p>
    <w:p>
      <w:pPr>
        <w:ind w:left="420" w:right="120" w:hanging="216"/>
        <w:spacing w:after="0" w:line="248" w:lineRule="auto"/>
        <w:tabs>
          <w:tab w:leader="none" w:pos="427" w:val="left"/>
        </w:tabs>
        <w:numPr>
          <w:ilvl w:val="0"/>
          <w:numId w:val="104"/>
        </w:numPr>
        <w:rPr>
          <w:rFonts w:ascii="Arial" w:cs="Arial" w:eastAsia="Arial" w:hAnsi="Arial"/>
          <w:sz w:val="16"/>
          <w:szCs w:val="16"/>
          <w:color w:val="1A6DBB"/>
        </w:rPr>
      </w:pPr>
      <w:r>
        <w:rPr>
          <w:rFonts w:ascii="Arial" w:cs="Arial" w:eastAsia="Arial" w:hAnsi="Arial"/>
          <w:sz w:val="16"/>
          <w:szCs w:val="16"/>
          <w:color w:val="auto"/>
        </w:rPr>
        <w:t>The annual business plan for the year is approved by our Board of Directors. As part of the approval process, our Board considers many factors relevant to our business, reputation and strategy, including pipeline and business development, pricing and patient access, market expectations and intellectual property risk.</w:t>
      </w:r>
    </w:p>
    <w:p>
      <w:pPr>
        <w:spacing w:after="0" w:line="112" w:lineRule="exact"/>
        <w:rPr>
          <w:rFonts w:ascii="Arial" w:cs="Arial" w:eastAsia="Arial" w:hAnsi="Arial"/>
          <w:sz w:val="16"/>
          <w:szCs w:val="16"/>
          <w:color w:val="1A6DBB"/>
        </w:rPr>
      </w:pPr>
    </w:p>
    <w:p>
      <w:pPr>
        <w:ind w:left="420" w:right="120" w:hanging="216"/>
        <w:spacing w:after="0" w:line="251" w:lineRule="auto"/>
        <w:tabs>
          <w:tab w:leader="none" w:pos="430" w:val="left"/>
        </w:tabs>
        <w:numPr>
          <w:ilvl w:val="0"/>
          <w:numId w:val="104"/>
        </w:numPr>
        <w:rPr>
          <w:rFonts w:ascii="Arial" w:cs="Arial" w:eastAsia="Arial" w:hAnsi="Arial"/>
          <w:sz w:val="16"/>
          <w:szCs w:val="16"/>
          <w:color w:val="1A6DBB"/>
        </w:rPr>
      </w:pPr>
      <w:r>
        <w:rPr>
          <w:rFonts w:ascii="Arial" w:cs="Arial" w:eastAsia="Arial" w:hAnsi="Arial"/>
          <w:sz w:val="16"/>
          <w:szCs w:val="16"/>
          <w:color w:val="auto"/>
        </w:rPr>
        <w:t>Our C&amp;MD Committee ensures that the performance goals and targets under our compensation plans are aligned with the approved annual business plan.</w:t>
      </w:r>
    </w:p>
    <w:p>
      <w:pPr>
        <w:spacing w:after="0" w:line="108" w:lineRule="exact"/>
        <w:rPr>
          <w:rFonts w:ascii="Arial" w:cs="Arial" w:eastAsia="Arial" w:hAnsi="Arial"/>
          <w:sz w:val="16"/>
          <w:szCs w:val="16"/>
          <w:color w:val="1A6DBB"/>
        </w:rPr>
      </w:pPr>
    </w:p>
    <w:p>
      <w:pPr>
        <w:ind w:left="420" w:right="160" w:hanging="216"/>
        <w:spacing w:after="0" w:line="253" w:lineRule="auto"/>
        <w:tabs>
          <w:tab w:leader="none" w:pos="430" w:val="left"/>
        </w:tabs>
        <w:numPr>
          <w:ilvl w:val="0"/>
          <w:numId w:val="104"/>
        </w:numPr>
        <w:rPr>
          <w:rFonts w:ascii="Arial" w:cs="Arial" w:eastAsia="Arial" w:hAnsi="Arial"/>
          <w:sz w:val="16"/>
          <w:szCs w:val="16"/>
          <w:color w:val="1A6DBB"/>
        </w:rPr>
      </w:pPr>
      <w:r>
        <w:rPr>
          <w:rFonts w:ascii="Arial" w:cs="Arial" w:eastAsia="Arial" w:hAnsi="Arial"/>
          <w:sz w:val="16"/>
          <w:szCs w:val="16"/>
          <w:color w:val="auto"/>
        </w:rPr>
        <w:t>Payout levels for each performance goal are established by management and approved by our C&amp;MD Committee.</w:t>
      </w:r>
    </w:p>
    <w:p>
      <w:pPr>
        <w:spacing w:after="0" w:line="106" w:lineRule="exact"/>
        <w:rPr>
          <w:rFonts w:ascii="Arial" w:cs="Arial" w:eastAsia="Arial" w:hAnsi="Arial"/>
          <w:sz w:val="16"/>
          <w:szCs w:val="16"/>
          <w:color w:val="1A6DBB"/>
        </w:rPr>
      </w:pPr>
    </w:p>
    <w:p>
      <w:pPr>
        <w:ind w:left="420" w:hanging="216"/>
        <w:spacing w:after="0" w:line="249" w:lineRule="auto"/>
        <w:tabs>
          <w:tab w:leader="none" w:pos="427" w:val="left"/>
        </w:tabs>
        <w:numPr>
          <w:ilvl w:val="0"/>
          <w:numId w:val="104"/>
        </w:numPr>
        <w:rPr>
          <w:rFonts w:ascii="Arial" w:cs="Arial" w:eastAsia="Arial" w:hAnsi="Arial"/>
          <w:sz w:val="16"/>
          <w:szCs w:val="16"/>
          <w:color w:val="1A6DBB"/>
        </w:rPr>
      </w:pPr>
      <w:r>
        <w:rPr>
          <w:rFonts w:ascii="Arial" w:cs="Arial" w:eastAsia="Arial" w:hAnsi="Arial"/>
          <w:sz w:val="16"/>
          <w:szCs w:val="16"/>
          <w:color w:val="auto"/>
        </w:rPr>
        <w:t>The performance goals are then applied to the compensation opportunities for our executive officers, including NEOs, so that there is full alignment of executive incentive goals with the goals that have been established for the year.</w:t>
      </w:r>
    </w:p>
    <w:p>
      <w:pPr>
        <w:spacing w:after="0" w:line="110" w:lineRule="exact"/>
        <w:rPr>
          <w:rFonts w:ascii="Arial" w:cs="Arial" w:eastAsia="Arial" w:hAnsi="Arial"/>
          <w:sz w:val="16"/>
          <w:szCs w:val="16"/>
          <w:color w:val="1A6DBB"/>
        </w:rPr>
      </w:pPr>
    </w:p>
    <w:p>
      <w:pPr>
        <w:ind w:left="420" w:right="100" w:hanging="216"/>
        <w:spacing w:after="0" w:line="251" w:lineRule="auto"/>
        <w:tabs>
          <w:tab w:leader="none" w:pos="430" w:val="left"/>
        </w:tabs>
        <w:numPr>
          <w:ilvl w:val="0"/>
          <w:numId w:val="104"/>
        </w:numPr>
        <w:rPr>
          <w:rFonts w:ascii="Arial" w:cs="Arial" w:eastAsia="Arial" w:hAnsi="Arial"/>
          <w:sz w:val="16"/>
          <w:szCs w:val="16"/>
          <w:color w:val="1A6DBB"/>
        </w:rPr>
      </w:pPr>
      <w:r>
        <w:rPr>
          <w:rFonts w:ascii="Arial" w:cs="Arial" w:eastAsia="Arial" w:hAnsi="Arial"/>
          <w:sz w:val="16"/>
          <w:szCs w:val="16"/>
          <w:color w:val="auto"/>
        </w:rPr>
        <w:t>Our C&amp;MD Committee also reviews base salaries, bonus and LTI planning ranges, plan designs, benefits and peer group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85090</wp:posOffset>
            </wp:positionV>
            <wp:extent cx="685800" cy="15430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145"/>
        <w:spacing w:after="0"/>
        <w:rPr>
          <w:sz w:val="20"/>
          <w:szCs w:val="20"/>
          <w:color w:val="auto"/>
        </w:rPr>
      </w:pPr>
      <w:r>
        <w:rPr>
          <w:sz w:val="1"/>
          <w:szCs w:val="1"/>
          <w:color w:val="auto"/>
        </w:rPr>
        <w:drawing>
          <wp:inline distT="0" distB="0" distL="0" distR="0">
            <wp:extent cx="240030" cy="240030"/>
            <wp:effectExtent l="0" t="0" r="0" b="0"/>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40030"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Monitoring &amp; Tracking</w:t>
      </w:r>
    </w:p>
    <w:p>
      <w:pPr>
        <w:spacing w:after="0" w:line="211" w:lineRule="exact"/>
        <w:rPr>
          <w:sz w:val="20"/>
          <w:szCs w:val="20"/>
          <w:color w:val="auto"/>
        </w:rPr>
      </w:pPr>
    </w:p>
    <w:p>
      <w:pPr>
        <w:ind w:left="206" w:hanging="206"/>
        <w:spacing w:after="0" w:line="251" w:lineRule="auto"/>
        <w:tabs>
          <w:tab w:leader="none" w:pos="216" w:val="left"/>
        </w:tabs>
        <w:numPr>
          <w:ilvl w:val="0"/>
          <w:numId w:val="105"/>
        </w:numPr>
        <w:rPr>
          <w:rFonts w:ascii="Arial" w:cs="Arial" w:eastAsia="Arial" w:hAnsi="Arial"/>
          <w:sz w:val="16"/>
          <w:szCs w:val="16"/>
          <w:color w:val="1A6DBB"/>
        </w:rPr>
      </w:pPr>
      <w:r>
        <w:rPr>
          <w:rFonts w:ascii="Arial" w:cs="Arial" w:eastAsia="Arial" w:hAnsi="Arial"/>
          <w:sz w:val="16"/>
          <w:szCs w:val="16"/>
          <w:color w:val="auto"/>
        </w:rPr>
        <w:t>Our C&amp;MD Committee closely monitors progress against the performance goals throughout the year and engages in dialogue with management on such progress.</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jc w:val="center"/>
        <w:ind w:right="-42"/>
        <w:spacing w:after="0"/>
        <w:rPr>
          <w:sz w:val="20"/>
          <w:szCs w:val="20"/>
          <w:color w:val="auto"/>
        </w:rPr>
      </w:pPr>
      <w:r>
        <w:rPr>
          <w:sz w:val="1"/>
          <w:szCs w:val="1"/>
          <w:color w:val="auto"/>
        </w:rPr>
        <w:drawing>
          <wp:inline distT="0" distB="0" distL="0" distR="0">
            <wp:extent cx="240030" cy="240030"/>
            <wp:effectExtent l="0" t="0" r="0" b="0"/>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40030"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Results &amp; Awards:</w:t>
      </w:r>
    </w:p>
    <w:p>
      <w:pPr>
        <w:spacing w:after="0" w:line="8" w:lineRule="exact"/>
        <w:rPr>
          <w:sz w:val="20"/>
          <w:szCs w:val="20"/>
          <w:color w:val="auto"/>
        </w:rPr>
      </w:pPr>
    </w:p>
    <w:p>
      <w:pPr>
        <w:ind w:left="583"/>
        <w:spacing w:after="0"/>
        <w:rPr>
          <w:sz w:val="20"/>
          <w:szCs w:val="20"/>
          <w:color w:val="auto"/>
        </w:rPr>
      </w:pPr>
      <w:r>
        <w:rPr>
          <w:rFonts w:ascii="Arial" w:cs="Arial" w:eastAsia="Arial" w:hAnsi="Arial"/>
          <w:sz w:val="16"/>
          <w:szCs w:val="16"/>
          <w:b w:val="1"/>
          <w:bCs w:val="1"/>
          <w:color w:val="auto"/>
        </w:rPr>
        <w:t>C&amp;MD Committee Actions</w:t>
      </w:r>
    </w:p>
    <w:p>
      <w:pPr>
        <w:spacing w:after="0" w:line="316" w:lineRule="exact"/>
        <w:rPr>
          <w:sz w:val="20"/>
          <w:szCs w:val="20"/>
          <w:color w:val="auto"/>
        </w:rPr>
      </w:pPr>
    </w:p>
    <w:p>
      <w:pPr>
        <w:ind w:left="223" w:hanging="223"/>
        <w:spacing w:after="0" w:line="253" w:lineRule="auto"/>
        <w:tabs>
          <w:tab w:leader="none" w:pos="233" w:val="left"/>
        </w:tabs>
        <w:numPr>
          <w:ilvl w:val="0"/>
          <w:numId w:val="106"/>
        </w:numPr>
        <w:rPr>
          <w:rFonts w:ascii="Arial" w:cs="Arial" w:eastAsia="Arial" w:hAnsi="Arial"/>
          <w:sz w:val="16"/>
          <w:szCs w:val="16"/>
          <w:color w:val="1A6DBB"/>
        </w:rPr>
      </w:pPr>
      <w:r>
        <w:rPr>
          <w:rFonts w:ascii="Arial" w:cs="Arial" w:eastAsia="Arial" w:hAnsi="Arial"/>
          <w:sz w:val="16"/>
          <w:szCs w:val="16"/>
          <w:color w:val="auto"/>
        </w:rPr>
        <w:t>Reviews and discusses the performance of our executive officers against their respective performance goals.</w:t>
      </w:r>
    </w:p>
    <w:p>
      <w:pPr>
        <w:spacing w:after="0" w:line="106" w:lineRule="exact"/>
        <w:rPr>
          <w:rFonts w:ascii="Arial" w:cs="Arial" w:eastAsia="Arial" w:hAnsi="Arial"/>
          <w:sz w:val="16"/>
          <w:szCs w:val="16"/>
          <w:color w:val="1A6DBB"/>
        </w:rPr>
      </w:pPr>
    </w:p>
    <w:p>
      <w:pPr>
        <w:ind w:left="223" w:hanging="223"/>
        <w:spacing w:after="0" w:line="251" w:lineRule="auto"/>
        <w:tabs>
          <w:tab w:leader="none" w:pos="233" w:val="left"/>
        </w:tabs>
        <w:numPr>
          <w:ilvl w:val="0"/>
          <w:numId w:val="106"/>
        </w:numPr>
        <w:rPr>
          <w:rFonts w:ascii="Arial" w:cs="Arial" w:eastAsia="Arial" w:hAnsi="Arial"/>
          <w:sz w:val="16"/>
          <w:szCs w:val="16"/>
          <w:color w:val="1A6DBB"/>
        </w:rPr>
      </w:pPr>
      <w:r>
        <w:rPr>
          <w:rFonts w:ascii="Arial" w:cs="Arial" w:eastAsia="Arial" w:hAnsi="Arial"/>
          <w:sz w:val="16"/>
          <w:szCs w:val="16"/>
          <w:color w:val="auto"/>
        </w:rPr>
        <w:t>Reviews and discusses the Company, team and individual performance of each executive officer, other than our CEO, as assessed by our CEO.</w:t>
      </w:r>
    </w:p>
    <w:p>
      <w:pPr>
        <w:spacing w:after="0" w:line="108" w:lineRule="exact"/>
        <w:rPr>
          <w:rFonts w:ascii="Arial" w:cs="Arial" w:eastAsia="Arial" w:hAnsi="Arial"/>
          <w:sz w:val="16"/>
          <w:szCs w:val="16"/>
          <w:color w:val="1A6DBB"/>
        </w:rPr>
      </w:pPr>
    </w:p>
    <w:p>
      <w:pPr>
        <w:ind w:left="223" w:right="60" w:hanging="223"/>
        <w:spacing w:after="0" w:line="249" w:lineRule="auto"/>
        <w:tabs>
          <w:tab w:leader="none" w:pos="233" w:val="left"/>
        </w:tabs>
        <w:numPr>
          <w:ilvl w:val="0"/>
          <w:numId w:val="106"/>
        </w:numPr>
        <w:rPr>
          <w:rFonts w:ascii="Arial" w:cs="Arial" w:eastAsia="Arial" w:hAnsi="Arial"/>
          <w:sz w:val="16"/>
          <w:szCs w:val="16"/>
          <w:color w:val="1A6DBB"/>
        </w:rPr>
      </w:pPr>
      <w:r>
        <w:rPr>
          <w:rFonts w:ascii="Arial" w:cs="Arial" w:eastAsia="Arial" w:hAnsi="Arial"/>
          <w:sz w:val="16"/>
          <w:szCs w:val="16"/>
          <w:color w:val="auto"/>
        </w:rPr>
        <w:t>Reviews and discusses our CEO’s recommended compensation levels for each executive officer, other than himself, in the context of such executive officer’s contributions to the Company and the other factors described above.</w:t>
      </w:r>
    </w:p>
    <w:p>
      <w:pPr>
        <w:spacing w:after="0" w:line="110" w:lineRule="exact"/>
        <w:rPr>
          <w:rFonts w:ascii="Arial" w:cs="Arial" w:eastAsia="Arial" w:hAnsi="Arial"/>
          <w:sz w:val="16"/>
          <w:szCs w:val="16"/>
          <w:color w:val="1A6DBB"/>
        </w:rPr>
      </w:pPr>
    </w:p>
    <w:p>
      <w:pPr>
        <w:ind w:left="223" w:right="300" w:hanging="223"/>
        <w:spacing w:after="0" w:line="251" w:lineRule="auto"/>
        <w:tabs>
          <w:tab w:leader="none" w:pos="224" w:val="left"/>
        </w:tabs>
        <w:numPr>
          <w:ilvl w:val="0"/>
          <w:numId w:val="106"/>
        </w:numPr>
        <w:rPr>
          <w:rFonts w:ascii="Arial" w:cs="Arial" w:eastAsia="Arial" w:hAnsi="Arial"/>
          <w:sz w:val="16"/>
          <w:szCs w:val="16"/>
          <w:color w:val="1A6DBB"/>
        </w:rPr>
      </w:pPr>
      <w:r>
        <w:rPr>
          <w:rFonts w:ascii="Arial" w:cs="Arial" w:eastAsia="Arial" w:hAnsi="Arial"/>
          <w:sz w:val="16"/>
          <w:szCs w:val="16"/>
          <w:color w:val="auto"/>
        </w:rPr>
        <w:t>Approves the final compensation for each executive officer other than our CEO, including base salary, annual bonus and LTI awards.</w:t>
      </w:r>
    </w:p>
    <w:p>
      <w:pPr>
        <w:spacing w:after="0" w:line="108" w:lineRule="exact"/>
        <w:rPr>
          <w:rFonts w:ascii="Arial" w:cs="Arial" w:eastAsia="Arial" w:hAnsi="Arial"/>
          <w:sz w:val="16"/>
          <w:szCs w:val="16"/>
          <w:color w:val="1A6DBB"/>
        </w:rPr>
      </w:pPr>
    </w:p>
    <w:p>
      <w:pPr>
        <w:ind w:left="223" w:right="180" w:hanging="223"/>
        <w:spacing w:after="0" w:line="250" w:lineRule="auto"/>
        <w:tabs>
          <w:tab w:leader="none" w:pos="233" w:val="left"/>
        </w:tabs>
        <w:numPr>
          <w:ilvl w:val="0"/>
          <w:numId w:val="106"/>
        </w:numPr>
        <w:rPr>
          <w:rFonts w:ascii="Arial" w:cs="Arial" w:eastAsia="Arial" w:hAnsi="Arial"/>
          <w:sz w:val="16"/>
          <w:szCs w:val="16"/>
          <w:color w:val="1A6DBB"/>
        </w:rPr>
      </w:pPr>
      <w:r>
        <w:rPr>
          <w:rFonts w:ascii="Arial" w:cs="Arial" w:eastAsia="Arial" w:hAnsi="Arial"/>
          <w:sz w:val="16"/>
          <w:szCs w:val="16"/>
          <w:color w:val="auto"/>
        </w:rPr>
        <w:t>Reviews CEO compensation and recommends to our Board of Directors for approval the compensation of our CEO, including base salary, annual bonus and LTI awards.</w:t>
      </w:r>
    </w:p>
    <w:p>
      <w:pPr>
        <w:spacing w:after="0" w:line="1797" w:lineRule="exact"/>
        <w:rPr>
          <w:sz w:val="20"/>
          <w:szCs w:val="20"/>
          <w:color w:val="auto"/>
        </w:rPr>
      </w:pPr>
    </w:p>
    <w:p>
      <w:pPr>
        <w:sectPr>
          <w:pgSz w:w="11900" w:h="16838" w:orient="portrait"/>
          <w:cols w:equalWidth="0" w:num="3">
            <w:col w:w="3480" w:space="154"/>
            <w:col w:w="4166" w:space="237"/>
            <w:col w:w="3143"/>
          </w:cols>
          <w:pgMar w:left="240" w:top="459" w:right="479" w:bottom="1440" w:gutter="0" w:footer="0" w:header="0"/>
          <w:type w:val="continuous"/>
        </w:sectPr>
      </w:pPr>
    </w:p>
    <w:p>
      <w:pPr>
        <w:ind w:left="360"/>
        <w:spacing w:after="0"/>
        <w:rPr>
          <w:sz w:val="20"/>
          <w:szCs w:val="20"/>
          <w:color w:val="auto"/>
        </w:rPr>
      </w:pPr>
      <w:r>
        <w:rPr>
          <w:rFonts w:ascii="Arial" w:cs="Arial" w:eastAsia="Arial" w:hAnsi="Arial"/>
          <w:sz w:val="12"/>
          <w:szCs w:val="12"/>
          <w:color w:val="1A6DBB"/>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-71120</wp:posOffset>
            </wp:positionV>
            <wp:extent cx="102870" cy="946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7" w:lineRule="exact"/>
        <w:rPr>
          <w:sz w:val="20"/>
          <w:szCs w:val="20"/>
          <w:color w:val="auto"/>
        </w:rPr>
      </w:pPr>
    </w:p>
    <w:p>
      <w:pPr>
        <w:ind w:left="460"/>
        <w:spacing w:after="0"/>
        <w:rPr>
          <w:sz w:val="20"/>
          <w:szCs w:val="20"/>
          <w:color w:val="auto"/>
        </w:rPr>
      </w:pPr>
      <w:r>
        <w:rPr>
          <w:rFonts w:ascii="Arial" w:cs="Arial" w:eastAsia="Arial" w:hAnsi="Arial"/>
          <w:sz w:val="88"/>
          <w:szCs w:val="88"/>
          <w:color w:val="1A6DBB"/>
        </w:rPr>
        <w:t xml:space="preserve">5 </w:t>
      </w:r>
      <w:r>
        <w:rPr>
          <w:rFonts w:ascii="Arial" w:cs="Arial" w:eastAsia="Arial" w:hAnsi="Arial"/>
          <w:sz w:val="40"/>
          <w:szCs w:val="40"/>
          <w:color w:val="1A6DBB"/>
        </w:rPr>
        <w:t>Executive Compensation Matters</w:t>
      </w:r>
      <w:r>
        <w:rPr>
          <w:rFonts w:ascii="Arial" w:cs="Arial" w:eastAsia="Arial" w:hAnsi="Arial"/>
          <w:sz w:val="88"/>
          <w:szCs w:val="88"/>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5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1A6DBB"/>
        </w:rPr>
        <w:t>2018 Base Salary</w:t>
      </w:r>
    </w:p>
    <w:p>
      <w:pPr>
        <w:spacing w:after="0" w:line="128" w:lineRule="exact"/>
        <w:rPr>
          <w:sz w:val="20"/>
          <w:szCs w:val="20"/>
          <w:color w:val="auto"/>
        </w:rPr>
      </w:pPr>
    </w:p>
    <w:p>
      <w:pPr>
        <w:ind w:left="220" w:right="180"/>
        <w:spacing w:after="0" w:line="246" w:lineRule="auto"/>
        <w:rPr>
          <w:sz w:val="20"/>
          <w:szCs w:val="20"/>
          <w:color w:val="auto"/>
        </w:rPr>
      </w:pPr>
      <w:r>
        <w:rPr>
          <w:rFonts w:ascii="Arial" w:cs="Arial" w:eastAsia="Arial" w:hAnsi="Arial"/>
          <w:sz w:val="16"/>
          <w:szCs w:val="16"/>
          <w:color w:val="auto"/>
        </w:rPr>
        <w:t>Our Board of Directors reviewed the base salaries of chief executive officers in our peer group and considered Mr. Vounatsos’ compensation mix, capabilities, performance and future expected contributions.</w:t>
      </w:r>
    </w:p>
    <w:p>
      <w:pPr>
        <w:spacing w:after="0" w:line="1" w:lineRule="exact"/>
        <w:rPr>
          <w:sz w:val="20"/>
          <w:szCs w:val="20"/>
          <w:color w:val="auto"/>
        </w:rPr>
      </w:pPr>
    </w:p>
    <w:p>
      <w:pPr>
        <w:jc w:val="both"/>
        <w:ind w:left="220" w:right="140"/>
        <w:spacing w:after="0" w:line="253" w:lineRule="auto"/>
        <w:rPr>
          <w:sz w:val="20"/>
          <w:szCs w:val="20"/>
          <w:color w:val="auto"/>
        </w:rPr>
      </w:pPr>
      <w:r>
        <w:rPr>
          <w:rFonts w:ascii="Arial" w:cs="Arial" w:eastAsia="Arial" w:hAnsi="Arial"/>
          <w:sz w:val="16"/>
          <w:szCs w:val="16"/>
          <w:color w:val="auto"/>
        </w:rPr>
        <w:t>Mr. Vounatsos’ base salary was set at $1,300,000, which positioned him below the market median when compared to the chief executive officers of our peer group.</w:t>
      </w:r>
    </w:p>
    <w:p>
      <w:pPr>
        <w:spacing w:after="0" w:line="93" w:lineRule="exact"/>
        <w:rPr>
          <w:sz w:val="20"/>
          <w:szCs w:val="20"/>
          <w:color w:val="auto"/>
        </w:rPr>
      </w:pPr>
    </w:p>
    <w:p>
      <w:pPr>
        <w:ind w:left="220" w:right="160"/>
        <w:spacing w:after="0" w:line="251" w:lineRule="auto"/>
        <w:rPr>
          <w:sz w:val="20"/>
          <w:szCs w:val="20"/>
          <w:color w:val="auto"/>
        </w:rPr>
      </w:pPr>
      <w:r>
        <w:rPr>
          <w:rFonts w:ascii="Arial" w:cs="Arial" w:eastAsia="Arial" w:hAnsi="Arial"/>
          <w:sz w:val="16"/>
          <w:szCs w:val="16"/>
          <w:color w:val="auto"/>
        </w:rPr>
        <w:t>Our C&amp;MD Committee undertook a similar review when approving the base salaries for our other NEOs, which positioned them, on average, slightly below the market median compared to persons with comparable jobs within our peer group.</w:t>
      </w:r>
    </w:p>
    <w:p>
      <w:pPr>
        <w:spacing w:after="0" w:line="95" w:lineRule="exact"/>
        <w:rPr>
          <w:sz w:val="20"/>
          <w:szCs w:val="20"/>
          <w:color w:val="auto"/>
        </w:rPr>
      </w:pPr>
    </w:p>
    <w:p>
      <w:pPr>
        <w:ind w:left="220" w:right="80"/>
        <w:spacing w:after="0" w:line="260" w:lineRule="auto"/>
        <w:rPr>
          <w:sz w:val="20"/>
          <w:szCs w:val="20"/>
          <w:color w:val="auto"/>
        </w:rPr>
      </w:pPr>
      <w:r>
        <w:rPr>
          <w:rFonts w:ascii="Arial" w:cs="Arial" w:eastAsia="Arial" w:hAnsi="Arial"/>
          <w:sz w:val="16"/>
          <w:szCs w:val="16"/>
          <w:color w:val="auto"/>
        </w:rPr>
        <w:t>The annual base salary of each of our NEOs in 2018, compared to 2017, was as follows:</w:t>
      </w:r>
    </w:p>
    <w:p>
      <w:pPr>
        <w:spacing w:after="0" w:line="107" w:lineRule="exact"/>
        <w:rPr>
          <w:sz w:val="20"/>
          <w:szCs w:val="20"/>
          <w:color w:val="auto"/>
        </w:rPr>
      </w:pPr>
    </w:p>
    <w:tbl>
      <w:tblPr>
        <w:tblLayout w:type="fixed"/>
        <w:tblInd w:w="220" w:type="dxa"/>
        <w:tblCellMar>
          <w:top w:w="0" w:type="dxa"/>
          <w:left w:w="0" w:type="dxa"/>
          <w:bottom w:w="0" w:type="dxa"/>
          <w:right w:w="0" w:type="dxa"/>
        </w:tblCellMar>
      </w:tblPr>
      <w:tr>
        <w:trPr>
          <w:trHeight w:val="276"/>
        </w:trPr>
        <w:tc>
          <w:tcPr>
            <w:tcW w:w="1480" w:type="dxa"/>
            <w:vAlign w:val="bottom"/>
            <w:shd w:val="clear" w:color="auto" w:fill="1A6DBB"/>
          </w:tcPr>
          <w:p>
            <w:pPr>
              <w:ind w:left="140"/>
              <w:spacing w:after="0"/>
              <w:rPr>
                <w:sz w:val="20"/>
                <w:szCs w:val="20"/>
                <w:color w:val="auto"/>
              </w:rPr>
            </w:pPr>
            <w:r>
              <w:rPr>
                <w:rFonts w:ascii="Arial" w:cs="Arial" w:eastAsia="Arial" w:hAnsi="Arial"/>
                <w:sz w:val="14"/>
                <w:szCs w:val="14"/>
                <w:color w:val="FFFFFF"/>
              </w:rPr>
              <w:t>Name</w:t>
            </w:r>
          </w:p>
        </w:tc>
        <w:tc>
          <w:tcPr>
            <w:tcW w:w="1320" w:type="dxa"/>
            <w:vAlign w:val="bottom"/>
            <w:gridSpan w:val="2"/>
            <w:shd w:val="clear" w:color="auto" w:fill="1A6DBB"/>
          </w:tcPr>
          <w:p>
            <w:pPr>
              <w:jc w:val="right"/>
              <w:ind w:right="119"/>
              <w:spacing w:after="0"/>
              <w:rPr>
                <w:sz w:val="20"/>
                <w:szCs w:val="20"/>
                <w:color w:val="auto"/>
              </w:rPr>
            </w:pPr>
            <w:r>
              <w:rPr>
                <w:rFonts w:ascii="Arial" w:cs="Arial" w:eastAsia="Arial" w:hAnsi="Arial"/>
                <w:sz w:val="14"/>
                <w:szCs w:val="14"/>
                <w:color w:val="FFFFFF"/>
              </w:rPr>
              <w:t>2018 Salary</w:t>
            </w:r>
          </w:p>
        </w:tc>
        <w:tc>
          <w:tcPr>
            <w:tcW w:w="1180" w:type="dxa"/>
            <w:vAlign w:val="bottom"/>
            <w:gridSpan w:val="2"/>
            <w:shd w:val="clear" w:color="auto" w:fill="1A6DBB"/>
          </w:tcPr>
          <w:p>
            <w:pPr>
              <w:jc w:val="right"/>
              <w:ind w:right="139"/>
              <w:spacing w:after="0"/>
              <w:rPr>
                <w:sz w:val="20"/>
                <w:szCs w:val="20"/>
                <w:color w:val="auto"/>
              </w:rPr>
            </w:pPr>
            <w:r>
              <w:rPr>
                <w:rFonts w:ascii="Arial" w:cs="Arial" w:eastAsia="Arial" w:hAnsi="Arial"/>
                <w:sz w:val="14"/>
                <w:szCs w:val="14"/>
                <w:color w:val="FFFFFF"/>
              </w:rPr>
              <w:t>2017 Salary</w:t>
            </w:r>
          </w:p>
        </w:tc>
        <w:tc>
          <w:tcPr>
            <w:tcW w:w="1300" w:type="dxa"/>
            <w:vAlign w:val="bottom"/>
            <w:shd w:val="clear" w:color="auto" w:fill="1A6DBB"/>
          </w:tcPr>
          <w:p>
            <w:pPr>
              <w:jc w:val="center"/>
              <w:spacing w:after="0"/>
              <w:rPr>
                <w:sz w:val="20"/>
                <w:szCs w:val="20"/>
                <w:color w:val="auto"/>
              </w:rPr>
            </w:pPr>
            <w:r>
              <w:rPr>
                <w:rFonts w:ascii="Arial" w:cs="Arial" w:eastAsia="Arial" w:hAnsi="Arial"/>
                <w:sz w:val="14"/>
                <w:szCs w:val="14"/>
                <w:color w:val="FFFFFF"/>
                <w:w w:val="95"/>
              </w:rPr>
              <w:t>% Increase</w:t>
            </w:r>
            <w:r>
              <w:rPr>
                <w:rFonts w:ascii="Arial" w:cs="Arial" w:eastAsia="Arial" w:hAnsi="Arial"/>
                <w:sz w:val="24"/>
                <w:szCs w:val="24"/>
                <w:color w:val="FFFFFF"/>
                <w:w w:val="95"/>
                <w:vertAlign w:val="superscript"/>
              </w:rPr>
              <w:t>(1)</w:t>
            </w:r>
          </w:p>
        </w:tc>
      </w:tr>
      <w:tr>
        <w:trPr>
          <w:trHeight w:val="189"/>
        </w:trPr>
        <w:tc>
          <w:tcPr>
            <w:tcW w:w="1480" w:type="dxa"/>
            <w:vAlign w:val="bottom"/>
            <w:shd w:val="clear" w:color="auto" w:fill="E8F0F8"/>
          </w:tcPr>
          <w:p>
            <w:pPr>
              <w:ind w:left="160"/>
              <w:spacing w:after="0"/>
              <w:rPr>
                <w:sz w:val="20"/>
                <w:szCs w:val="20"/>
                <w:color w:val="auto"/>
              </w:rPr>
            </w:pPr>
            <w:r>
              <w:rPr>
                <w:rFonts w:ascii="Arial" w:cs="Arial" w:eastAsia="Arial" w:hAnsi="Arial"/>
                <w:sz w:val="16"/>
                <w:szCs w:val="16"/>
                <w:color w:val="auto"/>
              </w:rPr>
              <w:t>M. Vounatsos</w:t>
            </w:r>
          </w:p>
        </w:tc>
        <w:tc>
          <w:tcPr>
            <w:tcW w:w="42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8F0F8"/>
          </w:tcPr>
          <w:p>
            <w:pPr>
              <w:jc w:val="right"/>
              <w:ind w:right="99"/>
              <w:spacing w:after="0"/>
              <w:rPr>
                <w:sz w:val="20"/>
                <w:szCs w:val="20"/>
                <w:color w:val="auto"/>
              </w:rPr>
            </w:pPr>
            <w:r>
              <w:rPr>
                <w:rFonts w:ascii="Arial" w:cs="Arial" w:eastAsia="Arial" w:hAnsi="Arial"/>
                <w:sz w:val="16"/>
                <w:szCs w:val="16"/>
                <w:color w:val="auto"/>
                <w:w w:val="98"/>
              </w:rPr>
              <w:t>1,300,000</w:t>
            </w:r>
          </w:p>
        </w:tc>
        <w:tc>
          <w:tcPr>
            <w:tcW w:w="26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8F0F8"/>
          </w:tcPr>
          <w:p>
            <w:pPr>
              <w:jc w:val="right"/>
              <w:ind w:right="99"/>
              <w:spacing w:after="0"/>
              <w:rPr>
                <w:sz w:val="20"/>
                <w:szCs w:val="20"/>
                <w:color w:val="auto"/>
              </w:rPr>
            </w:pPr>
            <w:r>
              <w:rPr>
                <w:rFonts w:ascii="Arial" w:cs="Arial" w:eastAsia="Arial" w:hAnsi="Arial"/>
                <w:sz w:val="16"/>
                <w:szCs w:val="16"/>
                <w:color w:val="auto"/>
              </w:rPr>
              <w:t>1,100,000</w:t>
            </w:r>
          </w:p>
        </w:tc>
        <w:tc>
          <w:tcPr>
            <w:tcW w:w="1300" w:type="dxa"/>
            <w:vAlign w:val="bottom"/>
            <w:shd w:val="clear" w:color="auto" w:fill="E8F0F8"/>
          </w:tcPr>
          <w:p>
            <w:pPr>
              <w:jc w:val="center"/>
              <w:spacing w:after="0"/>
              <w:rPr>
                <w:sz w:val="20"/>
                <w:szCs w:val="20"/>
                <w:color w:val="auto"/>
              </w:rPr>
            </w:pPr>
            <w:r>
              <w:rPr>
                <w:rFonts w:ascii="Arial" w:cs="Arial" w:eastAsia="Arial" w:hAnsi="Arial"/>
                <w:sz w:val="16"/>
                <w:szCs w:val="16"/>
                <w:color w:val="auto"/>
              </w:rPr>
              <w:t>18.2%</w:t>
            </w:r>
          </w:p>
        </w:tc>
      </w:tr>
      <w:tr>
        <w:trPr>
          <w:trHeight w:val="189"/>
        </w:trPr>
        <w:tc>
          <w:tcPr>
            <w:tcW w:w="1480" w:type="dxa"/>
            <w:vAlign w:val="bottom"/>
            <w:shd w:val="clear" w:color="auto" w:fill="BAD3EA"/>
          </w:tcPr>
          <w:p>
            <w:pPr>
              <w:ind w:left="160"/>
              <w:spacing w:after="0" w:line="189" w:lineRule="exact"/>
              <w:rPr>
                <w:sz w:val="20"/>
                <w:szCs w:val="20"/>
                <w:color w:val="auto"/>
              </w:rPr>
            </w:pPr>
            <w:r>
              <w:rPr>
                <w:rFonts w:ascii="Arial" w:cs="Arial" w:eastAsia="Arial" w:hAnsi="Arial"/>
                <w:sz w:val="13"/>
                <w:szCs w:val="13"/>
                <w:color w:val="auto"/>
              </w:rPr>
              <w:t>J. Capello</w:t>
            </w:r>
            <w:r>
              <w:rPr>
                <w:rFonts w:ascii="Arial" w:cs="Arial" w:eastAsia="Arial" w:hAnsi="Arial"/>
                <w:sz w:val="21"/>
                <w:szCs w:val="21"/>
                <w:color w:val="auto"/>
                <w:vertAlign w:val="superscript"/>
              </w:rPr>
              <w:t>(2)</w:t>
            </w:r>
          </w:p>
        </w:tc>
        <w:tc>
          <w:tcPr>
            <w:tcW w:w="420" w:type="dxa"/>
            <w:vAlign w:val="bottom"/>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BAD3EA"/>
          </w:tcPr>
          <w:p>
            <w:pPr>
              <w:jc w:val="right"/>
              <w:ind w:right="99"/>
              <w:spacing w:after="0"/>
              <w:rPr>
                <w:sz w:val="20"/>
                <w:szCs w:val="20"/>
                <w:color w:val="auto"/>
              </w:rPr>
            </w:pPr>
            <w:r>
              <w:rPr>
                <w:rFonts w:ascii="Arial" w:cs="Arial" w:eastAsia="Arial" w:hAnsi="Arial"/>
                <w:sz w:val="16"/>
                <w:szCs w:val="16"/>
                <w:color w:val="auto"/>
              </w:rPr>
              <w:t>750,000</w:t>
            </w:r>
          </w:p>
        </w:tc>
        <w:tc>
          <w:tcPr>
            <w:tcW w:w="260" w:type="dxa"/>
            <w:vAlign w:val="bottom"/>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BAD3EA"/>
          </w:tcPr>
          <w:p>
            <w:pPr>
              <w:jc w:val="right"/>
              <w:ind w:right="99"/>
              <w:spacing w:after="0"/>
              <w:rPr>
                <w:sz w:val="20"/>
                <w:szCs w:val="20"/>
                <w:color w:val="auto"/>
              </w:rPr>
            </w:pPr>
            <w:r>
              <w:rPr>
                <w:rFonts w:ascii="Arial" w:cs="Arial" w:eastAsia="Arial" w:hAnsi="Arial"/>
                <w:sz w:val="16"/>
                <w:szCs w:val="16"/>
                <w:color w:val="auto"/>
              </w:rPr>
              <w:t>750,000</w:t>
            </w:r>
          </w:p>
        </w:tc>
        <w:tc>
          <w:tcPr>
            <w:tcW w:w="1300" w:type="dxa"/>
            <w:vAlign w:val="bottom"/>
            <w:shd w:val="clear" w:color="auto" w:fill="BAD3EA"/>
          </w:tcPr>
          <w:p>
            <w:pPr>
              <w:jc w:val="center"/>
              <w:spacing w:after="0"/>
              <w:rPr>
                <w:sz w:val="20"/>
                <w:szCs w:val="20"/>
                <w:color w:val="auto"/>
              </w:rPr>
            </w:pPr>
            <w:r>
              <w:rPr>
                <w:rFonts w:ascii="Arial" w:cs="Arial" w:eastAsia="Arial" w:hAnsi="Arial"/>
                <w:sz w:val="16"/>
                <w:szCs w:val="16"/>
                <w:color w:val="auto"/>
                <w:w w:val="98"/>
              </w:rPr>
              <w:t>n/a</w:t>
            </w:r>
          </w:p>
        </w:tc>
      </w:tr>
      <w:tr>
        <w:trPr>
          <w:trHeight w:val="189"/>
        </w:trPr>
        <w:tc>
          <w:tcPr>
            <w:tcW w:w="1480" w:type="dxa"/>
            <w:vAlign w:val="bottom"/>
            <w:shd w:val="clear" w:color="auto" w:fill="E8F0F8"/>
          </w:tcPr>
          <w:p>
            <w:pPr>
              <w:ind w:left="160"/>
              <w:spacing w:after="0"/>
              <w:rPr>
                <w:sz w:val="20"/>
                <w:szCs w:val="20"/>
                <w:color w:val="auto"/>
              </w:rPr>
            </w:pPr>
            <w:r>
              <w:rPr>
                <w:rFonts w:ascii="Arial" w:cs="Arial" w:eastAsia="Arial" w:hAnsi="Arial"/>
                <w:sz w:val="16"/>
                <w:szCs w:val="16"/>
                <w:color w:val="auto"/>
              </w:rPr>
              <w:t>M. Ehlers</w:t>
            </w:r>
          </w:p>
        </w:tc>
        <w:tc>
          <w:tcPr>
            <w:tcW w:w="42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8F0F8"/>
          </w:tcPr>
          <w:p>
            <w:pPr>
              <w:jc w:val="right"/>
              <w:ind w:right="99"/>
              <w:spacing w:after="0"/>
              <w:rPr>
                <w:sz w:val="20"/>
                <w:szCs w:val="20"/>
                <w:color w:val="auto"/>
              </w:rPr>
            </w:pPr>
            <w:r>
              <w:rPr>
                <w:rFonts w:ascii="Arial" w:cs="Arial" w:eastAsia="Arial" w:hAnsi="Arial"/>
                <w:sz w:val="16"/>
                <w:szCs w:val="16"/>
                <w:color w:val="auto"/>
              </w:rPr>
              <w:t>834,094</w:t>
            </w:r>
          </w:p>
        </w:tc>
        <w:tc>
          <w:tcPr>
            <w:tcW w:w="26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8F0F8"/>
          </w:tcPr>
          <w:p>
            <w:pPr>
              <w:jc w:val="right"/>
              <w:ind w:right="99"/>
              <w:spacing w:after="0"/>
              <w:rPr>
                <w:sz w:val="20"/>
                <w:szCs w:val="20"/>
                <w:color w:val="auto"/>
              </w:rPr>
            </w:pPr>
            <w:r>
              <w:rPr>
                <w:rFonts w:ascii="Arial" w:cs="Arial" w:eastAsia="Arial" w:hAnsi="Arial"/>
                <w:sz w:val="16"/>
                <w:szCs w:val="16"/>
                <w:color w:val="auto"/>
              </w:rPr>
              <w:t>794,375</w:t>
            </w:r>
          </w:p>
        </w:tc>
        <w:tc>
          <w:tcPr>
            <w:tcW w:w="1300" w:type="dxa"/>
            <w:vAlign w:val="bottom"/>
            <w:shd w:val="clear" w:color="auto" w:fill="E8F0F8"/>
          </w:tcPr>
          <w:p>
            <w:pPr>
              <w:jc w:val="center"/>
              <w:spacing w:after="0"/>
              <w:rPr>
                <w:sz w:val="20"/>
                <w:szCs w:val="20"/>
                <w:color w:val="auto"/>
              </w:rPr>
            </w:pPr>
            <w:r>
              <w:rPr>
                <w:rFonts w:ascii="Arial" w:cs="Arial" w:eastAsia="Arial" w:hAnsi="Arial"/>
                <w:sz w:val="16"/>
                <w:szCs w:val="16"/>
                <w:color w:val="auto"/>
              </w:rPr>
              <w:t>5.0%</w:t>
            </w:r>
          </w:p>
        </w:tc>
      </w:tr>
      <w:tr>
        <w:trPr>
          <w:trHeight w:val="189"/>
        </w:trPr>
        <w:tc>
          <w:tcPr>
            <w:tcW w:w="1480" w:type="dxa"/>
            <w:vAlign w:val="bottom"/>
            <w:shd w:val="clear" w:color="auto" w:fill="BAD3EA"/>
          </w:tcPr>
          <w:p>
            <w:pPr>
              <w:ind w:left="160"/>
              <w:spacing w:after="0"/>
              <w:rPr>
                <w:sz w:val="20"/>
                <w:szCs w:val="20"/>
                <w:color w:val="auto"/>
              </w:rPr>
            </w:pPr>
            <w:r>
              <w:rPr>
                <w:rFonts w:ascii="Arial" w:cs="Arial" w:eastAsia="Arial" w:hAnsi="Arial"/>
                <w:sz w:val="16"/>
                <w:szCs w:val="16"/>
                <w:color w:val="auto"/>
              </w:rPr>
              <w:t>S. Alexander</w:t>
            </w:r>
          </w:p>
        </w:tc>
        <w:tc>
          <w:tcPr>
            <w:tcW w:w="420" w:type="dxa"/>
            <w:vAlign w:val="bottom"/>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BAD3EA"/>
          </w:tcPr>
          <w:p>
            <w:pPr>
              <w:jc w:val="right"/>
              <w:ind w:right="99"/>
              <w:spacing w:after="0"/>
              <w:rPr>
                <w:sz w:val="20"/>
                <w:szCs w:val="20"/>
                <w:color w:val="auto"/>
              </w:rPr>
            </w:pPr>
            <w:r>
              <w:rPr>
                <w:rFonts w:ascii="Arial" w:cs="Arial" w:eastAsia="Arial" w:hAnsi="Arial"/>
                <w:sz w:val="16"/>
                <w:szCs w:val="16"/>
                <w:color w:val="auto"/>
              </w:rPr>
              <w:t>749,177</w:t>
            </w:r>
          </w:p>
        </w:tc>
        <w:tc>
          <w:tcPr>
            <w:tcW w:w="260" w:type="dxa"/>
            <w:vAlign w:val="bottom"/>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BAD3EA"/>
          </w:tcPr>
          <w:p>
            <w:pPr>
              <w:jc w:val="right"/>
              <w:ind w:right="99"/>
              <w:spacing w:after="0"/>
              <w:rPr>
                <w:sz w:val="20"/>
                <w:szCs w:val="20"/>
                <w:color w:val="auto"/>
              </w:rPr>
            </w:pPr>
            <w:r>
              <w:rPr>
                <w:rFonts w:ascii="Arial" w:cs="Arial" w:eastAsia="Arial" w:hAnsi="Arial"/>
                <w:sz w:val="16"/>
                <w:szCs w:val="16"/>
                <w:color w:val="auto"/>
              </w:rPr>
              <w:t>723,842</w:t>
            </w:r>
          </w:p>
        </w:tc>
        <w:tc>
          <w:tcPr>
            <w:tcW w:w="1300" w:type="dxa"/>
            <w:vAlign w:val="bottom"/>
            <w:shd w:val="clear" w:color="auto" w:fill="BAD3EA"/>
          </w:tcPr>
          <w:p>
            <w:pPr>
              <w:jc w:val="center"/>
              <w:spacing w:after="0"/>
              <w:rPr>
                <w:sz w:val="20"/>
                <w:szCs w:val="20"/>
                <w:color w:val="auto"/>
              </w:rPr>
            </w:pPr>
            <w:r>
              <w:rPr>
                <w:rFonts w:ascii="Arial" w:cs="Arial" w:eastAsia="Arial" w:hAnsi="Arial"/>
                <w:sz w:val="16"/>
                <w:szCs w:val="16"/>
                <w:color w:val="auto"/>
              </w:rPr>
              <w:t>3.5%</w:t>
            </w:r>
          </w:p>
        </w:tc>
      </w:tr>
      <w:tr>
        <w:trPr>
          <w:trHeight w:val="189"/>
        </w:trPr>
        <w:tc>
          <w:tcPr>
            <w:tcW w:w="1480" w:type="dxa"/>
            <w:vAlign w:val="bottom"/>
            <w:tcBorders>
              <w:bottom w:val="single" w:sz="8" w:color="auto"/>
            </w:tcBorders>
            <w:shd w:val="clear" w:color="auto" w:fill="E8F0F8"/>
          </w:tcPr>
          <w:p>
            <w:pPr>
              <w:ind w:left="160"/>
              <w:spacing w:after="0"/>
              <w:rPr>
                <w:sz w:val="20"/>
                <w:szCs w:val="20"/>
                <w:color w:val="auto"/>
              </w:rPr>
            </w:pPr>
            <w:r>
              <w:rPr>
                <w:rFonts w:ascii="Arial" w:cs="Arial" w:eastAsia="Arial" w:hAnsi="Arial"/>
                <w:sz w:val="16"/>
                <w:szCs w:val="16"/>
                <w:color w:val="auto"/>
              </w:rPr>
              <w:t>P. McKenzie</w:t>
            </w:r>
          </w:p>
        </w:tc>
        <w:tc>
          <w:tcPr>
            <w:tcW w:w="42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E8F0F8"/>
          </w:tcPr>
          <w:p>
            <w:pPr>
              <w:jc w:val="right"/>
              <w:ind w:right="99"/>
              <w:spacing w:after="0"/>
              <w:rPr>
                <w:sz w:val="20"/>
                <w:szCs w:val="20"/>
                <w:color w:val="auto"/>
              </w:rPr>
            </w:pPr>
            <w:r>
              <w:rPr>
                <w:rFonts w:ascii="Arial" w:cs="Arial" w:eastAsia="Arial" w:hAnsi="Arial"/>
                <w:sz w:val="16"/>
                <w:szCs w:val="16"/>
                <w:color w:val="auto"/>
              </w:rPr>
              <w:t>633,938</w:t>
            </w:r>
          </w:p>
        </w:tc>
        <w:tc>
          <w:tcPr>
            <w:tcW w:w="26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E8F0F8"/>
          </w:tcPr>
          <w:p>
            <w:pPr>
              <w:jc w:val="right"/>
              <w:ind w:right="99"/>
              <w:spacing w:after="0"/>
              <w:rPr>
                <w:sz w:val="20"/>
                <w:szCs w:val="20"/>
                <w:color w:val="auto"/>
              </w:rPr>
            </w:pPr>
            <w:r>
              <w:rPr>
                <w:rFonts w:ascii="Arial" w:cs="Arial" w:eastAsia="Arial" w:hAnsi="Arial"/>
                <w:sz w:val="16"/>
                <w:szCs w:val="16"/>
                <w:color w:val="auto"/>
              </w:rPr>
              <w:t>603,750</w:t>
            </w:r>
          </w:p>
        </w:tc>
        <w:tc>
          <w:tcPr>
            <w:tcW w:w="1300" w:type="dxa"/>
            <w:vAlign w:val="bottom"/>
            <w:tcBorders>
              <w:bottom w:val="single" w:sz="8" w:color="auto"/>
            </w:tcBorders>
            <w:shd w:val="clear" w:color="auto" w:fill="E8F0F8"/>
          </w:tcPr>
          <w:p>
            <w:pPr>
              <w:jc w:val="center"/>
              <w:spacing w:after="0"/>
              <w:rPr>
                <w:sz w:val="20"/>
                <w:szCs w:val="20"/>
                <w:color w:val="auto"/>
              </w:rPr>
            </w:pPr>
            <w:r>
              <w:rPr>
                <w:rFonts w:ascii="Arial" w:cs="Arial" w:eastAsia="Arial" w:hAnsi="Arial"/>
                <w:sz w:val="16"/>
                <w:szCs w:val="16"/>
                <w:color w:val="auto"/>
              </w:rPr>
              <w:t>5.0%</w:t>
            </w:r>
          </w:p>
        </w:tc>
      </w:tr>
    </w:tbl>
    <w:p>
      <w:pPr>
        <w:spacing w:after="0" w:line="126" w:lineRule="exact"/>
        <w:rPr>
          <w:sz w:val="20"/>
          <w:szCs w:val="20"/>
          <w:color w:val="auto"/>
        </w:rPr>
      </w:pPr>
    </w:p>
    <w:p>
      <w:pPr>
        <w:ind w:left="420" w:right="380" w:hanging="209"/>
        <w:spacing w:after="0" w:line="241" w:lineRule="auto"/>
        <w:tabs>
          <w:tab w:leader="none" w:pos="42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Percentage increase reflects the annual merit increase and, in the case of Mr. Vounatsos, also includes a market adjustment.</w:t>
      </w:r>
    </w:p>
    <w:p>
      <w:pPr>
        <w:ind w:left="420" w:right="140" w:hanging="209"/>
        <w:spacing w:after="0" w:line="258" w:lineRule="auto"/>
        <w:tabs>
          <w:tab w:leader="none" w:pos="42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Mr. Capello was hired in November 2017. The initial determination of his base salary took into account the Company’s peer group data.</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Awards made under our LTI plan are directly tied to the performance of the price of our common stock, which aligns our executives’ long-term interests with the interests of our stockholders. A portion of our LTI awards are also tied to the Company’s financial performance, as described below under “Long-Term Incentives – 2018 PSUs.”</w:t>
      </w:r>
    </w:p>
    <w:p>
      <w:pPr>
        <w:spacing w:after="0" w:line="95"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In setting our annual goals under our short- and long-term incentive plans, in addition to our internal forecasts, we consider analysts’ projections for our performance and the performance of companies in our peer group, as well as broad economic and industry trends. We strive to establish challenging targets that result in payouts at or above target levels only when Company performance warrants it. Our C&amp;MD Committee is responsible for reviewing and approving our annual goals, targets and levels of payout (e.g., threshold, target and maximum) for our executive incentive compensation plans and for reviewing and determining actual performance results at the end of the applicable performance period.</w:t>
      </w:r>
    </w:p>
    <w:p>
      <w:pPr>
        <w:spacing w:after="0" w:line="9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setting and approving the corporate performance goals for our executive officers and for the Company under both the short- and long-term incentive plans, our C&amp;MD Committee also considers the alignment of such goals to our business plan, the degree of difficulty of attainment and the potential for the goals to encourage inappropriate risk-taking. Our C&amp;MD Committee has determined that the structures of our executive compensation programs do not put our patients, investors or the Company at any material risk.</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A6DBB"/>
        </w:rPr>
        <w:t>Annual Bonus Plan</w:t>
      </w:r>
    </w:p>
    <w:p>
      <w:pPr>
        <w:spacing w:after="0" w:line="133"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1A6DBB"/>
        </w:rPr>
        <w:t>2018 Performance-Based Plans and Goal Setting</w:t>
      </w:r>
    </w:p>
    <w:p>
      <w:pPr>
        <w:spacing w:after="0" w:line="128" w:lineRule="exact"/>
        <w:rPr>
          <w:sz w:val="20"/>
          <w:szCs w:val="20"/>
          <w:color w:val="auto"/>
        </w:rPr>
      </w:pPr>
    </w:p>
    <w:p>
      <w:pPr>
        <w:ind w:left="220" w:right="400"/>
        <w:spacing w:after="0" w:line="260" w:lineRule="auto"/>
        <w:rPr>
          <w:sz w:val="20"/>
          <w:szCs w:val="20"/>
          <w:color w:val="auto"/>
        </w:rPr>
      </w:pPr>
      <w:r>
        <w:rPr>
          <w:rFonts w:ascii="Arial" w:cs="Arial" w:eastAsia="Arial" w:hAnsi="Arial"/>
          <w:sz w:val="16"/>
          <w:szCs w:val="16"/>
          <w:color w:val="auto"/>
        </w:rPr>
        <w:t>Our executive compensation programs place a heavy emphasis on performance-based compensation.</w:t>
      </w:r>
    </w:p>
    <w:p>
      <w:pPr>
        <w:spacing w:after="0" w:line="88" w:lineRule="exact"/>
        <w:rPr>
          <w:sz w:val="20"/>
          <w:szCs w:val="20"/>
          <w:color w:val="auto"/>
        </w:rPr>
      </w:pPr>
    </w:p>
    <w:p>
      <w:pPr>
        <w:ind w:left="220" w:right="280"/>
        <w:spacing w:after="0" w:line="260" w:lineRule="auto"/>
        <w:rPr>
          <w:sz w:val="20"/>
          <w:szCs w:val="20"/>
          <w:color w:val="auto"/>
        </w:rPr>
      </w:pPr>
      <w:r>
        <w:rPr>
          <w:rFonts w:ascii="Arial" w:cs="Arial" w:eastAsia="Arial" w:hAnsi="Arial"/>
          <w:sz w:val="16"/>
          <w:szCs w:val="16"/>
          <w:color w:val="auto"/>
        </w:rPr>
        <w:t>We maintain a short-term incentive plan, known as our annual bonus plan, as well as an LTI plan.</w:t>
      </w:r>
    </w:p>
    <w:p>
      <w:pPr>
        <w:spacing w:after="0" w:line="88" w:lineRule="exact"/>
        <w:rPr>
          <w:sz w:val="20"/>
          <w:szCs w:val="20"/>
          <w:color w:val="auto"/>
        </w:rPr>
      </w:pPr>
    </w:p>
    <w:p>
      <w:pPr>
        <w:ind w:left="220" w:right="100"/>
        <w:spacing w:after="0" w:line="251" w:lineRule="auto"/>
        <w:rPr>
          <w:sz w:val="20"/>
          <w:szCs w:val="20"/>
          <w:color w:val="auto"/>
        </w:rPr>
      </w:pPr>
      <w:r>
        <w:rPr>
          <w:rFonts w:ascii="Arial" w:cs="Arial" w:eastAsia="Arial" w:hAnsi="Arial"/>
          <w:sz w:val="16"/>
          <w:szCs w:val="16"/>
          <w:color w:val="auto"/>
        </w:rPr>
        <w:t>Awards to our NEOs under our annual bonus plan have been made under our 2008 Performance-Based Management Incentive Plan, and awards under our LTI plan are granted under our 2017 Omnibus Equity Plan.</w:t>
      </w:r>
    </w:p>
    <w:p>
      <w:pPr>
        <w:spacing w:after="0" w:line="95" w:lineRule="exact"/>
        <w:rPr>
          <w:sz w:val="20"/>
          <w:szCs w:val="20"/>
          <w:color w:val="auto"/>
        </w:rPr>
      </w:pPr>
    </w:p>
    <w:p>
      <w:pPr>
        <w:ind w:left="220"/>
        <w:spacing w:after="0" w:line="251" w:lineRule="auto"/>
        <w:rPr>
          <w:sz w:val="20"/>
          <w:szCs w:val="20"/>
          <w:color w:val="auto"/>
        </w:rPr>
      </w:pPr>
      <w:r>
        <w:rPr>
          <w:rFonts w:ascii="Arial" w:cs="Arial" w:eastAsia="Arial" w:hAnsi="Arial"/>
          <w:sz w:val="16"/>
          <w:szCs w:val="16"/>
          <w:color w:val="auto"/>
        </w:rPr>
        <w:t>Awards made under our annual bonus plan are directly tied to the achievement of our corporate performance goals, which are aligned with the Company’s short- and long-term strategic plans, as well as individual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170815</wp:posOffset>
            </wp:positionV>
            <wp:extent cx="685800" cy="15430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51" w:lineRule="auto"/>
        <w:rPr>
          <w:sz w:val="20"/>
          <w:szCs w:val="20"/>
          <w:color w:val="auto"/>
        </w:rPr>
      </w:pPr>
      <w:r>
        <w:rPr>
          <w:rFonts w:ascii="Arial" w:cs="Arial" w:eastAsia="Arial" w:hAnsi="Arial"/>
          <w:sz w:val="16"/>
          <w:szCs w:val="16"/>
          <w:color w:val="auto"/>
        </w:rPr>
        <w:t>Our annual bonus plan is a cash incentive plan that rewards near-term financial, strategic and operational performance. Our C&amp;MD Committee reviews the annual target bonus opportunities for each executive officer by position each year to ensure such opportunities remain competitive.</w:t>
      </w:r>
    </w:p>
    <w:p>
      <w:pPr>
        <w:spacing w:after="0" w:line="95"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No significant changes were made in 2018 to the target annual bonus opportunities, as a percentage of year-end annual base salary, for any of our NEOs other than Mr. Vounatsos, whose target annual bonus opportunity was market adjusted and increased from 125% of base salary in 2017 to 140% of base salary in 2018. In accordance with our policy, target annual bonus opportunities for all of our other NEOs in 2018 were determined based on their positions as Executive Vice Presidents.</w:t>
      </w:r>
    </w:p>
    <w:p>
      <w:pPr>
        <w:spacing w:after="0" w:line="1097" w:lineRule="exact"/>
        <w:rPr>
          <w:sz w:val="20"/>
          <w:szCs w:val="20"/>
          <w:color w:val="auto"/>
        </w:rPr>
      </w:pPr>
    </w:p>
    <w:p>
      <w:pPr>
        <w:sectPr>
          <w:pgSz w:w="11900" w:h="16838" w:orient="portrait"/>
          <w:cols w:equalWidth="0" w:num="2">
            <w:col w:w="5400" w:space="420"/>
            <w:col w:w="5400"/>
          </w:cols>
          <w:pgMar w:left="240" w:top="459" w:right="439" w:bottom="1440" w:gutter="0" w:footer="0" w:header="0"/>
          <w:type w:val="continuous"/>
        </w:sectPr>
      </w:pPr>
    </w:p>
    <w:p>
      <w:pPr>
        <w:spacing w:after="0" w:line="111"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-62865</wp:posOffset>
            </wp:positionV>
            <wp:extent cx="102870" cy="946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7" w:lineRule="exact"/>
        <w:rPr>
          <w:sz w:val="20"/>
          <w:szCs w:val="20"/>
          <w:color w:val="auto"/>
        </w:rPr>
      </w:pPr>
    </w:p>
    <w:p>
      <w:pPr>
        <w:ind w:left="460"/>
        <w:spacing w:after="0"/>
        <w:rPr>
          <w:sz w:val="20"/>
          <w:szCs w:val="20"/>
          <w:color w:val="auto"/>
        </w:rPr>
      </w:pPr>
      <w:r>
        <w:rPr>
          <w:rFonts w:ascii="Arial" w:cs="Arial" w:eastAsia="Arial" w:hAnsi="Arial"/>
          <w:sz w:val="88"/>
          <w:szCs w:val="88"/>
          <w:color w:val="1A6DBB"/>
        </w:rPr>
        <w:t xml:space="preserve">5 </w:t>
      </w:r>
      <w:r>
        <w:rPr>
          <w:rFonts w:ascii="Arial" w:cs="Arial" w:eastAsia="Arial" w:hAnsi="Arial"/>
          <w:sz w:val="40"/>
          <w:szCs w:val="40"/>
          <w:color w:val="1A6DBB"/>
        </w:rPr>
        <w:t>Executive Compensation Matters</w:t>
      </w:r>
      <w:r>
        <w:rPr>
          <w:rFonts w:ascii="Arial" w:cs="Arial" w:eastAsia="Arial" w:hAnsi="Arial"/>
          <w:sz w:val="88"/>
          <w:szCs w:val="88"/>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20"/>
          </w:cols>
          <w:pgMar w:left="240" w:top="459" w:right="539" w:bottom="1440" w:gutter="0" w:footer="0" w:header="0"/>
        </w:sectPr>
      </w:pPr>
    </w:p>
    <w:p>
      <w:pPr>
        <w:spacing w:after="0" w:line="281" w:lineRule="exact"/>
        <w:rPr>
          <w:sz w:val="20"/>
          <w:szCs w:val="20"/>
          <w:color w:val="auto"/>
        </w:rPr>
      </w:pPr>
    </w:p>
    <w:p>
      <w:pPr>
        <w:jc w:val="both"/>
        <w:ind w:left="220" w:right="80"/>
        <w:spacing w:after="0" w:line="260" w:lineRule="auto"/>
        <w:rPr>
          <w:sz w:val="20"/>
          <w:szCs w:val="20"/>
          <w:color w:val="auto"/>
        </w:rPr>
      </w:pPr>
      <w:r>
        <w:rPr>
          <w:rFonts w:ascii="Arial" w:cs="Arial" w:eastAsia="Arial" w:hAnsi="Arial"/>
          <w:sz w:val="16"/>
          <w:szCs w:val="16"/>
          <w:color w:val="auto"/>
        </w:rPr>
        <w:t>The target annual bonus opportunity as a percentage of year-end annual base salary each of our NEOs in 2018 compared to 2017 was as follows:</w:t>
      </w:r>
    </w:p>
    <w:p>
      <w:pPr>
        <w:spacing w:after="0" w:line="221"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1960" w:type="dxa"/>
            <w:vAlign w:val="bottom"/>
            <w:shd w:val="clear" w:color="auto" w:fill="1A6DBB"/>
          </w:tcPr>
          <w:p>
            <w:pPr>
              <w:ind w:left="80"/>
              <w:spacing w:after="0"/>
              <w:rPr>
                <w:sz w:val="20"/>
                <w:szCs w:val="20"/>
                <w:color w:val="auto"/>
              </w:rPr>
            </w:pPr>
            <w:r>
              <w:rPr>
                <w:rFonts w:ascii="Arial" w:cs="Arial" w:eastAsia="Arial" w:hAnsi="Arial"/>
                <w:sz w:val="16"/>
                <w:szCs w:val="16"/>
                <w:color w:val="FFFFFF"/>
              </w:rPr>
              <w:t>Name</w:t>
            </w:r>
          </w:p>
        </w:tc>
        <w:tc>
          <w:tcPr>
            <w:tcW w:w="2080" w:type="dxa"/>
            <w:vAlign w:val="bottom"/>
            <w:shd w:val="clear" w:color="auto" w:fill="1A6DBB"/>
          </w:tcPr>
          <w:p>
            <w:pPr>
              <w:jc w:val="right"/>
              <w:ind w:right="239"/>
              <w:spacing w:after="0"/>
              <w:rPr>
                <w:sz w:val="20"/>
                <w:szCs w:val="20"/>
                <w:color w:val="auto"/>
              </w:rPr>
            </w:pPr>
            <w:r>
              <w:rPr>
                <w:rFonts w:ascii="Arial" w:cs="Arial" w:eastAsia="Arial" w:hAnsi="Arial"/>
                <w:sz w:val="16"/>
                <w:szCs w:val="16"/>
                <w:color w:val="FFFFFF"/>
              </w:rPr>
              <w:t>2018 Target</w:t>
            </w:r>
          </w:p>
        </w:tc>
        <w:tc>
          <w:tcPr>
            <w:tcW w:w="1240" w:type="dxa"/>
            <w:vAlign w:val="bottom"/>
            <w:shd w:val="clear" w:color="auto" w:fill="1A6DBB"/>
          </w:tcPr>
          <w:p>
            <w:pPr>
              <w:jc w:val="right"/>
              <w:spacing w:after="0"/>
              <w:rPr>
                <w:sz w:val="20"/>
                <w:szCs w:val="20"/>
                <w:color w:val="auto"/>
              </w:rPr>
            </w:pPr>
            <w:r>
              <w:rPr>
                <w:rFonts w:ascii="Arial" w:cs="Arial" w:eastAsia="Arial" w:hAnsi="Arial"/>
                <w:sz w:val="16"/>
                <w:szCs w:val="16"/>
                <w:color w:val="FFFFFF"/>
              </w:rPr>
              <w:t>2017 Target</w:t>
            </w:r>
          </w:p>
        </w:tc>
      </w:tr>
      <w:tr>
        <w:trPr>
          <w:trHeight w:val="189"/>
        </w:trPr>
        <w:tc>
          <w:tcPr>
            <w:tcW w:w="1960" w:type="dxa"/>
            <w:vAlign w:val="bottom"/>
            <w:shd w:val="clear" w:color="auto" w:fill="E8F0F8"/>
          </w:tcPr>
          <w:p>
            <w:pPr>
              <w:ind w:left="80"/>
              <w:spacing w:after="0"/>
              <w:rPr>
                <w:sz w:val="20"/>
                <w:szCs w:val="20"/>
                <w:color w:val="auto"/>
              </w:rPr>
            </w:pPr>
            <w:r>
              <w:rPr>
                <w:rFonts w:ascii="Arial" w:cs="Arial" w:eastAsia="Arial" w:hAnsi="Arial"/>
                <w:sz w:val="16"/>
                <w:szCs w:val="16"/>
                <w:color w:val="auto"/>
              </w:rPr>
              <w:t>M. Vounatsos</w:t>
            </w:r>
          </w:p>
        </w:tc>
        <w:tc>
          <w:tcPr>
            <w:tcW w:w="2080" w:type="dxa"/>
            <w:vAlign w:val="bottom"/>
            <w:shd w:val="clear" w:color="auto" w:fill="E8F0F8"/>
          </w:tcPr>
          <w:p>
            <w:pPr>
              <w:jc w:val="right"/>
              <w:ind w:right="239"/>
              <w:spacing w:after="0"/>
              <w:rPr>
                <w:sz w:val="20"/>
                <w:szCs w:val="20"/>
                <w:color w:val="auto"/>
              </w:rPr>
            </w:pPr>
            <w:r>
              <w:rPr>
                <w:rFonts w:ascii="Arial" w:cs="Arial" w:eastAsia="Arial" w:hAnsi="Arial"/>
                <w:sz w:val="16"/>
                <w:szCs w:val="16"/>
                <w:color w:val="auto"/>
              </w:rPr>
              <w:t>140%</w:t>
            </w:r>
          </w:p>
        </w:tc>
        <w:tc>
          <w:tcPr>
            <w:tcW w:w="1240" w:type="dxa"/>
            <w:vAlign w:val="bottom"/>
            <w:shd w:val="clear" w:color="auto" w:fill="E8F0F8"/>
          </w:tcPr>
          <w:p>
            <w:pPr>
              <w:jc w:val="right"/>
              <w:spacing w:after="0"/>
              <w:rPr>
                <w:sz w:val="20"/>
                <w:szCs w:val="20"/>
                <w:color w:val="auto"/>
              </w:rPr>
            </w:pPr>
            <w:r>
              <w:rPr>
                <w:rFonts w:ascii="Arial" w:cs="Arial" w:eastAsia="Arial" w:hAnsi="Arial"/>
                <w:sz w:val="16"/>
                <w:szCs w:val="16"/>
                <w:color w:val="auto"/>
              </w:rPr>
              <w:t>125%</w:t>
            </w:r>
          </w:p>
        </w:tc>
      </w:tr>
      <w:tr>
        <w:trPr>
          <w:trHeight w:val="189"/>
        </w:trPr>
        <w:tc>
          <w:tcPr>
            <w:tcW w:w="1960" w:type="dxa"/>
            <w:vAlign w:val="bottom"/>
            <w:shd w:val="clear" w:color="auto" w:fill="BAD3EA"/>
          </w:tcPr>
          <w:p>
            <w:pPr>
              <w:ind w:left="80"/>
              <w:spacing w:after="0"/>
              <w:rPr>
                <w:sz w:val="20"/>
                <w:szCs w:val="20"/>
                <w:color w:val="auto"/>
              </w:rPr>
            </w:pPr>
            <w:r>
              <w:rPr>
                <w:rFonts w:ascii="Arial" w:cs="Arial" w:eastAsia="Arial" w:hAnsi="Arial"/>
                <w:sz w:val="16"/>
                <w:szCs w:val="16"/>
                <w:color w:val="auto"/>
              </w:rPr>
              <w:t>J. Capello</w:t>
            </w:r>
          </w:p>
        </w:tc>
        <w:tc>
          <w:tcPr>
            <w:tcW w:w="2080" w:type="dxa"/>
            <w:vAlign w:val="bottom"/>
            <w:shd w:val="clear" w:color="auto" w:fill="BAD3EA"/>
          </w:tcPr>
          <w:p>
            <w:pPr>
              <w:jc w:val="right"/>
              <w:ind w:right="239"/>
              <w:spacing w:after="0"/>
              <w:rPr>
                <w:sz w:val="20"/>
                <w:szCs w:val="20"/>
                <w:color w:val="auto"/>
              </w:rPr>
            </w:pPr>
            <w:r>
              <w:rPr>
                <w:rFonts w:ascii="Arial" w:cs="Arial" w:eastAsia="Arial" w:hAnsi="Arial"/>
                <w:sz w:val="16"/>
                <w:szCs w:val="16"/>
                <w:color w:val="auto"/>
              </w:rPr>
              <w:t>70%</w:t>
            </w:r>
          </w:p>
        </w:tc>
        <w:tc>
          <w:tcPr>
            <w:tcW w:w="1240" w:type="dxa"/>
            <w:vAlign w:val="bottom"/>
            <w:shd w:val="clear" w:color="auto" w:fill="BAD3EA"/>
          </w:tcPr>
          <w:p>
            <w:pPr>
              <w:jc w:val="right"/>
              <w:spacing w:after="0"/>
              <w:rPr>
                <w:sz w:val="20"/>
                <w:szCs w:val="20"/>
                <w:color w:val="auto"/>
              </w:rPr>
            </w:pPr>
            <w:r>
              <w:rPr>
                <w:rFonts w:ascii="Arial" w:cs="Arial" w:eastAsia="Arial" w:hAnsi="Arial"/>
                <w:sz w:val="16"/>
                <w:szCs w:val="16"/>
                <w:color w:val="auto"/>
              </w:rPr>
              <w:t>70%</w:t>
            </w:r>
          </w:p>
        </w:tc>
      </w:tr>
      <w:tr>
        <w:trPr>
          <w:trHeight w:val="189"/>
        </w:trPr>
        <w:tc>
          <w:tcPr>
            <w:tcW w:w="1960" w:type="dxa"/>
            <w:vAlign w:val="bottom"/>
            <w:shd w:val="clear" w:color="auto" w:fill="E8F0F8"/>
          </w:tcPr>
          <w:p>
            <w:pPr>
              <w:ind w:left="80"/>
              <w:spacing w:after="0"/>
              <w:rPr>
                <w:sz w:val="20"/>
                <w:szCs w:val="20"/>
                <w:color w:val="auto"/>
              </w:rPr>
            </w:pPr>
            <w:r>
              <w:rPr>
                <w:rFonts w:ascii="Arial" w:cs="Arial" w:eastAsia="Arial" w:hAnsi="Arial"/>
                <w:sz w:val="16"/>
                <w:szCs w:val="16"/>
                <w:color w:val="auto"/>
              </w:rPr>
              <w:t>M. Ehlers</w:t>
            </w:r>
          </w:p>
        </w:tc>
        <w:tc>
          <w:tcPr>
            <w:tcW w:w="2080" w:type="dxa"/>
            <w:vAlign w:val="bottom"/>
            <w:shd w:val="clear" w:color="auto" w:fill="E8F0F8"/>
          </w:tcPr>
          <w:p>
            <w:pPr>
              <w:jc w:val="right"/>
              <w:ind w:right="239"/>
              <w:spacing w:after="0"/>
              <w:rPr>
                <w:sz w:val="20"/>
                <w:szCs w:val="20"/>
                <w:color w:val="auto"/>
              </w:rPr>
            </w:pPr>
            <w:r>
              <w:rPr>
                <w:rFonts w:ascii="Arial" w:cs="Arial" w:eastAsia="Arial" w:hAnsi="Arial"/>
                <w:sz w:val="16"/>
                <w:szCs w:val="16"/>
                <w:color w:val="auto"/>
              </w:rPr>
              <w:t>70%</w:t>
            </w:r>
          </w:p>
        </w:tc>
        <w:tc>
          <w:tcPr>
            <w:tcW w:w="1240" w:type="dxa"/>
            <w:vAlign w:val="bottom"/>
            <w:shd w:val="clear" w:color="auto" w:fill="E8F0F8"/>
          </w:tcPr>
          <w:p>
            <w:pPr>
              <w:jc w:val="right"/>
              <w:spacing w:after="0"/>
              <w:rPr>
                <w:sz w:val="20"/>
                <w:szCs w:val="20"/>
                <w:color w:val="auto"/>
              </w:rPr>
            </w:pPr>
            <w:r>
              <w:rPr>
                <w:rFonts w:ascii="Arial" w:cs="Arial" w:eastAsia="Arial" w:hAnsi="Arial"/>
                <w:sz w:val="16"/>
                <w:szCs w:val="16"/>
                <w:color w:val="auto"/>
              </w:rPr>
              <w:t>70%</w:t>
            </w:r>
          </w:p>
        </w:tc>
      </w:tr>
      <w:tr>
        <w:trPr>
          <w:trHeight w:val="189"/>
        </w:trPr>
        <w:tc>
          <w:tcPr>
            <w:tcW w:w="1960" w:type="dxa"/>
            <w:vAlign w:val="bottom"/>
            <w:shd w:val="clear" w:color="auto" w:fill="BAD3EA"/>
          </w:tcPr>
          <w:p>
            <w:pPr>
              <w:ind w:left="80"/>
              <w:spacing w:after="0"/>
              <w:rPr>
                <w:sz w:val="20"/>
                <w:szCs w:val="20"/>
                <w:color w:val="auto"/>
              </w:rPr>
            </w:pPr>
            <w:r>
              <w:rPr>
                <w:rFonts w:ascii="Arial" w:cs="Arial" w:eastAsia="Arial" w:hAnsi="Arial"/>
                <w:sz w:val="16"/>
                <w:szCs w:val="16"/>
                <w:color w:val="auto"/>
              </w:rPr>
              <w:t>S. Alexander</w:t>
            </w:r>
          </w:p>
        </w:tc>
        <w:tc>
          <w:tcPr>
            <w:tcW w:w="2080" w:type="dxa"/>
            <w:vAlign w:val="bottom"/>
            <w:shd w:val="clear" w:color="auto" w:fill="BAD3EA"/>
          </w:tcPr>
          <w:p>
            <w:pPr>
              <w:jc w:val="right"/>
              <w:ind w:right="239"/>
              <w:spacing w:after="0"/>
              <w:rPr>
                <w:sz w:val="20"/>
                <w:szCs w:val="20"/>
                <w:color w:val="auto"/>
              </w:rPr>
            </w:pPr>
            <w:r>
              <w:rPr>
                <w:rFonts w:ascii="Arial" w:cs="Arial" w:eastAsia="Arial" w:hAnsi="Arial"/>
                <w:sz w:val="16"/>
                <w:szCs w:val="16"/>
                <w:color w:val="auto"/>
              </w:rPr>
              <w:t>70%</w:t>
            </w:r>
          </w:p>
        </w:tc>
        <w:tc>
          <w:tcPr>
            <w:tcW w:w="1240" w:type="dxa"/>
            <w:vAlign w:val="bottom"/>
            <w:shd w:val="clear" w:color="auto" w:fill="BAD3EA"/>
          </w:tcPr>
          <w:p>
            <w:pPr>
              <w:jc w:val="right"/>
              <w:spacing w:after="0"/>
              <w:rPr>
                <w:sz w:val="20"/>
                <w:szCs w:val="20"/>
                <w:color w:val="auto"/>
              </w:rPr>
            </w:pPr>
            <w:r>
              <w:rPr>
                <w:rFonts w:ascii="Arial" w:cs="Arial" w:eastAsia="Arial" w:hAnsi="Arial"/>
                <w:sz w:val="16"/>
                <w:szCs w:val="16"/>
                <w:color w:val="auto"/>
              </w:rPr>
              <w:t>70%</w:t>
            </w:r>
          </w:p>
        </w:tc>
      </w:tr>
      <w:tr>
        <w:trPr>
          <w:trHeight w:val="189"/>
        </w:trPr>
        <w:tc>
          <w:tcPr>
            <w:tcW w:w="1960" w:type="dxa"/>
            <w:vAlign w:val="bottom"/>
            <w:tcBorders>
              <w:bottom w:val="single" w:sz="8" w:color="auto"/>
            </w:tcBorders>
            <w:shd w:val="clear" w:color="auto" w:fill="E8F0F8"/>
          </w:tcPr>
          <w:p>
            <w:pPr>
              <w:ind w:left="80"/>
              <w:spacing w:after="0"/>
              <w:rPr>
                <w:sz w:val="20"/>
                <w:szCs w:val="20"/>
                <w:color w:val="auto"/>
              </w:rPr>
            </w:pPr>
            <w:r>
              <w:rPr>
                <w:rFonts w:ascii="Arial" w:cs="Arial" w:eastAsia="Arial" w:hAnsi="Arial"/>
                <w:sz w:val="16"/>
                <w:szCs w:val="16"/>
                <w:color w:val="auto"/>
              </w:rPr>
              <w:t>P. McKenzie</w:t>
            </w:r>
          </w:p>
        </w:tc>
        <w:tc>
          <w:tcPr>
            <w:tcW w:w="2080" w:type="dxa"/>
            <w:vAlign w:val="bottom"/>
            <w:tcBorders>
              <w:bottom w:val="single" w:sz="8" w:color="auto"/>
            </w:tcBorders>
            <w:shd w:val="clear" w:color="auto" w:fill="E8F0F8"/>
          </w:tcPr>
          <w:p>
            <w:pPr>
              <w:jc w:val="right"/>
              <w:ind w:right="239"/>
              <w:spacing w:after="0"/>
              <w:rPr>
                <w:sz w:val="20"/>
                <w:szCs w:val="20"/>
                <w:color w:val="auto"/>
              </w:rPr>
            </w:pPr>
            <w:r>
              <w:rPr>
                <w:rFonts w:ascii="Arial" w:cs="Arial" w:eastAsia="Arial" w:hAnsi="Arial"/>
                <w:sz w:val="16"/>
                <w:szCs w:val="16"/>
                <w:color w:val="auto"/>
              </w:rPr>
              <w:t>70%</w:t>
            </w:r>
          </w:p>
        </w:tc>
        <w:tc>
          <w:tcPr>
            <w:tcW w:w="124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6"/>
                <w:szCs w:val="16"/>
                <w:color w:val="auto"/>
              </w:rPr>
              <w:t>70%</w:t>
            </w: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427F3D"/>
        </w:rPr>
        <w:t>2018 Annual Bonus Plan Design</w:t>
      </w:r>
    </w:p>
    <w:p>
      <w:pPr>
        <w:spacing w:after="0" w:line="129" w:lineRule="exact"/>
        <w:rPr>
          <w:sz w:val="20"/>
          <w:szCs w:val="20"/>
          <w:color w:val="auto"/>
        </w:rPr>
      </w:pPr>
    </w:p>
    <w:p>
      <w:pPr>
        <w:ind w:left="220" w:right="140"/>
        <w:spacing w:after="0" w:line="253" w:lineRule="auto"/>
        <w:rPr>
          <w:sz w:val="20"/>
          <w:szCs w:val="20"/>
          <w:color w:val="auto"/>
        </w:rPr>
      </w:pPr>
      <w:r>
        <w:rPr>
          <w:rFonts w:ascii="Arial" w:cs="Arial" w:eastAsia="Arial" w:hAnsi="Arial"/>
          <w:sz w:val="16"/>
          <w:szCs w:val="16"/>
          <w:color w:val="auto"/>
        </w:rPr>
        <w:t>Awards for our NEOs under our 2018 annual bonus plan were based on the achievement of Company performance goals and individual performance goals.</w:t>
      </w:r>
    </w:p>
    <w:p>
      <w:pPr>
        <w:spacing w:after="0" w:line="93" w:lineRule="exact"/>
        <w:rPr>
          <w:sz w:val="20"/>
          <w:szCs w:val="20"/>
          <w:color w:val="auto"/>
        </w:rPr>
      </w:pPr>
    </w:p>
    <w:p>
      <w:pPr>
        <w:ind w:left="220" w:right="80"/>
        <w:spacing w:after="0" w:line="248" w:lineRule="auto"/>
        <w:rPr>
          <w:sz w:val="20"/>
          <w:szCs w:val="20"/>
          <w:color w:val="auto"/>
        </w:rPr>
      </w:pPr>
      <w:r>
        <w:rPr>
          <w:rFonts w:ascii="Arial" w:cs="Arial" w:eastAsia="Arial" w:hAnsi="Arial"/>
          <w:sz w:val="16"/>
          <w:szCs w:val="16"/>
          <w:color w:val="auto"/>
        </w:rPr>
        <w:t>At the beginning of 2018, our C&amp;MD Committee set multiple Company performance goals for our 2018 annual bonus plan and provided for a payout multiplier, which we refer to as the Company Multiplier, ranging from 0% to 150%, for each Company goal based on the determination of the level of achievement of each goal and application of the weighting assigned to each goal, which determined the Company Multiplier applied to the bonus calculation.</w:t>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Multiplier ranged from 0% to 150% as follows:</w:t>
      </w: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180"/>
        </w:trPr>
        <w:tc>
          <w:tcPr>
            <w:tcW w:w="1740" w:type="dxa"/>
            <w:vAlign w:val="bottom"/>
            <w:shd w:val="clear" w:color="auto" w:fill="1A6DBB"/>
          </w:tcPr>
          <w:p>
            <w:pPr>
              <w:ind w:left="60"/>
              <w:spacing w:after="0"/>
              <w:rPr>
                <w:sz w:val="20"/>
                <w:szCs w:val="20"/>
                <w:color w:val="auto"/>
              </w:rPr>
            </w:pPr>
            <w:r>
              <w:rPr>
                <w:rFonts w:ascii="Arial" w:cs="Arial" w:eastAsia="Arial" w:hAnsi="Arial"/>
                <w:sz w:val="14"/>
                <w:szCs w:val="14"/>
                <w:color w:val="FFFFFF"/>
              </w:rPr>
              <w:t>Performance</w:t>
            </w:r>
          </w:p>
        </w:tc>
        <w:tc>
          <w:tcPr>
            <w:tcW w:w="1160" w:type="dxa"/>
            <w:vAlign w:val="bottom"/>
            <w:shd w:val="clear" w:color="auto" w:fill="1A6DBB"/>
          </w:tcPr>
          <w:p>
            <w:pPr>
              <w:jc w:val="center"/>
              <w:ind w:left="85"/>
              <w:spacing w:after="0"/>
              <w:rPr>
                <w:sz w:val="20"/>
                <w:szCs w:val="20"/>
                <w:color w:val="auto"/>
              </w:rPr>
            </w:pPr>
            <w:r>
              <w:rPr>
                <w:rFonts w:ascii="Arial" w:cs="Arial" w:eastAsia="Arial" w:hAnsi="Arial"/>
                <w:sz w:val="14"/>
                <w:szCs w:val="14"/>
                <w:color w:val="FFFFFF"/>
              </w:rPr>
              <w:t>Below</w:t>
            </w:r>
          </w:p>
        </w:tc>
        <w:tc>
          <w:tcPr>
            <w:tcW w:w="1000" w:type="dxa"/>
            <w:vAlign w:val="bottom"/>
            <w:shd w:val="clear" w:color="auto" w:fill="1A6DBB"/>
          </w:tcPr>
          <w:p>
            <w:pPr>
              <w:spacing w:after="0"/>
              <w:rPr>
                <w:sz w:val="15"/>
                <w:szCs w:val="15"/>
                <w:color w:val="auto"/>
              </w:rPr>
            </w:pPr>
          </w:p>
        </w:tc>
        <w:tc>
          <w:tcPr>
            <w:tcW w:w="780" w:type="dxa"/>
            <w:vAlign w:val="bottom"/>
            <w:shd w:val="clear" w:color="auto" w:fill="1A6DBB"/>
          </w:tcPr>
          <w:p>
            <w:pPr>
              <w:spacing w:after="0"/>
              <w:rPr>
                <w:sz w:val="15"/>
                <w:szCs w:val="15"/>
                <w:color w:val="auto"/>
              </w:rPr>
            </w:pPr>
          </w:p>
        </w:tc>
        <w:tc>
          <w:tcPr>
            <w:tcW w:w="600" w:type="dxa"/>
            <w:vAlign w:val="bottom"/>
            <w:shd w:val="clear" w:color="auto" w:fill="1A6DBB"/>
          </w:tcPr>
          <w:p>
            <w:pPr>
              <w:spacing w:after="0"/>
              <w:rPr>
                <w:sz w:val="15"/>
                <w:szCs w:val="15"/>
                <w:color w:val="auto"/>
              </w:rPr>
            </w:pPr>
          </w:p>
        </w:tc>
      </w:tr>
      <w:tr>
        <w:trPr>
          <w:trHeight w:val="171"/>
        </w:trPr>
        <w:tc>
          <w:tcPr>
            <w:tcW w:w="1740" w:type="dxa"/>
            <w:vAlign w:val="bottom"/>
            <w:shd w:val="clear" w:color="auto" w:fill="1A6DBB"/>
          </w:tcPr>
          <w:p>
            <w:pPr>
              <w:ind w:left="60"/>
              <w:spacing w:after="0"/>
              <w:rPr>
                <w:sz w:val="20"/>
                <w:szCs w:val="20"/>
                <w:color w:val="auto"/>
              </w:rPr>
            </w:pPr>
            <w:r>
              <w:rPr>
                <w:rFonts w:ascii="Arial" w:cs="Arial" w:eastAsia="Arial" w:hAnsi="Arial"/>
                <w:sz w:val="14"/>
                <w:szCs w:val="14"/>
                <w:color w:val="FFFFFF"/>
              </w:rPr>
              <w:t>Multipliers</w:t>
            </w:r>
          </w:p>
        </w:tc>
        <w:tc>
          <w:tcPr>
            <w:tcW w:w="1160" w:type="dxa"/>
            <w:vAlign w:val="bottom"/>
            <w:shd w:val="clear" w:color="auto" w:fill="1A6DBB"/>
          </w:tcPr>
          <w:p>
            <w:pPr>
              <w:jc w:val="center"/>
              <w:ind w:left="85"/>
              <w:spacing w:after="0"/>
              <w:rPr>
                <w:sz w:val="20"/>
                <w:szCs w:val="20"/>
                <w:color w:val="auto"/>
              </w:rPr>
            </w:pPr>
            <w:r>
              <w:rPr>
                <w:rFonts w:ascii="Arial" w:cs="Arial" w:eastAsia="Arial" w:hAnsi="Arial"/>
                <w:sz w:val="14"/>
                <w:szCs w:val="14"/>
                <w:color w:val="FFFFFF"/>
              </w:rPr>
              <w:t>Threshold</w:t>
            </w:r>
          </w:p>
        </w:tc>
        <w:tc>
          <w:tcPr>
            <w:tcW w:w="100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Threshold</w:t>
            </w:r>
          </w:p>
        </w:tc>
        <w:tc>
          <w:tcPr>
            <w:tcW w:w="780" w:type="dxa"/>
            <w:vAlign w:val="bottom"/>
            <w:shd w:val="clear" w:color="auto" w:fill="1A6DBB"/>
          </w:tcPr>
          <w:p>
            <w:pPr>
              <w:ind w:left="180"/>
              <w:spacing w:after="0"/>
              <w:rPr>
                <w:sz w:val="20"/>
                <w:szCs w:val="20"/>
                <w:color w:val="auto"/>
              </w:rPr>
            </w:pPr>
            <w:r>
              <w:rPr>
                <w:rFonts w:ascii="Arial" w:cs="Arial" w:eastAsia="Arial" w:hAnsi="Arial"/>
                <w:sz w:val="14"/>
                <w:szCs w:val="14"/>
                <w:color w:val="FFFFFF"/>
              </w:rPr>
              <w:t>Target</w:t>
            </w:r>
          </w:p>
        </w:tc>
        <w:tc>
          <w:tcPr>
            <w:tcW w:w="600" w:type="dxa"/>
            <w:vAlign w:val="bottom"/>
            <w:shd w:val="clear" w:color="auto" w:fill="1A6DBB"/>
          </w:tcPr>
          <w:p>
            <w:pPr>
              <w:jc w:val="center"/>
              <w:ind w:left="83"/>
              <w:spacing w:after="0"/>
              <w:rPr>
                <w:sz w:val="20"/>
                <w:szCs w:val="20"/>
                <w:color w:val="auto"/>
              </w:rPr>
            </w:pPr>
            <w:r>
              <w:rPr>
                <w:rFonts w:ascii="Arial" w:cs="Arial" w:eastAsia="Arial" w:hAnsi="Arial"/>
                <w:sz w:val="14"/>
                <w:szCs w:val="14"/>
                <w:color w:val="FFFFFF"/>
              </w:rPr>
              <w:t>Max</w:t>
            </w:r>
          </w:p>
        </w:tc>
      </w:tr>
      <w:tr>
        <w:trPr>
          <w:trHeight w:val="189"/>
        </w:trPr>
        <w:tc>
          <w:tcPr>
            <w:tcW w:w="1740" w:type="dxa"/>
            <w:vAlign w:val="bottom"/>
            <w:tcBorders>
              <w:bottom w:val="single" w:sz="8" w:color="auto"/>
            </w:tcBorders>
            <w:shd w:val="clear" w:color="auto" w:fill="E8F0F8"/>
          </w:tcPr>
          <w:p>
            <w:pPr>
              <w:ind w:left="80"/>
              <w:spacing w:after="0"/>
              <w:rPr>
                <w:sz w:val="20"/>
                <w:szCs w:val="20"/>
                <w:color w:val="auto"/>
              </w:rPr>
            </w:pPr>
            <w:r>
              <w:rPr>
                <w:rFonts w:ascii="Arial" w:cs="Arial" w:eastAsia="Arial" w:hAnsi="Arial"/>
                <w:sz w:val="16"/>
                <w:szCs w:val="16"/>
                <w:color w:val="auto"/>
              </w:rPr>
              <w:t>Company</w:t>
            </w:r>
          </w:p>
        </w:tc>
        <w:tc>
          <w:tcPr>
            <w:tcW w:w="1160" w:type="dxa"/>
            <w:vAlign w:val="bottom"/>
            <w:tcBorders>
              <w:bottom w:val="single" w:sz="8" w:color="auto"/>
            </w:tcBorders>
            <w:shd w:val="clear" w:color="auto" w:fill="E8F0F8"/>
          </w:tcPr>
          <w:p>
            <w:pPr>
              <w:jc w:val="center"/>
              <w:ind w:left="85"/>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uto"/>
            </w:tcBorders>
            <w:shd w:val="clear" w:color="auto" w:fill="E8F0F8"/>
          </w:tcPr>
          <w:p>
            <w:pPr>
              <w:jc w:val="right"/>
              <w:ind w:right="263"/>
              <w:spacing w:after="0"/>
              <w:rPr>
                <w:sz w:val="20"/>
                <w:szCs w:val="20"/>
                <w:color w:val="auto"/>
              </w:rPr>
            </w:pPr>
            <w:r>
              <w:rPr>
                <w:rFonts w:ascii="Arial" w:cs="Arial" w:eastAsia="Arial" w:hAnsi="Arial"/>
                <w:sz w:val="16"/>
                <w:szCs w:val="16"/>
                <w:color w:val="auto"/>
              </w:rPr>
              <w:t>50%</w:t>
            </w:r>
          </w:p>
        </w:tc>
        <w:tc>
          <w:tcPr>
            <w:tcW w:w="780" w:type="dxa"/>
            <w:vAlign w:val="bottom"/>
            <w:tcBorders>
              <w:bottom w:val="single" w:sz="8" w:color="auto"/>
            </w:tcBorders>
            <w:shd w:val="clear" w:color="auto" w:fill="E8F0F8"/>
          </w:tcPr>
          <w:p>
            <w:pPr>
              <w:ind w:left="180"/>
              <w:spacing w:after="0"/>
              <w:rPr>
                <w:sz w:val="20"/>
                <w:szCs w:val="20"/>
                <w:color w:val="auto"/>
              </w:rPr>
            </w:pPr>
            <w:r>
              <w:rPr>
                <w:rFonts w:ascii="Arial" w:cs="Arial" w:eastAsia="Arial" w:hAnsi="Arial"/>
                <w:sz w:val="16"/>
                <w:szCs w:val="16"/>
                <w:color w:val="auto"/>
              </w:rPr>
              <w:t>100%</w:t>
            </w:r>
          </w:p>
        </w:tc>
        <w:tc>
          <w:tcPr>
            <w:tcW w:w="60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6"/>
                <w:szCs w:val="16"/>
                <w:color w:val="auto"/>
              </w:rPr>
              <w:t>150%</w:t>
            </w:r>
          </w:p>
        </w:tc>
      </w:tr>
    </w:tbl>
    <w:p>
      <w:pPr>
        <w:spacing w:after="0" w:line="110" w:lineRule="exact"/>
        <w:rPr>
          <w:sz w:val="20"/>
          <w:szCs w:val="20"/>
          <w:color w:val="auto"/>
        </w:rPr>
      </w:pPr>
    </w:p>
    <w:p>
      <w:pPr>
        <w:ind w:left="220" w:right="160"/>
        <w:spacing w:after="0" w:line="248" w:lineRule="auto"/>
        <w:rPr>
          <w:sz w:val="20"/>
          <w:szCs w:val="20"/>
          <w:color w:val="auto"/>
        </w:rPr>
      </w:pPr>
      <w:r>
        <w:rPr>
          <w:rFonts w:ascii="Arial" w:cs="Arial" w:eastAsia="Arial" w:hAnsi="Arial"/>
          <w:sz w:val="16"/>
          <w:szCs w:val="16"/>
          <w:color w:val="auto"/>
        </w:rPr>
        <w:t>In addition, our 2018 annual bonus plan payouts were also based on an assessment of each NEO’s individual performance, taking into account his or her achievement of individual performance goals. Evaluating individual performance allows our C&amp;MD Committee the discretion to increase or decrease each NEO’s bonus amount based on the NEO’s performance by applying an individual performance multiplier, ranging from 0% to 150%, which we refer to as the Individual Multiplier.</w:t>
      </w:r>
    </w:p>
    <w:p>
      <w:pPr>
        <w:spacing w:after="0" w:line="101" w:lineRule="exact"/>
        <w:rPr>
          <w:sz w:val="20"/>
          <w:szCs w:val="20"/>
          <w:color w:val="auto"/>
        </w:rPr>
      </w:pPr>
    </w:p>
    <w:p>
      <w:pPr>
        <w:ind w:left="220" w:right="100"/>
        <w:spacing w:after="0" w:line="260" w:lineRule="auto"/>
        <w:rPr>
          <w:sz w:val="20"/>
          <w:szCs w:val="20"/>
          <w:color w:val="auto"/>
        </w:rPr>
      </w:pPr>
      <w:r>
        <w:rPr>
          <w:rFonts w:ascii="Arial" w:cs="Arial" w:eastAsia="Arial" w:hAnsi="Arial"/>
          <w:sz w:val="16"/>
          <w:szCs w:val="16"/>
          <w:color w:val="auto"/>
        </w:rPr>
        <w:t>We determined the individual annual bonus payments for 2018 using the following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62865</wp:posOffset>
            </wp:positionV>
            <wp:extent cx="2581275" cy="40322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58127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0" w:right="100"/>
        <w:spacing w:after="0" w:line="251" w:lineRule="auto"/>
        <w:rPr>
          <w:sz w:val="20"/>
          <w:szCs w:val="20"/>
          <w:color w:val="auto"/>
        </w:rPr>
      </w:pPr>
      <w:r>
        <w:rPr>
          <w:rFonts w:ascii="Arial" w:cs="Arial" w:eastAsia="Arial" w:hAnsi="Arial"/>
          <w:sz w:val="16"/>
          <w:szCs w:val="16"/>
          <w:color w:val="auto"/>
        </w:rPr>
        <w:t>Our 2018 annual bonus plan provided that if the Company Multiplier was less than 50%, there would be no payout, regardless of individual performance, further strengthening our pay-for-performance philosophy. Further, because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539115</wp:posOffset>
            </wp:positionV>
            <wp:extent cx="685800" cy="15430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Individual Multiplier and the Company Multiplier each have a maximum of 150%, the combined multiplier result for each NEO could not exceed 225%.</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427F3D"/>
        </w:rPr>
        <w:t>2018 Company Performance Goals and Results</w:t>
      </w:r>
    </w:p>
    <w:p>
      <w:pPr>
        <w:spacing w:after="0" w:line="129"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Company performance goals were established at the start of 2018 with assigned weightings that reflected the Company’s focus on attaining both financial and strategic goals (pipeline performance, MS leadership, continued SMA launch excellence and enhancing our strategic alliances).</w:t>
      </w:r>
    </w:p>
    <w:p>
      <w:pPr>
        <w:spacing w:after="0" w:line="95"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The goals and weightings we selected reflect the importance of linking reward opportunities to both near-term results and our progress in achieving longer-term goals.</w:t>
      </w:r>
    </w:p>
    <w:p>
      <w:pPr>
        <w:spacing w:after="0" w:line="9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strategic goals we selected in 2018 were designed to measure the achievement of our annual strategic priorities relating to our commercial opportunities and pipeline progress. Our financial performance goals were based on the Company’s annual operating plan and long-range plan approved by our Board of Directors and with reference to analyst consensus for Biogen revenues and Non-GAAP diluted EPS based on the most current analyst reports at the time we set our targets.</w:t>
      </w:r>
    </w:p>
    <w:p>
      <w:pPr>
        <w:spacing w:after="0" w:line="101"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The following table presents our financial targets relative to analysts’ consensus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62865</wp:posOffset>
            </wp:positionV>
            <wp:extent cx="2581275" cy="226377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581275"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80" w:firstLine="9"/>
        <w:spacing w:after="0" w:line="260" w:lineRule="auto"/>
        <w:tabs>
          <w:tab w:leader="none" w:pos="23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Please see “2018 Annual Bonus Plan Company Performance Targets and Results Table” below for more details.</w:t>
      </w:r>
    </w:p>
    <w:p>
      <w:pPr>
        <w:spacing w:after="0" w:line="87" w:lineRule="exact"/>
        <w:rPr>
          <w:rFonts w:ascii="Arial" w:cs="Arial" w:eastAsia="Arial" w:hAnsi="Arial"/>
          <w:sz w:val="16"/>
          <w:szCs w:val="16"/>
          <w:color w:val="auto"/>
        </w:rPr>
      </w:pPr>
    </w:p>
    <w:p>
      <w:pPr>
        <w:ind w:right="360" w:firstLine="9"/>
        <w:spacing w:after="0" w:line="260" w:lineRule="auto"/>
        <w:tabs>
          <w:tab w:leader="none" w:pos="23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Wall Street figures reflect estimates made in January 2018 for the Biogen fiscal year ending December 31, 2018.</w:t>
      </w:r>
    </w:p>
    <w:p>
      <w:pPr>
        <w:spacing w:after="0" w:line="87" w:lineRule="exact"/>
        <w:rPr>
          <w:rFonts w:ascii="Arial" w:cs="Arial" w:eastAsia="Arial" w:hAnsi="Arial"/>
          <w:sz w:val="16"/>
          <w:szCs w:val="16"/>
          <w:color w:val="auto"/>
        </w:rPr>
      </w:pPr>
    </w:p>
    <w:p>
      <w:pPr>
        <w:ind w:left="240" w:hanging="231"/>
        <w:spacing w:after="0"/>
        <w:tabs>
          <w:tab w:leader="none" w:pos="2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Reflects Non-GAAP diluted EPS.</w:t>
      </w:r>
    </w:p>
    <w:p>
      <w:pPr>
        <w:spacing w:after="0" w:line="200" w:lineRule="exact"/>
        <w:rPr>
          <w:sz w:val="20"/>
          <w:szCs w:val="20"/>
          <w:color w:val="auto"/>
        </w:rPr>
      </w:pPr>
    </w:p>
    <w:p>
      <w:pPr>
        <w:sectPr>
          <w:pgSz w:w="11900" w:h="16838" w:orient="portrait"/>
          <w:cols w:equalWidth="0" w:num="2">
            <w:col w:w="5500" w:space="320"/>
            <w:col w:w="5300"/>
          </w:cols>
          <w:pgMar w:left="240" w:top="459" w:right="539" w:bottom="1440" w:gutter="0" w:footer="0" w:header="0"/>
          <w:type w:val="continuous"/>
        </w:sectPr>
      </w:pPr>
    </w:p>
    <w:p>
      <w:pPr>
        <w:spacing w:after="0" w:line="130"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-62865</wp:posOffset>
            </wp:positionV>
            <wp:extent cx="102870" cy="946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120"/>
          </w:cols>
          <w:pgMar w:left="240" w:top="459" w:right="5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109"/>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1A6DBB"/>
        </w:rPr>
        <w:t>2018 Annual Bonus Plan Company Performance Targets and Results Table</w:t>
      </w:r>
    </w:p>
    <w:p>
      <w:pPr>
        <w:spacing w:after="0" w:line="128" w:lineRule="exact"/>
        <w:rPr>
          <w:sz w:val="20"/>
          <w:szCs w:val="20"/>
          <w:color w:val="auto"/>
        </w:rPr>
      </w:pPr>
    </w:p>
    <w:p>
      <w:pPr>
        <w:ind w:left="200" w:right="140"/>
        <w:spacing w:after="0" w:line="253" w:lineRule="auto"/>
        <w:rPr>
          <w:sz w:val="20"/>
          <w:szCs w:val="20"/>
          <w:color w:val="auto"/>
        </w:rPr>
      </w:pPr>
      <w:r>
        <w:rPr>
          <w:rFonts w:ascii="Arial" w:cs="Arial" w:eastAsia="Arial" w:hAnsi="Arial"/>
          <w:sz w:val="16"/>
          <w:szCs w:val="16"/>
          <w:color w:val="auto"/>
        </w:rPr>
        <w:t>Set forth below is a summary of the Company performance goals and weightings that our C&amp;MD Committee established for our 2018 annual bonus plan and the degree to which we attained these Company performance goals. As described below, the Company Multiplier for the 2018 Annual Bonus Plan was 131%, reflecting the strong performance relative to our pre-established goals.</w:t>
      </w:r>
    </w:p>
    <w:p>
      <w:pPr>
        <w:spacing w:after="0" w:line="105" w:lineRule="exact"/>
        <w:rPr>
          <w:sz w:val="20"/>
          <w:szCs w:val="20"/>
          <w:color w:val="auto"/>
        </w:rPr>
      </w:pPr>
    </w:p>
    <w:tbl>
      <w:tblPr>
        <w:tblLayout w:type="fixed"/>
        <w:tblInd w:w="20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100" w:type="dxa"/>
            <w:vAlign w:val="bottom"/>
            <w:shd w:val="clear" w:color="auto" w:fill="1A6DBB"/>
          </w:tcPr>
          <w:p>
            <w:pPr>
              <w:spacing w:after="0"/>
              <w:rPr>
                <w:sz w:val="15"/>
                <w:szCs w:val="15"/>
                <w:color w:val="auto"/>
              </w:rPr>
            </w:pPr>
          </w:p>
        </w:tc>
        <w:tc>
          <w:tcPr>
            <w:tcW w:w="860" w:type="dxa"/>
            <w:vAlign w:val="bottom"/>
            <w:shd w:val="clear" w:color="auto" w:fill="1A6DBB"/>
          </w:tcPr>
          <w:p>
            <w:pPr>
              <w:spacing w:after="0"/>
              <w:rPr>
                <w:sz w:val="15"/>
                <w:szCs w:val="15"/>
                <w:color w:val="auto"/>
              </w:rPr>
            </w:pPr>
          </w:p>
        </w:tc>
        <w:tc>
          <w:tcPr>
            <w:tcW w:w="300" w:type="dxa"/>
            <w:vAlign w:val="bottom"/>
            <w:shd w:val="clear" w:color="auto" w:fill="1A6DBB"/>
          </w:tcPr>
          <w:p>
            <w:pPr>
              <w:spacing w:after="0"/>
              <w:rPr>
                <w:sz w:val="15"/>
                <w:szCs w:val="15"/>
                <w:color w:val="auto"/>
              </w:rPr>
            </w:pPr>
          </w:p>
        </w:tc>
        <w:tc>
          <w:tcPr>
            <w:tcW w:w="1960" w:type="dxa"/>
            <w:vAlign w:val="bottom"/>
            <w:gridSpan w:val="4"/>
            <w:shd w:val="clear" w:color="auto" w:fill="1A6DBB"/>
          </w:tcPr>
          <w:p>
            <w:pPr>
              <w:jc w:val="right"/>
              <w:spacing w:after="0"/>
              <w:rPr>
                <w:sz w:val="20"/>
                <w:szCs w:val="20"/>
                <w:color w:val="auto"/>
              </w:rPr>
            </w:pPr>
            <w:r>
              <w:rPr>
                <w:rFonts w:ascii="Arial" w:cs="Arial" w:eastAsia="Arial" w:hAnsi="Arial"/>
                <w:sz w:val="14"/>
                <w:szCs w:val="14"/>
                <w:color w:val="FFFFFF"/>
              </w:rPr>
              <w:t>Performance Range</w:t>
            </w:r>
          </w:p>
        </w:tc>
        <w:tc>
          <w:tcPr>
            <w:tcW w:w="780" w:type="dxa"/>
            <w:vAlign w:val="bottom"/>
            <w:shd w:val="clear" w:color="auto" w:fill="1A6DBB"/>
          </w:tcPr>
          <w:p>
            <w:pPr>
              <w:spacing w:after="0"/>
              <w:rPr>
                <w:sz w:val="15"/>
                <w:szCs w:val="15"/>
                <w:color w:val="auto"/>
              </w:rPr>
            </w:pPr>
          </w:p>
        </w:tc>
        <w:tc>
          <w:tcPr>
            <w:tcW w:w="220" w:type="dxa"/>
            <w:vAlign w:val="bottom"/>
            <w:shd w:val="clear" w:color="auto" w:fill="1A6DBB"/>
          </w:tcPr>
          <w:p>
            <w:pPr>
              <w:spacing w:after="0"/>
              <w:rPr>
                <w:sz w:val="15"/>
                <w:szCs w:val="15"/>
                <w:color w:val="auto"/>
              </w:rPr>
            </w:pPr>
          </w:p>
        </w:tc>
        <w:tc>
          <w:tcPr>
            <w:tcW w:w="860" w:type="dxa"/>
            <w:vAlign w:val="bottom"/>
            <w:shd w:val="clear" w:color="auto" w:fill="1A6DBB"/>
          </w:tcPr>
          <w:p>
            <w:pPr>
              <w:spacing w:after="0"/>
              <w:rPr>
                <w:sz w:val="15"/>
                <w:szCs w:val="15"/>
                <w:color w:val="auto"/>
              </w:rPr>
            </w:pPr>
          </w:p>
        </w:tc>
        <w:tc>
          <w:tcPr>
            <w:tcW w:w="940" w:type="dxa"/>
            <w:vAlign w:val="bottom"/>
            <w:shd w:val="clear" w:color="auto" w:fill="1A6DBB"/>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00" w:type="dxa"/>
            <w:vAlign w:val="bottom"/>
            <w:shd w:val="clear" w:color="auto" w:fill="1A6DBB"/>
          </w:tcPr>
          <w:p>
            <w:pPr>
              <w:spacing w:after="0"/>
              <w:rPr>
                <w:sz w:val="15"/>
                <w:szCs w:val="15"/>
                <w:color w:val="auto"/>
              </w:rPr>
            </w:pPr>
          </w:p>
        </w:tc>
        <w:tc>
          <w:tcPr>
            <w:tcW w:w="860" w:type="dxa"/>
            <w:vAlign w:val="bottom"/>
            <w:shd w:val="clear" w:color="auto" w:fill="1A6DBB"/>
          </w:tcPr>
          <w:p>
            <w:pPr>
              <w:spacing w:after="0"/>
              <w:rPr>
                <w:sz w:val="15"/>
                <w:szCs w:val="15"/>
                <w:color w:val="auto"/>
              </w:rPr>
            </w:pPr>
          </w:p>
        </w:tc>
        <w:tc>
          <w:tcPr>
            <w:tcW w:w="300" w:type="dxa"/>
            <w:vAlign w:val="bottom"/>
            <w:shd w:val="clear" w:color="auto" w:fill="1A6DBB"/>
          </w:tcPr>
          <w:p>
            <w:pPr>
              <w:spacing w:after="0"/>
              <w:rPr>
                <w:sz w:val="15"/>
                <w:szCs w:val="15"/>
                <w:color w:val="auto"/>
              </w:rPr>
            </w:pPr>
          </w:p>
        </w:tc>
        <w:tc>
          <w:tcPr>
            <w:tcW w:w="660" w:type="dxa"/>
            <w:vAlign w:val="bottom"/>
            <w:shd w:val="clear" w:color="auto" w:fill="1A6DBB"/>
          </w:tcPr>
          <w:p>
            <w:pPr>
              <w:spacing w:after="0"/>
              <w:rPr>
                <w:sz w:val="15"/>
                <w:szCs w:val="15"/>
                <w:color w:val="auto"/>
              </w:rPr>
            </w:pPr>
          </w:p>
        </w:tc>
        <w:tc>
          <w:tcPr>
            <w:tcW w:w="320" w:type="dxa"/>
            <w:vAlign w:val="bottom"/>
            <w:shd w:val="clear" w:color="auto" w:fill="1A6DBB"/>
          </w:tcPr>
          <w:p>
            <w:pPr>
              <w:spacing w:after="0"/>
              <w:rPr>
                <w:sz w:val="15"/>
                <w:szCs w:val="15"/>
                <w:color w:val="auto"/>
              </w:rPr>
            </w:pPr>
          </w:p>
        </w:tc>
        <w:tc>
          <w:tcPr>
            <w:tcW w:w="760" w:type="dxa"/>
            <w:vAlign w:val="bottom"/>
            <w:shd w:val="clear" w:color="auto" w:fill="1A6DBB"/>
          </w:tcPr>
          <w:p>
            <w:pPr>
              <w:spacing w:after="0"/>
              <w:rPr>
                <w:sz w:val="15"/>
                <w:szCs w:val="15"/>
                <w:color w:val="auto"/>
              </w:rPr>
            </w:pPr>
          </w:p>
        </w:tc>
        <w:tc>
          <w:tcPr>
            <w:tcW w:w="220" w:type="dxa"/>
            <w:vAlign w:val="bottom"/>
            <w:shd w:val="clear" w:color="auto" w:fill="1A6DBB"/>
          </w:tcPr>
          <w:p>
            <w:pPr>
              <w:spacing w:after="0"/>
              <w:rPr>
                <w:sz w:val="15"/>
                <w:szCs w:val="15"/>
                <w:color w:val="auto"/>
              </w:rPr>
            </w:pPr>
          </w:p>
        </w:tc>
        <w:tc>
          <w:tcPr>
            <w:tcW w:w="780" w:type="dxa"/>
            <w:vAlign w:val="bottom"/>
            <w:shd w:val="clear" w:color="auto" w:fill="1A6DBB"/>
          </w:tcPr>
          <w:p>
            <w:pPr>
              <w:spacing w:after="0"/>
              <w:rPr>
                <w:sz w:val="15"/>
                <w:szCs w:val="15"/>
                <w:color w:val="auto"/>
              </w:rPr>
            </w:pPr>
          </w:p>
        </w:tc>
        <w:tc>
          <w:tcPr>
            <w:tcW w:w="220" w:type="dxa"/>
            <w:vAlign w:val="bottom"/>
            <w:shd w:val="clear" w:color="auto" w:fill="1A6DBB"/>
          </w:tcPr>
          <w:p>
            <w:pPr>
              <w:spacing w:after="0"/>
              <w:rPr>
                <w:sz w:val="15"/>
                <w:szCs w:val="15"/>
                <w:color w:val="auto"/>
              </w:rPr>
            </w:pPr>
          </w:p>
        </w:tc>
        <w:tc>
          <w:tcPr>
            <w:tcW w:w="860" w:type="dxa"/>
            <w:vAlign w:val="bottom"/>
            <w:shd w:val="clear" w:color="auto" w:fill="1A6DBB"/>
          </w:tcPr>
          <w:p>
            <w:pPr>
              <w:spacing w:after="0"/>
              <w:rPr>
                <w:sz w:val="15"/>
                <w:szCs w:val="15"/>
                <w:color w:val="auto"/>
              </w:rPr>
            </w:pPr>
          </w:p>
        </w:tc>
        <w:tc>
          <w:tcPr>
            <w:tcW w:w="940" w:type="dxa"/>
            <w:vAlign w:val="bottom"/>
            <w:shd w:val="clear" w:color="auto" w:fill="1A6DBB"/>
          </w:tcPr>
          <w:p>
            <w:pPr>
              <w:jc w:val="right"/>
              <w:ind w:right="201"/>
              <w:spacing w:after="0"/>
              <w:rPr>
                <w:sz w:val="20"/>
                <w:szCs w:val="20"/>
                <w:color w:val="auto"/>
              </w:rPr>
            </w:pPr>
            <w:r>
              <w:rPr>
                <w:rFonts w:ascii="Arial" w:cs="Arial" w:eastAsia="Arial" w:hAnsi="Arial"/>
                <w:sz w:val="14"/>
                <w:szCs w:val="14"/>
                <w:color w:val="FFFFFF"/>
              </w:rPr>
              <w:t>Company</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00" w:type="dxa"/>
            <w:vAlign w:val="bottom"/>
            <w:shd w:val="clear" w:color="auto" w:fill="1A6DBB"/>
          </w:tcPr>
          <w:p>
            <w:pPr>
              <w:spacing w:after="0"/>
              <w:rPr>
                <w:sz w:val="20"/>
                <w:szCs w:val="20"/>
                <w:color w:val="auto"/>
              </w:rPr>
            </w:pPr>
            <w:r>
              <w:rPr>
                <w:rFonts w:ascii="Arial" w:cs="Arial" w:eastAsia="Arial" w:hAnsi="Arial"/>
                <w:sz w:val="14"/>
                <w:szCs w:val="14"/>
                <w:color w:val="FFFFFF"/>
              </w:rPr>
              <w:t>Company Goals</w:t>
            </w:r>
          </w:p>
        </w:tc>
        <w:tc>
          <w:tcPr>
            <w:tcW w:w="860" w:type="dxa"/>
            <w:vAlign w:val="bottom"/>
            <w:shd w:val="clear" w:color="auto" w:fill="1A6DBB"/>
          </w:tcPr>
          <w:p>
            <w:pPr>
              <w:jc w:val="right"/>
              <w:ind w:right="120"/>
              <w:spacing w:after="0"/>
              <w:rPr>
                <w:sz w:val="20"/>
                <w:szCs w:val="20"/>
                <w:color w:val="auto"/>
              </w:rPr>
            </w:pPr>
            <w:r>
              <w:rPr>
                <w:rFonts w:ascii="Arial" w:cs="Arial" w:eastAsia="Arial" w:hAnsi="Arial"/>
                <w:sz w:val="14"/>
                <w:szCs w:val="14"/>
                <w:color w:val="FFFFFF"/>
              </w:rPr>
              <w:t>Weight</w:t>
            </w:r>
          </w:p>
        </w:tc>
        <w:tc>
          <w:tcPr>
            <w:tcW w:w="960" w:type="dxa"/>
            <w:vAlign w:val="bottom"/>
            <w:gridSpan w:val="2"/>
            <w:shd w:val="clear" w:color="auto" w:fill="1A6DBB"/>
          </w:tcPr>
          <w:p>
            <w:pPr>
              <w:jc w:val="right"/>
              <w:spacing w:after="0"/>
              <w:rPr>
                <w:sz w:val="20"/>
                <w:szCs w:val="20"/>
                <w:color w:val="auto"/>
              </w:rPr>
            </w:pPr>
            <w:r>
              <w:rPr>
                <w:rFonts w:ascii="Arial" w:cs="Arial" w:eastAsia="Arial" w:hAnsi="Arial"/>
                <w:sz w:val="14"/>
                <w:szCs w:val="14"/>
                <w:color w:val="FFFFFF"/>
              </w:rPr>
              <w:t>Threshold</w:t>
            </w:r>
          </w:p>
        </w:tc>
        <w:tc>
          <w:tcPr>
            <w:tcW w:w="320" w:type="dxa"/>
            <w:vAlign w:val="bottom"/>
            <w:shd w:val="clear" w:color="auto" w:fill="1A6DBB"/>
          </w:tcPr>
          <w:p>
            <w:pPr>
              <w:spacing w:after="0"/>
              <w:rPr>
                <w:sz w:val="14"/>
                <w:szCs w:val="14"/>
                <w:color w:val="auto"/>
              </w:rPr>
            </w:pPr>
          </w:p>
        </w:tc>
        <w:tc>
          <w:tcPr>
            <w:tcW w:w="760" w:type="dxa"/>
            <w:vAlign w:val="bottom"/>
            <w:shd w:val="clear" w:color="auto" w:fill="1A6DBB"/>
          </w:tcPr>
          <w:p>
            <w:pPr>
              <w:jc w:val="right"/>
              <w:ind w:right="222"/>
              <w:spacing w:after="0"/>
              <w:rPr>
                <w:sz w:val="20"/>
                <w:szCs w:val="20"/>
                <w:color w:val="auto"/>
              </w:rPr>
            </w:pPr>
            <w:r>
              <w:rPr>
                <w:rFonts w:ascii="Arial" w:cs="Arial" w:eastAsia="Arial" w:hAnsi="Arial"/>
                <w:sz w:val="14"/>
                <w:szCs w:val="14"/>
                <w:color w:val="FFFFFF"/>
              </w:rPr>
              <w:t>Target</w:t>
            </w:r>
          </w:p>
        </w:tc>
        <w:tc>
          <w:tcPr>
            <w:tcW w:w="220" w:type="dxa"/>
            <w:vAlign w:val="bottom"/>
            <w:shd w:val="clear" w:color="auto" w:fill="1A6DBB"/>
          </w:tcPr>
          <w:p>
            <w:pPr>
              <w:spacing w:after="0"/>
              <w:rPr>
                <w:sz w:val="14"/>
                <w:szCs w:val="14"/>
                <w:color w:val="auto"/>
              </w:rPr>
            </w:pPr>
          </w:p>
        </w:tc>
        <w:tc>
          <w:tcPr>
            <w:tcW w:w="780" w:type="dxa"/>
            <w:vAlign w:val="bottom"/>
            <w:shd w:val="clear" w:color="auto" w:fill="1A6DBB"/>
          </w:tcPr>
          <w:p>
            <w:pPr>
              <w:jc w:val="right"/>
              <w:ind w:right="281"/>
              <w:spacing w:after="0"/>
              <w:rPr>
                <w:sz w:val="20"/>
                <w:szCs w:val="20"/>
                <w:color w:val="auto"/>
              </w:rPr>
            </w:pPr>
            <w:r>
              <w:rPr>
                <w:rFonts w:ascii="Arial" w:cs="Arial" w:eastAsia="Arial" w:hAnsi="Arial"/>
                <w:sz w:val="14"/>
                <w:szCs w:val="14"/>
                <w:color w:val="FFFFFF"/>
              </w:rPr>
              <w:t>Max</w:t>
            </w:r>
          </w:p>
        </w:tc>
        <w:tc>
          <w:tcPr>
            <w:tcW w:w="220" w:type="dxa"/>
            <w:vAlign w:val="bottom"/>
            <w:shd w:val="clear" w:color="auto" w:fill="1A6DBB"/>
          </w:tcPr>
          <w:p>
            <w:pPr>
              <w:spacing w:after="0"/>
              <w:rPr>
                <w:sz w:val="14"/>
                <w:szCs w:val="14"/>
                <w:color w:val="auto"/>
              </w:rPr>
            </w:pPr>
          </w:p>
        </w:tc>
        <w:tc>
          <w:tcPr>
            <w:tcW w:w="860" w:type="dxa"/>
            <w:vAlign w:val="bottom"/>
            <w:shd w:val="clear" w:color="auto" w:fill="1A6DBB"/>
          </w:tcPr>
          <w:p>
            <w:pPr>
              <w:jc w:val="right"/>
              <w:ind w:right="265"/>
              <w:spacing w:after="0"/>
              <w:rPr>
                <w:sz w:val="20"/>
                <w:szCs w:val="20"/>
                <w:color w:val="auto"/>
              </w:rPr>
            </w:pPr>
            <w:r>
              <w:rPr>
                <w:rFonts w:ascii="Arial" w:cs="Arial" w:eastAsia="Arial" w:hAnsi="Arial"/>
                <w:sz w:val="14"/>
                <w:szCs w:val="14"/>
                <w:color w:val="FFFFFF"/>
              </w:rPr>
              <w:t>Results</w:t>
            </w:r>
          </w:p>
        </w:tc>
        <w:tc>
          <w:tcPr>
            <w:tcW w:w="940" w:type="dxa"/>
            <w:vAlign w:val="bottom"/>
            <w:shd w:val="clear" w:color="auto" w:fill="1A6DBB"/>
          </w:tcPr>
          <w:p>
            <w:pPr>
              <w:jc w:val="right"/>
              <w:ind w:right="221"/>
              <w:spacing w:after="0"/>
              <w:rPr>
                <w:sz w:val="20"/>
                <w:szCs w:val="20"/>
                <w:color w:val="auto"/>
              </w:rPr>
            </w:pPr>
            <w:r>
              <w:rPr>
                <w:rFonts w:ascii="Arial" w:cs="Arial" w:eastAsia="Arial" w:hAnsi="Arial"/>
                <w:sz w:val="14"/>
                <w:szCs w:val="14"/>
                <w:color w:val="FFFFFF"/>
              </w:rPr>
              <w:t>Multiplier</w:t>
            </w: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5100" w:type="dxa"/>
            <w:vAlign w:val="bottom"/>
            <w:shd w:val="clear" w:color="auto" w:fill="1A6DBB"/>
          </w:tcPr>
          <w:p>
            <w:pPr>
              <w:spacing w:after="0"/>
              <w:rPr>
                <w:sz w:val="6"/>
                <w:szCs w:val="6"/>
                <w:color w:val="auto"/>
              </w:rPr>
            </w:pPr>
          </w:p>
        </w:tc>
        <w:tc>
          <w:tcPr>
            <w:tcW w:w="860" w:type="dxa"/>
            <w:vAlign w:val="bottom"/>
            <w:shd w:val="clear" w:color="auto" w:fill="1A6DBB"/>
          </w:tcPr>
          <w:p>
            <w:pPr>
              <w:spacing w:after="0"/>
              <w:rPr>
                <w:sz w:val="6"/>
                <w:szCs w:val="6"/>
                <w:color w:val="auto"/>
              </w:rPr>
            </w:pPr>
          </w:p>
        </w:tc>
        <w:tc>
          <w:tcPr>
            <w:tcW w:w="300" w:type="dxa"/>
            <w:vAlign w:val="bottom"/>
            <w:shd w:val="clear" w:color="auto" w:fill="1A6DBB"/>
          </w:tcPr>
          <w:p>
            <w:pPr>
              <w:spacing w:after="0"/>
              <w:rPr>
                <w:sz w:val="6"/>
                <w:szCs w:val="6"/>
                <w:color w:val="auto"/>
              </w:rPr>
            </w:pPr>
          </w:p>
        </w:tc>
        <w:tc>
          <w:tcPr>
            <w:tcW w:w="660" w:type="dxa"/>
            <w:vAlign w:val="bottom"/>
            <w:shd w:val="clear" w:color="auto" w:fill="1A6DBB"/>
          </w:tcPr>
          <w:p>
            <w:pPr>
              <w:spacing w:after="0"/>
              <w:rPr>
                <w:sz w:val="6"/>
                <w:szCs w:val="6"/>
                <w:color w:val="auto"/>
              </w:rPr>
            </w:pPr>
          </w:p>
        </w:tc>
        <w:tc>
          <w:tcPr>
            <w:tcW w:w="320" w:type="dxa"/>
            <w:vAlign w:val="bottom"/>
            <w:shd w:val="clear" w:color="auto" w:fill="1A6DBB"/>
          </w:tcPr>
          <w:p>
            <w:pPr>
              <w:spacing w:after="0"/>
              <w:rPr>
                <w:sz w:val="6"/>
                <w:szCs w:val="6"/>
                <w:color w:val="auto"/>
              </w:rPr>
            </w:pPr>
          </w:p>
        </w:tc>
        <w:tc>
          <w:tcPr>
            <w:tcW w:w="760" w:type="dxa"/>
            <w:vAlign w:val="bottom"/>
            <w:shd w:val="clear" w:color="auto" w:fill="1A6DBB"/>
          </w:tcPr>
          <w:p>
            <w:pPr>
              <w:spacing w:after="0"/>
              <w:rPr>
                <w:sz w:val="6"/>
                <w:szCs w:val="6"/>
                <w:color w:val="auto"/>
              </w:rPr>
            </w:pPr>
          </w:p>
        </w:tc>
        <w:tc>
          <w:tcPr>
            <w:tcW w:w="220" w:type="dxa"/>
            <w:vAlign w:val="bottom"/>
            <w:shd w:val="clear" w:color="auto" w:fill="1A6DBB"/>
          </w:tcPr>
          <w:p>
            <w:pPr>
              <w:spacing w:after="0"/>
              <w:rPr>
                <w:sz w:val="6"/>
                <w:szCs w:val="6"/>
                <w:color w:val="auto"/>
              </w:rPr>
            </w:pPr>
          </w:p>
        </w:tc>
        <w:tc>
          <w:tcPr>
            <w:tcW w:w="780" w:type="dxa"/>
            <w:vAlign w:val="bottom"/>
            <w:shd w:val="clear" w:color="auto" w:fill="1A6DBB"/>
          </w:tcPr>
          <w:p>
            <w:pPr>
              <w:spacing w:after="0"/>
              <w:rPr>
                <w:sz w:val="6"/>
                <w:szCs w:val="6"/>
                <w:color w:val="auto"/>
              </w:rPr>
            </w:pPr>
          </w:p>
        </w:tc>
        <w:tc>
          <w:tcPr>
            <w:tcW w:w="220" w:type="dxa"/>
            <w:vAlign w:val="bottom"/>
            <w:shd w:val="clear" w:color="auto" w:fill="1A6DBB"/>
          </w:tcPr>
          <w:p>
            <w:pPr>
              <w:spacing w:after="0"/>
              <w:rPr>
                <w:sz w:val="6"/>
                <w:szCs w:val="6"/>
                <w:color w:val="auto"/>
              </w:rPr>
            </w:pPr>
          </w:p>
        </w:tc>
        <w:tc>
          <w:tcPr>
            <w:tcW w:w="860" w:type="dxa"/>
            <w:vAlign w:val="bottom"/>
            <w:shd w:val="clear" w:color="auto" w:fill="1A6DBB"/>
          </w:tcPr>
          <w:p>
            <w:pPr>
              <w:spacing w:after="0"/>
              <w:rPr>
                <w:sz w:val="6"/>
                <w:szCs w:val="6"/>
                <w:color w:val="auto"/>
              </w:rPr>
            </w:pPr>
          </w:p>
        </w:tc>
        <w:tc>
          <w:tcPr>
            <w:tcW w:w="940" w:type="dxa"/>
            <w:vAlign w:val="bottom"/>
            <w:shd w:val="clear" w:color="auto" w:fill="1A6DBB"/>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00" w:type="dxa"/>
            <w:vAlign w:val="bottom"/>
            <w:shd w:val="clear" w:color="auto" w:fill="BAD3EA"/>
          </w:tcPr>
          <w:p>
            <w:pPr>
              <w:ind w:left="60"/>
              <w:spacing w:after="0"/>
              <w:rPr>
                <w:sz w:val="20"/>
                <w:szCs w:val="20"/>
                <w:color w:val="auto"/>
              </w:rPr>
            </w:pPr>
            <w:r>
              <w:rPr>
                <w:rFonts w:ascii="Arial" w:cs="Arial" w:eastAsia="Arial" w:hAnsi="Arial"/>
                <w:sz w:val="16"/>
                <w:szCs w:val="16"/>
                <w:b w:val="1"/>
                <w:bCs w:val="1"/>
                <w:color w:val="auto"/>
              </w:rPr>
              <w:t>FINANCIAL PERFORMANCE</w:t>
            </w:r>
          </w:p>
        </w:tc>
        <w:tc>
          <w:tcPr>
            <w:tcW w:w="860" w:type="dxa"/>
            <w:vAlign w:val="bottom"/>
            <w:shd w:val="clear" w:color="auto" w:fill="BAD3EA"/>
          </w:tcPr>
          <w:p>
            <w:pPr>
              <w:spacing w:after="0"/>
              <w:rPr>
                <w:sz w:val="16"/>
                <w:szCs w:val="16"/>
                <w:color w:val="auto"/>
              </w:rPr>
            </w:pPr>
          </w:p>
        </w:tc>
        <w:tc>
          <w:tcPr>
            <w:tcW w:w="300" w:type="dxa"/>
            <w:vAlign w:val="bottom"/>
            <w:shd w:val="clear" w:color="auto" w:fill="BAD3EA"/>
          </w:tcPr>
          <w:p>
            <w:pPr>
              <w:spacing w:after="0"/>
              <w:rPr>
                <w:sz w:val="16"/>
                <w:szCs w:val="16"/>
                <w:color w:val="auto"/>
              </w:rPr>
            </w:pPr>
          </w:p>
        </w:tc>
        <w:tc>
          <w:tcPr>
            <w:tcW w:w="660" w:type="dxa"/>
            <w:vAlign w:val="bottom"/>
            <w:shd w:val="clear" w:color="auto" w:fill="BAD3EA"/>
          </w:tcPr>
          <w:p>
            <w:pPr>
              <w:spacing w:after="0"/>
              <w:rPr>
                <w:sz w:val="16"/>
                <w:szCs w:val="16"/>
                <w:color w:val="auto"/>
              </w:rPr>
            </w:pPr>
          </w:p>
        </w:tc>
        <w:tc>
          <w:tcPr>
            <w:tcW w:w="320" w:type="dxa"/>
            <w:vAlign w:val="bottom"/>
            <w:shd w:val="clear" w:color="auto" w:fill="BAD3EA"/>
          </w:tcPr>
          <w:p>
            <w:pPr>
              <w:spacing w:after="0"/>
              <w:rPr>
                <w:sz w:val="16"/>
                <w:szCs w:val="16"/>
                <w:color w:val="auto"/>
              </w:rPr>
            </w:pPr>
          </w:p>
        </w:tc>
        <w:tc>
          <w:tcPr>
            <w:tcW w:w="760" w:type="dxa"/>
            <w:vAlign w:val="bottom"/>
            <w:shd w:val="clear" w:color="auto" w:fill="BAD3EA"/>
          </w:tcPr>
          <w:p>
            <w:pPr>
              <w:spacing w:after="0"/>
              <w:rPr>
                <w:sz w:val="16"/>
                <w:szCs w:val="16"/>
                <w:color w:val="auto"/>
              </w:rPr>
            </w:pPr>
          </w:p>
        </w:tc>
        <w:tc>
          <w:tcPr>
            <w:tcW w:w="220" w:type="dxa"/>
            <w:vAlign w:val="bottom"/>
            <w:shd w:val="clear" w:color="auto" w:fill="BAD3EA"/>
          </w:tcPr>
          <w:p>
            <w:pPr>
              <w:spacing w:after="0"/>
              <w:rPr>
                <w:sz w:val="16"/>
                <w:szCs w:val="16"/>
                <w:color w:val="auto"/>
              </w:rPr>
            </w:pPr>
          </w:p>
        </w:tc>
        <w:tc>
          <w:tcPr>
            <w:tcW w:w="780" w:type="dxa"/>
            <w:vAlign w:val="bottom"/>
            <w:shd w:val="clear" w:color="auto" w:fill="BAD3EA"/>
          </w:tcPr>
          <w:p>
            <w:pPr>
              <w:spacing w:after="0"/>
              <w:rPr>
                <w:sz w:val="16"/>
                <w:szCs w:val="16"/>
                <w:color w:val="auto"/>
              </w:rPr>
            </w:pPr>
          </w:p>
        </w:tc>
        <w:tc>
          <w:tcPr>
            <w:tcW w:w="220" w:type="dxa"/>
            <w:vAlign w:val="bottom"/>
            <w:shd w:val="clear" w:color="auto" w:fill="BAD3EA"/>
          </w:tcPr>
          <w:p>
            <w:pPr>
              <w:spacing w:after="0"/>
              <w:rPr>
                <w:sz w:val="16"/>
                <w:szCs w:val="16"/>
                <w:color w:val="auto"/>
              </w:rPr>
            </w:pPr>
          </w:p>
        </w:tc>
        <w:tc>
          <w:tcPr>
            <w:tcW w:w="860" w:type="dxa"/>
            <w:vAlign w:val="bottom"/>
            <w:shd w:val="clear" w:color="auto" w:fill="BAD3EA"/>
          </w:tcPr>
          <w:p>
            <w:pPr>
              <w:spacing w:after="0"/>
              <w:rPr>
                <w:sz w:val="16"/>
                <w:szCs w:val="16"/>
                <w:color w:val="auto"/>
              </w:rPr>
            </w:pPr>
          </w:p>
        </w:tc>
        <w:tc>
          <w:tcPr>
            <w:tcW w:w="940" w:type="dxa"/>
            <w:vAlign w:val="bottom"/>
            <w:shd w:val="clear" w:color="auto" w:fill="BAD3EA"/>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Borders>
              <w:bottom w:val="single" w:sz="8" w:color="BAD3EA"/>
            </w:tcBorders>
            <w:shd w:val="clear" w:color="auto" w:fill="E8F0F8"/>
          </w:tcPr>
          <w:p>
            <w:pPr>
              <w:ind w:left="60"/>
              <w:spacing w:after="0"/>
              <w:rPr>
                <w:sz w:val="20"/>
                <w:szCs w:val="20"/>
                <w:color w:val="auto"/>
              </w:rPr>
            </w:pPr>
            <w:r>
              <w:rPr>
                <w:rFonts w:ascii="Arial" w:cs="Arial" w:eastAsia="Arial" w:hAnsi="Arial"/>
                <w:sz w:val="16"/>
                <w:szCs w:val="16"/>
                <w:color w:val="auto"/>
              </w:rPr>
              <w:t>Revenues</w:t>
            </w:r>
          </w:p>
        </w:tc>
        <w:tc>
          <w:tcPr>
            <w:tcW w:w="860" w:type="dxa"/>
            <w:vAlign w:val="bottom"/>
            <w:tcBorders>
              <w:bottom w:val="single" w:sz="8" w:color="BAD3EA"/>
            </w:tcBorders>
            <w:shd w:val="clear" w:color="auto" w:fill="E8F0F8"/>
          </w:tcPr>
          <w:p>
            <w:pPr>
              <w:jc w:val="right"/>
              <w:spacing w:after="0"/>
              <w:rPr>
                <w:sz w:val="20"/>
                <w:szCs w:val="20"/>
                <w:color w:val="auto"/>
              </w:rPr>
            </w:pPr>
            <w:r>
              <w:rPr>
                <w:rFonts w:ascii="Arial" w:cs="Arial" w:eastAsia="Arial" w:hAnsi="Arial"/>
                <w:sz w:val="16"/>
                <w:szCs w:val="16"/>
                <w:color w:val="auto"/>
              </w:rPr>
              <w:t>20%</w:t>
            </w:r>
          </w:p>
        </w:tc>
        <w:tc>
          <w:tcPr>
            <w:tcW w:w="300" w:type="dxa"/>
            <w:vAlign w:val="bottom"/>
            <w:tcBorders>
              <w:bottom w:val="single" w:sz="8" w:color="BAD3EA"/>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BAD3EA"/>
            </w:tcBorders>
            <w:shd w:val="clear" w:color="auto" w:fill="E8F0F8"/>
          </w:tcPr>
          <w:p>
            <w:pPr>
              <w:jc w:val="right"/>
              <w:spacing w:after="0"/>
              <w:rPr>
                <w:sz w:val="20"/>
                <w:szCs w:val="20"/>
                <w:color w:val="auto"/>
              </w:rPr>
            </w:pPr>
            <w:r>
              <w:rPr>
                <w:rFonts w:ascii="Arial" w:cs="Arial" w:eastAsia="Arial" w:hAnsi="Arial"/>
                <w:sz w:val="16"/>
                <w:szCs w:val="16"/>
                <w:color w:val="auto"/>
                <w:w w:val="96"/>
              </w:rPr>
              <w:t>12,310M</w:t>
            </w:r>
          </w:p>
        </w:tc>
        <w:tc>
          <w:tcPr>
            <w:tcW w:w="320" w:type="dxa"/>
            <w:vAlign w:val="bottom"/>
            <w:tcBorders>
              <w:bottom w:val="single" w:sz="8" w:color="BAD3EA"/>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BAD3EA"/>
            </w:tcBorders>
            <w:shd w:val="clear" w:color="auto" w:fill="E8F0F8"/>
          </w:tcPr>
          <w:p>
            <w:pPr>
              <w:jc w:val="right"/>
              <w:ind w:right="42"/>
              <w:spacing w:after="0"/>
              <w:rPr>
                <w:sz w:val="20"/>
                <w:szCs w:val="20"/>
                <w:color w:val="auto"/>
              </w:rPr>
            </w:pPr>
            <w:r>
              <w:rPr>
                <w:rFonts w:ascii="Arial" w:cs="Arial" w:eastAsia="Arial" w:hAnsi="Arial"/>
                <w:sz w:val="16"/>
                <w:szCs w:val="16"/>
                <w:color w:val="auto"/>
                <w:w w:val="99"/>
              </w:rPr>
              <w:t>12,780M</w:t>
            </w:r>
          </w:p>
        </w:tc>
        <w:tc>
          <w:tcPr>
            <w:tcW w:w="220" w:type="dxa"/>
            <w:vAlign w:val="bottom"/>
            <w:tcBorders>
              <w:bottom w:val="single" w:sz="8" w:color="BAD3EA"/>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BAD3EA"/>
            </w:tcBorders>
            <w:shd w:val="clear" w:color="auto" w:fill="E8F0F8"/>
          </w:tcPr>
          <w:p>
            <w:pPr>
              <w:jc w:val="right"/>
              <w:ind w:right="41"/>
              <w:spacing w:after="0"/>
              <w:rPr>
                <w:sz w:val="20"/>
                <w:szCs w:val="20"/>
                <w:color w:val="auto"/>
              </w:rPr>
            </w:pPr>
            <w:r>
              <w:rPr>
                <w:rFonts w:ascii="Arial" w:cs="Arial" w:eastAsia="Arial" w:hAnsi="Arial"/>
                <w:sz w:val="16"/>
                <w:szCs w:val="16"/>
                <w:color w:val="auto"/>
              </w:rPr>
              <w:t>13,250M</w:t>
            </w:r>
          </w:p>
        </w:tc>
        <w:tc>
          <w:tcPr>
            <w:tcW w:w="220" w:type="dxa"/>
            <w:vAlign w:val="bottom"/>
            <w:tcBorders>
              <w:bottom w:val="single" w:sz="8" w:color="BAD3EA"/>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AD3EA"/>
            </w:tcBorders>
            <w:shd w:val="clear" w:color="auto" w:fill="E8F0F8"/>
          </w:tcPr>
          <w:p>
            <w:pPr>
              <w:jc w:val="right"/>
              <w:spacing w:after="0" w:line="189" w:lineRule="exact"/>
              <w:rPr>
                <w:sz w:val="20"/>
                <w:szCs w:val="20"/>
                <w:color w:val="auto"/>
              </w:rPr>
            </w:pPr>
            <w:r>
              <w:rPr>
                <w:rFonts w:ascii="Arial" w:cs="Arial" w:eastAsia="Arial" w:hAnsi="Arial"/>
                <w:sz w:val="13"/>
                <w:szCs w:val="13"/>
                <w:color w:val="auto"/>
              </w:rPr>
              <w:t>13,363M</w:t>
            </w:r>
            <w:r>
              <w:rPr>
                <w:rFonts w:ascii="Arial" w:cs="Arial" w:eastAsia="Arial" w:hAnsi="Arial"/>
                <w:sz w:val="21"/>
                <w:szCs w:val="21"/>
                <w:color w:val="auto"/>
                <w:vertAlign w:val="superscript"/>
              </w:rPr>
              <w:t>(1)</w:t>
            </w:r>
          </w:p>
        </w:tc>
        <w:tc>
          <w:tcPr>
            <w:tcW w:w="940" w:type="dxa"/>
            <w:vAlign w:val="bottom"/>
            <w:tcBorders>
              <w:bottom w:val="single" w:sz="8" w:color="BAD3EA"/>
            </w:tcBorders>
            <w:shd w:val="clear" w:color="auto" w:fill="E8F0F8"/>
          </w:tcPr>
          <w:p>
            <w:pPr>
              <w:jc w:val="right"/>
              <w:ind w:right="41"/>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00" w:type="dxa"/>
            <w:vAlign w:val="bottom"/>
            <w:shd w:val="clear" w:color="auto" w:fill="E8F0F8"/>
          </w:tcPr>
          <w:p>
            <w:pPr>
              <w:ind w:left="60"/>
              <w:spacing w:after="0" w:line="183" w:lineRule="exact"/>
              <w:rPr>
                <w:sz w:val="20"/>
                <w:szCs w:val="20"/>
                <w:color w:val="auto"/>
              </w:rPr>
            </w:pPr>
            <w:r>
              <w:rPr>
                <w:rFonts w:ascii="Arial" w:cs="Arial" w:eastAsia="Arial" w:hAnsi="Arial"/>
                <w:sz w:val="16"/>
                <w:szCs w:val="16"/>
                <w:color w:val="auto"/>
              </w:rPr>
              <w:t>Non-GAAP diluted EPS</w:t>
            </w:r>
          </w:p>
        </w:tc>
        <w:tc>
          <w:tcPr>
            <w:tcW w:w="860" w:type="dxa"/>
            <w:vAlign w:val="bottom"/>
            <w:shd w:val="clear" w:color="auto" w:fill="E8F0F8"/>
          </w:tcPr>
          <w:p>
            <w:pPr>
              <w:jc w:val="right"/>
              <w:spacing w:after="0" w:line="183" w:lineRule="exact"/>
              <w:rPr>
                <w:sz w:val="20"/>
                <w:szCs w:val="20"/>
                <w:color w:val="auto"/>
              </w:rPr>
            </w:pPr>
            <w:r>
              <w:rPr>
                <w:rFonts w:ascii="Arial" w:cs="Arial" w:eastAsia="Arial" w:hAnsi="Arial"/>
                <w:sz w:val="16"/>
                <w:szCs w:val="16"/>
                <w:color w:val="auto"/>
              </w:rPr>
              <w:t>20%</w:t>
            </w:r>
          </w:p>
        </w:tc>
        <w:tc>
          <w:tcPr>
            <w:tcW w:w="300" w:type="dxa"/>
            <w:vAlign w:val="bottom"/>
            <w:shd w:val="clear" w:color="auto" w:fill="E8F0F8"/>
          </w:tcPr>
          <w:p>
            <w:pPr>
              <w:jc w:val="right"/>
              <w:spacing w:after="0" w:line="183" w:lineRule="exact"/>
              <w:rPr>
                <w:sz w:val="20"/>
                <w:szCs w:val="20"/>
                <w:color w:val="auto"/>
              </w:rPr>
            </w:pPr>
            <w:r>
              <w:rPr>
                <w:rFonts w:ascii="Arial" w:cs="Arial" w:eastAsia="Arial" w:hAnsi="Arial"/>
                <w:sz w:val="16"/>
                <w:szCs w:val="16"/>
                <w:color w:val="auto"/>
              </w:rPr>
              <w:t>$</w:t>
            </w:r>
          </w:p>
        </w:tc>
        <w:tc>
          <w:tcPr>
            <w:tcW w:w="660" w:type="dxa"/>
            <w:vAlign w:val="bottom"/>
            <w:shd w:val="clear" w:color="auto" w:fill="E8F0F8"/>
          </w:tcPr>
          <w:p>
            <w:pPr>
              <w:jc w:val="right"/>
              <w:spacing w:after="0" w:line="183" w:lineRule="exact"/>
              <w:rPr>
                <w:sz w:val="20"/>
                <w:szCs w:val="20"/>
                <w:color w:val="auto"/>
              </w:rPr>
            </w:pPr>
            <w:r>
              <w:rPr>
                <w:rFonts w:ascii="Arial" w:cs="Arial" w:eastAsia="Arial" w:hAnsi="Arial"/>
                <w:sz w:val="16"/>
                <w:szCs w:val="16"/>
                <w:color w:val="auto"/>
              </w:rPr>
              <w:t>23.47</w:t>
            </w:r>
          </w:p>
        </w:tc>
        <w:tc>
          <w:tcPr>
            <w:tcW w:w="320" w:type="dxa"/>
            <w:vAlign w:val="bottom"/>
            <w:shd w:val="clear" w:color="auto" w:fill="E8F0F8"/>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E8F0F8"/>
          </w:tcPr>
          <w:p>
            <w:pPr>
              <w:jc w:val="right"/>
              <w:ind w:right="42"/>
              <w:spacing w:after="0" w:line="183" w:lineRule="exact"/>
              <w:rPr>
                <w:sz w:val="20"/>
                <w:szCs w:val="20"/>
                <w:color w:val="auto"/>
              </w:rPr>
            </w:pPr>
            <w:r>
              <w:rPr>
                <w:rFonts w:ascii="Arial" w:cs="Arial" w:eastAsia="Arial" w:hAnsi="Arial"/>
                <w:sz w:val="16"/>
                <w:szCs w:val="16"/>
                <w:color w:val="auto"/>
              </w:rPr>
              <w:t>24.74</w:t>
            </w:r>
          </w:p>
        </w:tc>
        <w:tc>
          <w:tcPr>
            <w:tcW w:w="220" w:type="dxa"/>
            <w:vAlign w:val="bottom"/>
            <w:shd w:val="clear" w:color="auto" w:fill="E8F0F8"/>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E8F0F8"/>
          </w:tcPr>
          <w:p>
            <w:pPr>
              <w:jc w:val="right"/>
              <w:ind w:right="41"/>
              <w:spacing w:after="0" w:line="183" w:lineRule="exact"/>
              <w:rPr>
                <w:sz w:val="20"/>
                <w:szCs w:val="20"/>
                <w:color w:val="auto"/>
              </w:rPr>
            </w:pPr>
            <w:r>
              <w:rPr>
                <w:rFonts w:ascii="Arial" w:cs="Arial" w:eastAsia="Arial" w:hAnsi="Arial"/>
                <w:sz w:val="16"/>
                <w:szCs w:val="16"/>
                <w:color w:val="auto"/>
              </w:rPr>
              <w:t>26.01</w:t>
            </w:r>
          </w:p>
        </w:tc>
        <w:tc>
          <w:tcPr>
            <w:tcW w:w="220" w:type="dxa"/>
            <w:vAlign w:val="bottom"/>
            <w:shd w:val="clear" w:color="auto" w:fill="E8F0F8"/>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E8F0F8"/>
          </w:tcPr>
          <w:p>
            <w:pPr>
              <w:jc w:val="right"/>
              <w:spacing w:after="0" w:line="183" w:lineRule="exact"/>
              <w:rPr>
                <w:sz w:val="20"/>
                <w:szCs w:val="20"/>
                <w:color w:val="auto"/>
              </w:rPr>
            </w:pPr>
            <w:r>
              <w:rPr>
                <w:rFonts w:ascii="Arial" w:cs="Arial" w:eastAsia="Arial" w:hAnsi="Arial"/>
                <w:sz w:val="13"/>
                <w:szCs w:val="13"/>
                <w:color w:val="auto"/>
              </w:rPr>
              <w:t>26.89</w:t>
            </w:r>
            <w:r>
              <w:rPr>
                <w:rFonts w:ascii="Arial" w:cs="Arial" w:eastAsia="Arial" w:hAnsi="Arial"/>
                <w:sz w:val="21"/>
                <w:szCs w:val="21"/>
                <w:color w:val="auto"/>
                <w:vertAlign w:val="superscript"/>
              </w:rPr>
              <w:t>(1)</w:t>
            </w:r>
          </w:p>
        </w:tc>
        <w:tc>
          <w:tcPr>
            <w:tcW w:w="940" w:type="dxa"/>
            <w:vAlign w:val="bottom"/>
            <w:shd w:val="clear" w:color="auto" w:fill="E8F0F8"/>
          </w:tcPr>
          <w:p>
            <w:pPr>
              <w:jc w:val="right"/>
              <w:ind w:right="41"/>
              <w:spacing w:after="0" w:line="183" w:lineRule="exact"/>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BAD3EA"/>
          </w:tcPr>
          <w:p>
            <w:pPr>
              <w:ind w:left="60"/>
              <w:spacing w:after="0"/>
              <w:rPr>
                <w:sz w:val="20"/>
                <w:szCs w:val="20"/>
                <w:color w:val="auto"/>
              </w:rPr>
            </w:pPr>
            <w:r>
              <w:rPr>
                <w:rFonts w:ascii="Arial" w:cs="Arial" w:eastAsia="Arial" w:hAnsi="Arial"/>
                <w:sz w:val="16"/>
                <w:szCs w:val="16"/>
                <w:b w:val="1"/>
                <w:bCs w:val="1"/>
                <w:color w:val="auto"/>
              </w:rPr>
              <w:t>MARKET PERFORMANCE</w:t>
            </w:r>
          </w:p>
        </w:tc>
        <w:tc>
          <w:tcPr>
            <w:tcW w:w="860" w:type="dxa"/>
            <w:vAlign w:val="bottom"/>
            <w:shd w:val="clear" w:color="auto" w:fill="BAD3EA"/>
          </w:tcPr>
          <w:p>
            <w:pPr>
              <w:spacing w:after="0"/>
              <w:rPr>
                <w:sz w:val="17"/>
                <w:szCs w:val="17"/>
                <w:color w:val="auto"/>
              </w:rPr>
            </w:pPr>
          </w:p>
        </w:tc>
        <w:tc>
          <w:tcPr>
            <w:tcW w:w="300" w:type="dxa"/>
            <w:vAlign w:val="bottom"/>
            <w:shd w:val="clear" w:color="auto" w:fill="BAD3EA"/>
          </w:tcPr>
          <w:p>
            <w:pPr>
              <w:spacing w:after="0"/>
              <w:rPr>
                <w:sz w:val="17"/>
                <w:szCs w:val="17"/>
                <w:color w:val="auto"/>
              </w:rPr>
            </w:pPr>
          </w:p>
        </w:tc>
        <w:tc>
          <w:tcPr>
            <w:tcW w:w="660" w:type="dxa"/>
            <w:vAlign w:val="bottom"/>
            <w:shd w:val="clear" w:color="auto" w:fill="BAD3EA"/>
          </w:tcPr>
          <w:p>
            <w:pPr>
              <w:spacing w:after="0"/>
              <w:rPr>
                <w:sz w:val="17"/>
                <w:szCs w:val="17"/>
                <w:color w:val="auto"/>
              </w:rPr>
            </w:pPr>
          </w:p>
        </w:tc>
        <w:tc>
          <w:tcPr>
            <w:tcW w:w="320" w:type="dxa"/>
            <w:vAlign w:val="bottom"/>
            <w:shd w:val="clear" w:color="auto" w:fill="BAD3EA"/>
          </w:tcPr>
          <w:p>
            <w:pPr>
              <w:spacing w:after="0"/>
              <w:rPr>
                <w:sz w:val="17"/>
                <w:szCs w:val="17"/>
                <w:color w:val="auto"/>
              </w:rPr>
            </w:pPr>
          </w:p>
        </w:tc>
        <w:tc>
          <w:tcPr>
            <w:tcW w:w="760" w:type="dxa"/>
            <w:vAlign w:val="bottom"/>
            <w:shd w:val="clear" w:color="auto" w:fill="BAD3EA"/>
          </w:tcPr>
          <w:p>
            <w:pPr>
              <w:spacing w:after="0"/>
              <w:rPr>
                <w:sz w:val="17"/>
                <w:szCs w:val="17"/>
                <w:color w:val="auto"/>
              </w:rPr>
            </w:pPr>
          </w:p>
        </w:tc>
        <w:tc>
          <w:tcPr>
            <w:tcW w:w="220" w:type="dxa"/>
            <w:vAlign w:val="bottom"/>
            <w:shd w:val="clear" w:color="auto" w:fill="BAD3EA"/>
          </w:tcPr>
          <w:p>
            <w:pPr>
              <w:spacing w:after="0"/>
              <w:rPr>
                <w:sz w:val="17"/>
                <w:szCs w:val="17"/>
                <w:color w:val="auto"/>
              </w:rPr>
            </w:pPr>
          </w:p>
        </w:tc>
        <w:tc>
          <w:tcPr>
            <w:tcW w:w="780" w:type="dxa"/>
            <w:vAlign w:val="bottom"/>
            <w:shd w:val="clear" w:color="auto" w:fill="BAD3EA"/>
          </w:tcPr>
          <w:p>
            <w:pPr>
              <w:spacing w:after="0"/>
              <w:rPr>
                <w:sz w:val="17"/>
                <w:szCs w:val="17"/>
                <w:color w:val="auto"/>
              </w:rPr>
            </w:pPr>
          </w:p>
        </w:tc>
        <w:tc>
          <w:tcPr>
            <w:tcW w:w="220" w:type="dxa"/>
            <w:vAlign w:val="bottom"/>
            <w:shd w:val="clear" w:color="auto" w:fill="BAD3EA"/>
          </w:tcPr>
          <w:p>
            <w:pPr>
              <w:spacing w:after="0"/>
              <w:rPr>
                <w:sz w:val="17"/>
                <w:szCs w:val="17"/>
                <w:color w:val="auto"/>
              </w:rPr>
            </w:pPr>
          </w:p>
        </w:tc>
        <w:tc>
          <w:tcPr>
            <w:tcW w:w="860" w:type="dxa"/>
            <w:vAlign w:val="bottom"/>
            <w:shd w:val="clear" w:color="auto" w:fill="BAD3EA"/>
          </w:tcPr>
          <w:p>
            <w:pPr>
              <w:spacing w:after="0"/>
              <w:rPr>
                <w:sz w:val="17"/>
                <w:szCs w:val="17"/>
                <w:color w:val="auto"/>
              </w:rPr>
            </w:pPr>
          </w:p>
        </w:tc>
        <w:tc>
          <w:tcPr>
            <w:tcW w:w="940" w:type="dxa"/>
            <w:vAlign w:val="bottom"/>
            <w:shd w:val="clear" w:color="auto" w:fill="BAD3EA"/>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00" w:type="dxa"/>
            <w:vAlign w:val="bottom"/>
            <w:shd w:val="clear" w:color="auto" w:fill="E8F0F8"/>
          </w:tcPr>
          <w:p>
            <w:pPr>
              <w:spacing w:after="0"/>
              <w:rPr>
                <w:sz w:val="16"/>
                <w:szCs w:val="16"/>
                <w:color w:val="auto"/>
              </w:rPr>
            </w:pPr>
          </w:p>
        </w:tc>
        <w:tc>
          <w:tcPr>
            <w:tcW w:w="860" w:type="dxa"/>
            <w:vAlign w:val="bottom"/>
            <w:shd w:val="clear" w:color="auto" w:fill="E8F0F8"/>
          </w:tcPr>
          <w:p>
            <w:pPr>
              <w:spacing w:after="0"/>
              <w:rPr>
                <w:sz w:val="16"/>
                <w:szCs w:val="16"/>
                <w:color w:val="auto"/>
              </w:rPr>
            </w:pPr>
          </w:p>
        </w:tc>
        <w:tc>
          <w:tcPr>
            <w:tcW w:w="300" w:type="dxa"/>
            <w:vAlign w:val="bottom"/>
            <w:shd w:val="clear" w:color="auto" w:fill="E8F0F8"/>
          </w:tcPr>
          <w:p>
            <w:pPr>
              <w:spacing w:after="0"/>
              <w:rPr>
                <w:sz w:val="16"/>
                <w:szCs w:val="16"/>
                <w:color w:val="auto"/>
              </w:rPr>
            </w:pPr>
          </w:p>
        </w:tc>
        <w:tc>
          <w:tcPr>
            <w:tcW w:w="2740" w:type="dxa"/>
            <w:vAlign w:val="bottom"/>
            <w:gridSpan w:val="5"/>
            <w:shd w:val="clear" w:color="auto" w:fill="E8F0F8"/>
          </w:tcPr>
          <w:p>
            <w:pPr>
              <w:jc w:val="center"/>
              <w:ind w:right="41"/>
              <w:spacing w:after="0"/>
              <w:rPr>
                <w:sz w:val="20"/>
                <w:szCs w:val="20"/>
                <w:color w:val="auto"/>
              </w:rPr>
            </w:pPr>
            <w:r>
              <w:rPr>
                <w:rFonts w:ascii="Arial" w:cs="Arial" w:eastAsia="Arial" w:hAnsi="Arial"/>
                <w:sz w:val="16"/>
                <w:szCs w:val="16"/>
                <w:color w:val="auto"/>
              </w:rPr>
              <w:t>Specific market goals</w:t>
            </w:r>
          </w:p>
        </w:tc>
        <w:tc>
          <w:tcPr>
            <w:tcW w:w="220" w:type="dxa"/>
            <w:vAlign w:val="bottom"/>
            <w:shd w:val="clear" w:color="auto" w:fill="E8F0F8"/>
          </w:tcPr>
          <w:p>
            <w:pPr>
              <w:spacing w:after="0"/>
              <w:rPr>
                <w:sz w:val="16"/>
                <w:szCs w:val="16"/>
                <w:color w:val="auto"/>
              </w:rPr>
            </w:pPr>
          </w:p>
        </w:tc>
        <w:tc>
          <w:tcPr>
            <w:tcW w:w="860" w:type="dxa"/>
            <w:vAlign w:val="bottom"/>
            <w:shd w:val="clear" w:color="auto" w:fill="E8F0F8"/>
          </w:tcPr>
          <w:p>
            <w:pPr>
              <w:spacing w:after="0"/>
              <w:rPr>
                <w:sz w:val="16"/>
                <w:szCs w:val="16"/>
                <w:color w:val="auto"/>
              </w:rPr>
            </w:pPr>
          </w:p>
        </w:tc>
        <w:tc>
          <w:tcPr>
            <w:tcW w:w="940" w:type="dxa"/>
            <w:vAlign w:val="bottom"/>
            <w:shd w:val="clear" w:color="auto" w:fill="E8F0F8"/>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00" w:type="dxa"/>
            <w:vAlign w:val="bottom"/>
            <w:shd w:val="clear" w:color="auto" w:fill="E8F0F8"/>
          </w:tcPr>
          <w:p>
            <w:pPr>
              <w:ind w:left="60"/>
              <w:spacing w:after="0"/>
              <w:rPr>
                <w:sz w:val="20"/>
                <w:szCs w:val="20"/>
                <w:color w:val="auto"/>
              </w:rPr>
            </w:pPr>
            <w:r>
              <w:rPr>
                <w:rFonts w:ascii="Arial" w:cs="Arial" w:eastAsia="Arial" w:hAnsi="Arial"/>
                <w:sz w:val="16"/>
                <w:szCs w:val="16"/>
                <w:color w:val="auto"/>
              </w:rPr>
              <w:t>Achieve Global MS Market Share</w:t>
            </w:r>
          </w:p>
        </w:tc>
        <w:tc>
          <w:tcPr>
            <w:tcW w:w="860" w:type="dxa"/>
            <w:vAlign w:val="bottom"/>
            <w:shd w:val="clear" w:color="auto" w:fill="E8F0F8"/>
          </w:tcPr>
          <w:p>
            <w:pPr>
              <w:jc w:val="right"/>
              <w:spacing w:after="0"/>
              <w:rPr>
                <w:sz w:val="20"/>
                <w:szCs w:val="20"/>
                <w:color w:val="auto"/>
              </w:rPr>
            </w:pPr>
            <w:r>
              <w:rPr>
                <w:rFonts w:ascii="Arial" w:cs="Arial" w:eastAsia="Arial" w:hAnsi="Arial"/>
                <w:sz w:val="16"/>
                <w:szCs w:val="16"/>
                <w:color w:val="auto"/>
              </w:rPr>
              <w:t>15%</w:t>
            </w:r>
          </w:p>
        </w:tc>
        <w:tc>
          <w:tcPr>
            <w:tcW w:w="300" w:type="dxa"/>
            <w:vAlign w:val="bottom"/>
            <w:shd w:val="clear" w:color="auto" w:fill="E8F0F8"/>
          </w:tcPr>
          <w:p>
            <w:pPr>
              <w:spacing w:after="0"/>
              <w:rPr>
                <w:sz w:val="16"/>
                <w:szCs w:val="16"/>
                <w:color w:val="auto"/>
              </w:rPr>
            </w:pPr>
          </w:p>
        </w:tc>
        <w:tc>
          <w:tcPr>
            <w:tcW w:w="2740" w:type="dxa"/>
            <w:vAlign w:val="bottom"/>
            <w:gridSpan w:val="5"/>
            <w:shd w:val="clear" w:color="auto" w:fill="E8F0F8"/>
          </w:tcPr>
          <w:p>
            <w:pPr>
              <w:jc w:val="center"/>
              <w:ind w:right="61"/>
              <w:spacing w:after="0"/>
              <w:rPr>
                <w:sz w:val="20"/>
                <w:szCs w:val="20"/>
                <w:color w:val="auto"/>
              </w:rPr>
            </w:pPr>
            <w:r>
              <w:rPr>
                <w:rFonts w:ascii="Arial" w:cs="Arial" w:eastAsia="Arial" w:hAnsi="Arial"/>
                <w:sz w:val="16"/>
                <w:szCs w:val="16"/>
                <w:color w:val="auto"/>
                <w:w w:val="99"/>
              </w:rPr>
              <w:t>are not disclosed for</w:t>
            </w:r>
          </w:p>
        </w:tc>
        <w:tc>
          <w:tcPr>
            <w:tcW w:w="220" w:type="dxa"/>
            <w:vAlign w:val="bottom"/>
            <w:shd w:val="clear" w:color="auto" w:fill="E8F0F8"/>
          </w:tcPr>
          <w:p>
            <w:pPr>
              <w:spacing w:after="0"/>
              <w:rPr>
                <w:sz w:val="16"/>
                <w:szCs w:val="16"/>
                <w:color w:val="auto"/>
              </w:rPr>
            </w:pPr>
          </w:p>
        </w:tc>
        <w:tc>
          <w:tcPr>
            <w:tcW w:w="860" w:type="dxa"/>
            <w:vAlign w:val="bottom"/>
            <w:shd w:val="clear" w:color="auto" w:fill="E8F0F8"/>
          </w:tcPr>
          <w:p>
            <w:pPr>
              <w:jc w:val="center"/>
              <w:ind w:right="145"/>
              <w:spacing w:after="0"/>
              <w:rPr>
                <w:sz w:val="20"/>
                <w:szCs w:val="20"/>
                <w:color w:val="auto"/>
              </w:rPr>
            </w:pPr>
            <w:r>
              <w:rPr>
                <w:rFonts w:ascii="Arial" w:cs="Arial" w:eastAsia="Arial" w:hAnsi="Arial"/>
                <w:sz w:val="16"/>
                <w:szCs w:val="16"/>
                <w:color w:val="auto"/>
              </w:rPr>
              <w:t>Below</w:t>
            </w:r>
          </w:p>
        </w:tc>
        <w:tc>
          <w:tcPr>
            <w:tcW w:w="940" w:type="dxa"/>
            <w:vAlign w:val="bottom"/>
            <w:shd w:val="clear" w:color="auto" w:fill="E8F0F8"/>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00" w:type="dxa"/>
            <w:vAlign w:val="bottom"/>
            <w:tcBorders>
              <w:bottom w:val="single" w:sz="8" w:color="BAD3EA"/>
            </w:tcBorders>
            <w:shd w:val="clear" w:color="auto" w:fill="E8F0F8"/>
          </w:tcPr>
          <w:p>
            <w:pPr>
              <w:spacing w:after="0"/>
              <w:rPr>
                <w:sz w:val="17"/>
                <w:szCs w:val="17"/>
                <w:color w:val="auto"/>
              </w:rPr>
            </w:pPr>
          </w:p>
        </w:tc>
        <w:tc>
          <w:tcPr>
            <w:tcW w:w="860" w:type="dxa"/>
            <w:vAlign w:val="bottom"/>
            <w:tcBorders>
              <w:bottom w:val="single" w:sz="8" w:color="BAD3EA"/>
            </w:tcBorders>
            <w:shd w:val="clear" w:color="auto" w:fill="E8F0F8"/>
          </w:tcPr>
          <w:p>
            <w:pPr>
              <w:spacing w:after="0"/>
              <w:rPr>
                <w:sz w:val="17"/>
                <w:szCs w:val="17"/>
                <w:color w:val="auto"/>
              </w:rPr>
            </w:pPr>
          </w:p>
        </w:tc>
        <w:tc>
          <w:tcPr>
            <w:tcW w:w="300" w:type="dxa"/>
            <w:vAlign w:val="bottom"/>
            <w:tcBorders>
              <w:bottom w:val="single" w:sz="8" w:color="BAD3EA"/>
            </w:tcBorders>
            <w:shd w:val="clear" w:color="auto" w:fill="E8F0F8"/>
          </w:tcPr>
          <w:p>
            <w:pPr>
              <w:spacing w:after="0"/>
              <w:rPr>
                <w:sz w:val="17"/>
                <w:szCs w:val="17"/>
                <w:color w:val="auto"/>
              </w:rPr>
            </w:pPr>
          </w:p>
        </w:tc>
        <w:tc>
          <w:tcPr>
            <w:tcW w:w="2740" w:type="dxa"/>
            <w:vAlign w:val="bottom"/>
            <w:tcBorders>
              <w:bottom w:val="single" w:sz="8" w:color="BAD3EA"/>
            </w:tcBorders>
            <w:gridSpan w:val="5"/>
            <w:shd w:val="clear" w:color="auto" w:fill="E8F0F8"/>
          </w:tcPr>
          <w:p>
            <w:pPr>
              <w:jc w:val="center"/>
              <w:ind w:right="61"/>
              <w:spacing w:after="0"/>
              <w:rPr>
                <w:sz w:val="20"/>
                <w:szCs w:val="20"/>
                <w:color w:val="auto"/>
              </w:rPr>
            </w:pPr>
            <w:r>
              <w:rPr>
                <w:rFonts w:ascii="Arial" w:cs="Arial" w:eastAsia="Arial" w:hAnsi="Arial"/>
                <w:sz w:val="16"/>
                <w:szCs w:val="16"/>
                <w:color w:val="auto"/>
              </w:rPr>
              <w:t>competitive reasons</w:t>
            </w:r>
          </w:p>
        </w:tc>
        <w:tc>
          <w:tcPr>
            <w:tcW w:w="220" w:type="dxa"/>
            <w:vAlign w:val="bottom"/>
            <w:tcBorders>
              <w:bottom w:val="single" w:sz="8" w:color="BAD3EA"/>
            </w:tcBorders>
            <w:shd w:val="clear" w:color="auto" w:fill="E8F0F8"/>
          </w:tcPr>
          <w:p>
            <w:pPr>
              <w:spacing w:after="0"/>
              <w:rPr>
                <w:sz w:val="17"/>
                <w:szCs w:val="17"/>
                <w:color w:val="auto"/>
              </w:rPr>
            </w:pPr>
          </w:p>
        </w:tc>
        <w:tc>
          <w:tcPr>
            <w:tcW w:w="860" w:type="dxa"/>
            <w:vAlign w:val="bottom"/>
            <w:tcBorders>
              <w:bottom w:val="single" w:sz="8" w:color="BAD3EA"/>
            </w:tcBorders>
            <w:shd w:val="clear" w:color="auto" w:fill="E8F0F8"/>
          </w:tcPr>
          <w:p>
            <w:pPr>
              <w:jc w:val="center"/>
              <w:ind w:right="145"/>
              <w:spacing w:after="0" w:line="205" w:lineRule="exact"/>
              <w:rPr>
                <w:sz w:val="20"/>
                <w:szCs w:val="20"/>
                <w:color w:val="auto"/>
              </w:rPr>
            </w:pPr>
            <w:r>
              <w:rPr>
                <w:rFonts w:ascii="Arial" w:cs="Arial" w:eastAsia="Arial" w:hAnsi="Arial"/>
                <w:sz w:val="14"/>
                <w:szCs w:val="14"/>
                <w:color w:val="auto"/>
              </w:rPr>
              <w:t>Goal</w:t>
            </w:r>
            <w:r>
              <w:rPr>
                <w:rFonts w:ascii="Arial" w:cs="Arial" w:eastAsia="Arial" w:hAnsi="Arial"/>
                <w:sz w:val="23"/>
                <w:szCs w:val="23"/>
                <w:color w:val="auto"/>
                <w:vertAlign w:val="superscript"/>
              </w:rPr>
              <w:t>(2)</w:t>
            </w:r>
          </w:p>
        </w:tc>
        <w:tc>
          <w:tcPr>
            <w:tcW w:w="940" w:type="dxa"/>
            <w:vAlign w:val="bottom"/>
            <w:tcBorders>
              <w:bottom w:val="single" w:sz="8" w:color="BAD3EA"/>
            </w:tcBorders>
            <w:shd w:val="clear" w:color="auto" w:fill="E8F0F8"/>
          </w:tcPr>
          <w:p>
            <w:pPr>
              <w:jc w:val="right"/>
              <w:ind w:right="41"/>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00" w:type="dxa"/>
            <w:vAlign w:val="bottom"/>
            <w:shd w:val="clear" w:color="auto" w:fill="E8F0F8"/>
          </w:tcPr>
          <w:p>
            <w:pPr>
              <w:spacing w:after="0"/>
              <w:rPr>
                <w:sz w:val="16"/>
                <w:szCs w:val="16"/>
                <w:color w:val="auto"/>
              </w:rPr>
            </w:pPr>
          </w:p>
        </w:tc>
        <w:tc>
          <w:tcPr>
            <w:tcW w:w="860" w:type="dxa"/>
            <w:vAlign w:val="bottom"/>
            <w:shd w:val="clear" w:color="auto" w:fill="E8F0F8"/>
          </w:tcPr>
          <w:p>
            <w:pPr>
              <w:spacing w:after="0"/>
              <w:rPr>
                <w:sz w:val="16"/>
                <w:szCs w:val="16"/>
                <w:color w:val="auto"/>
              </w:rPr>
            </w:pPr>
          </w:p>
        </w:tc>
        <w:tc>
          <w:tcPr>
            <w:tcW w:w="300" w:type="dxa"/>
            <w:vAlign w:val="bottom"/>
            <w:shd w:val="clear" w:color="auto" w:fill="E8F0F8"/>
          </w:tcPr>
          <w:p>
            <w:pPr>
              <w:spacing w:after="0"/>
              <w:rPr>
                <w:sz w:val="16"/>
                <w:szCs w:val="16"/>
                <w:color w:val="auto"/>
              </w:rPr>
            </w:pPr>
          </w:p>
        </w:tc>
        <w:tc>
          <w:tcPr>
            <w:tcW w:w="2740" w:type="dxa"/>
            <w:vAlign w:val="bottom"/>
            <w:gridSpan w:val="5"/>
            <w:shd w:val="clear" w:color="auto" w:fill="E8F0F8"/>
          </w:tcPr>
          <w:p>
            <w:pPr>
              <w:jc w:val="center"/>
              <w:ind w:right="41"/>
              <w:spacing w:after="0"/>
              <w:rPr>
                <w:sz w:val="20"/>
                <w:szCs w:val="20"/>
                <w:color w:val="auto"/>
              </w:rPr>
            </w:pPr>
            <w:r>
              <w:rPr>
                <w:rFonts w:ascii="Arial" w:cs="Arial" w:eastAsia="Arial" w:hAnsi="Arial"/>
                <w:sz w:val="16"/>
                <w:szCs w:val="16"/>
                <w:color w:val="auto"/>
              </w:rPr>
              <w:t>Specific market goals</w:t>
            </w:r>
          </w:p>
        </w:tc>
        <w:tc>
          <w:tcPr>
            <w:tcW w:w="220" w:type="dxa"/>
            <w:vAlign w:val="bottom"/>
            <w:shd w:val="clear" w:color="auto" w:fill="E8F0F8"/>
          </w:tcPr>
          <w:p>
            <w:pPr>
              <w:spacing w:after="0"/>
              <w:rPr>
                <w:sz w:val="16"/>
                <w:szCs w:val="16"/>
                <w:color w:val="auto"/>
              </w:rPr>
            </w:pPr>
          </w:p>
        </w:tc>
        <w:tc>
          <w:tcPr>
            <w:tcW w:w="860" w:type="dxa"/>
            <w:vAlign w:val="bottom"/>
            <w:shd w:val="clear" w:color="auto" w:fill="E8F0F8"/>
          </w:tcPr>
          <w:p>
            <w:pPr>
              <w:spacing w:after="0"/>
              <w:rPr>
                <w:sz w:val="16"/>
                <w:szCs w:val="16"/>
                <w:color w:val="auto"/>
              </w:rPr>
            </w:pPr>
          </w:p>
        </w:tc>
        <w:tc>
          <w:tcPr>
            <w:tcW w:w="940" w:type="dxa"/>
            <w:vAlign w:val="bottom"/>
            <w:shd w:val="clear" w:color="auto" w:fill="E8F0F8"/>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00" w:type="dxa"/>
            <w:vAlign w:val="bottom"/>
            <w:shd w:val="clear" w:color="auto" w:fill="E8F0F8"/>
          </w:tcPr>
          <w:p>
            <w:pPr>
              <w:ind w:left="60"/>
              <w:spacing w:after="0"/>
              <w:rPr>
                <w:sz w:val="20"/>
                <w:szCs w:val="20"/>
                <w:color w:val="auto"/>
              </w:rPr>
            </w:pPr>
            <w:r>
              <w:rPr>
                <w:rFonts w:ascii="Arial" w:cs="Arial" w:eastAsia="Arial" w:hAnsi="Arial"/>
                <w:sz w:val="16"/>
                <w:szCs w:val="16"/>
                <w:color w:val="auto"/>
              </w:rPr>
              <w:t>MS Leader in Customer Trust and Value Survey</w:t>
            </w:r>
          </w:p>
        </w:tc>
        <w:tc>
          <w:tcPr>
            <w:tcW w:w="860" w:type="dxa"/>
            <w:vAlign w:val="bottom"/>
            <w:shd w:val="clear" w:color="auto" w:fill="E8F0F8"/>
          </w:tcPr>
          <w:p>
            <w:pPr>
              <w:jc w:val="right"/>
              <w:spacing w:after="0"/>
              <w:rPr>
                <w:sz w:val="20"/>
                <w:szCs w:val="20"/>
                <w:color w:val="auto"/>
              </w:rPr>
            </w:pPr>
            <w:r>
              <w:rPr>
                <w:rFonts w:ascii="Arial" w:cs="Arial" w:eastAsia="Arial" w:hAnsi="Arial"/>
                <w:sz w:val="16"/>
                <w:szCs w:val="16"/>
                <w:color w:val="auto"/>
              </w:rPr>
              <w:t>10%</w:t>
            </w:r>
          </w:p>
        </w:tc>
        <w:tc>
          <w:tcPr>
            <w:tcW w:w="300" w:type="dxa"/>
            <w:vAlign w:val="bottom"/>
            <w:shd w:val="clear" w:color="auto" w:fill="E8F0F8"/>
          </w:tcPr>
          <w:p>
            <w:pPr>
              <w:spacing w:after="0"/>
              <w:rPr>
                <w:sz w:val="16"/>
                <w:szCs w:val="16"/>
                <w:color w:val="auto"/>
              </w:rPr>
            </w:pPr>
          </w:p>
        </w:tc>
        <w:tc>
          <w:tcPr>
            <w:tcW w:w="2740" w:type="dxa"/>
            <w:vAlign w:val="bottom"/>
            <w:gridSpan w:val="5"/>
            <w:shd w:val="clear" w:color="auto" w:fill="E8F0F8"/>
          </w:tcPr>
          <w:p>
            <w:pPr>
              <w:jc w:val="center"/>
              <w:ind w:right="61"/>
              <w:spacing w:after="0"/>
              <w:rPr>
                <w:sz w:val="20"/>
                <w:szCs w:val="20"/>
                <w:color w:val="auto"/>
              </w:rPr>
            </w:pPr>
            <w:r>
              <w:rPr>
                <w:rFonts w:ascii="Arial" w:cs="Arial" w:eastAsia="Arial" w:hAnsi="Arial"/>
                <w:sz w:val="16"/>
                <w:szCs w:val="16"/>
                <w:color w:val="auto"/>
                <w:w w:val="99"/>
              </w:rPr>
              <w:t>are not disclosed for</w:t>
            </w:r>
          </w:p>
        </w:tc>
        <w:tc>
          <w:tcPr>
            <w:tcW w:w="220" w:type="dxa"/>
            <w:vAlign w:val="bottom"/>
            <w:shd w:val="clear" w:color="auto" w:fill="E8F0F8"/>
          </w:tcPr>
          <w:p>
            <w:pPr>
              <w:spacing w:after="0"/>
              <w:rPr>
                <w:sz w:val="16"/>
                <w:szCs w:val="16"/>
                <w:color w:val="auto"/>
              </w:rPr>
            </w:pPr>
          </w:p>
        </w:tc>
        <w:tc>
          <w:tcPr>
            <w:tcW w:w="860" w:type="dxa"/>
            <w:vAlign w:val="bottom"/>
            <w:shd w:val="clear" w:color="auto" w:fill="E8F0F8"/>
          </w:tcPr>
          <w:p>
            <w:pPr>
              <w:jc w:val="center"/>
              <w:ind w:right="165"/>
              <w:spacing w:after="0"/>
              <w:rPr>
                <w:sz w:val="20"/>
                <w:szCs w:val="20"/>
                <w:color w:val="auto"/>
              </w:rPr>
            </w:pPr>
            <w:r>
              <w:rPr>
                <w:rFonts w:ascii="Arial" w:cs="Arial" w:eastAsia="Arial" w:hAnsi="Arial"/>
                <w:sz w:val="16"/>
                <w:szCs w:val="16"/>
                <w:color w:val="auto"/>
              </w:rPr>
              <w:t>Above</w:t>
            </w:r>
          </w:p>
        </w:tc>
        <w:tc>
          <w:tcPr>
            <w:tcW w:w="940" w:type="dxa"/>
            <w:vAlign w:val="bottom"/>
            <w:shd w:val="clear" w:color="auto" w:fill="E8F0F8"/>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00" w:type="dxa"/>
            <w:vAlign w:val="bottom"/>
            <w:tcBorders>
              <w:bottom w:val="single" w:sz="8" w:color="BAD3EA"/>
            </w:tcBorders>
            <w:shd w:val="clear" w:color="auto" w:fill="E8F0F8"/>
          </w:tcPr>
          <w:p>
            <w:pPr>
              <w:spacing w:after="0"/>
              <w:rPr>
                <w:sz w:val="17"/>
                <w:szCs w:val="17"/>
                <w:color w:val="auto"/>
              </w:rPr>
            </w:pPr>
          </w:p>
        </w:tc>
        <w:tc>
          <w:tcPr>
            <w:tcW w:w="860" w:type="dxa"/>
            <w:vAlign w:val="bottom"/>
            <w:tcBorders>
              <w:bottom w:val="single" w:sz="8" w:color="BAD3EA"/>
            </w:tcBorders>
            <w:shd w:val="clear" w:color="auto" w:fill="E8F0F8"/>
          </w:tcPr>
          <w:p>
            <w:pPr>
              <w:spacing w:after="0"/>
              <w:rPr>
                <w:sz w:val="17"/>
                <w:szCs w:val="17"/>
                <w:color w:val="auto"/>
              </w:rPr>
            </w:pPr>
          </w:p>
        </w:tc>
        <w:tc>
          <w:tcPr>
            <w:tcW w:w="300" w:type="dxa"/>
            <w:vAlign w:val="bottom"/>
            <w:tcBorders>
              <w:bottom w:val="single" w:sz="8" w:color="BAD3EA"/>
            </w:tcBorders>
            <w:shd w:val="clear" w:color="auto" w:fill="E8F0F8"/>
          </w:tcPr>
          <w:p>
            <w:pPr>
              <w:spacing w:after="0"/>
              <w:rPr>
                <w:sz w:val="17"/>
                <w:szCs w:val="17"/>
                <w:color w:val="auto"/>
              </w:rPr>
            </w:pPr>
          </w:p>
        </w:tc>
        <w:tc>
          <w:tcPr>
            <w:tcW w:w="2740" w:type="dxa"/>
            <w:vAlign w:val="bottom"/>
            <w:tcBorders>
              <w:bottom w:val="single" w:sz="8" w:color="BAD3EA"/>
            </w:tcBorders>
            <w:gridSpan w:val="5"/>
            <w:shd w:val="clear" w:color="auto" w:fill="E8F0F8"/>
          </w:tcPr>
          <w:p>
            <w:pPr>
              <w:jc w:val="center"/>
              <w:ind w:right="61"/>
              <w:spacing w:after="0"/>
              <w:rPr>
                <w:sz w:val="20"/>
                <w:szCs w:val="20"/>
                <w:color w:val="auto"/>
              </w:rPr>
            </w:pPr>
            <w:r>
              <w:rPr>
                <w:rFonts w:ascii="Arial" w:cs="Arial" w:eastAsia="Arial" w:hAnsi="Arial"/>
                <w:sz w:val="16"/>
                <w:szCs w:val="16"/>
                <w:color w:val="auto"/>
              </w:rPr>
              <w:t>competitive reasons</w:t>
            </w:r>
          </w:p>
        </w:tc>
        <w:tc>
          <w:tcPr>
            <w:tcW w:w="220" w:type="dxa"/>
            <w:vAlign w:val="bottom"/>
            <w:tcBorders>
              <w:bottom w:val="single" w:sz="8" w:color="BAD3EA"/>
            </w:tcBorders>
            <w:shd w:val="clear" w:color="auto" w:fill="E8F0F8"/>
          </w:tcPr>
          <w:p>
            <w:pPr>
              <w:spacing w:after="0"/>
              <w:rPr>
                <w:sz w:val="17"/>
                <w:szCs w:val="17"/>
                <w:color w:val="auto"/>
              </w:rPr>
            </w:pPr>
          </w:p>
        </w:tc>
        <w:tc>
          <w:tcPr>
            <w:tcW w:w="860" w:type="dxa"/>
            <w:vAlign w:val="bottom"/>
            <w:tcBorders>
              <w:bottom w:val="single" w:sz="8" w:color="BAD3EA"/>
            </w:tcBorders>
            <w:shd w:val="clear" w:color="auto" w:fill="E8F0F8"/>
          </w:tcPr>
          <w:p>
            <w:pPr>
              <w:jc w:val="center"/>
              <w:ind w:right="145"/>
              <w:spacing w:after="0" w:line="205" w:lineRule="exact"/>
              <w:rPr>
                <w:sz w:val="20"/>
                <w:szCs w:val="20"/>
                <w:color w:val="auto"/>
              </w:rPr>
            </w:pPr>
            <w:r>
              <w:rPr>
                <w:rFonts w:ascii="Arial" w:cs="Arial" w:eastAsia="Arial" w:hAnsi="Arial"/>
                <w:sz w:val="14"/>
                <w:szCs w:val="14"/>
                <w:color w:val="auto"/>
              </w:rPr>
              <w:t>Goal</w:t>
            </w:r>
            <w:r>
              <w:rPr>
                <w:rFonts w:ascii="Arial" w:cs="Arial" w:eastAsia="Arial" w:hAnsi="Arial"/>
                <w:sz w:val="23"/>
                <w:szCs w:val="23"/>
                <w:color w:val="auto"/>
                <w:vertAlign w:val="superscript"/>
              </w:rPr>
              <w:t>(2)</w:t>
            </w:r>
          </w:p>
        </w:tc>
        <w:tc>
          <w:tcPr>
            <w:tcW w:w="940" w:type="dxa"/>
            <w:vAlign w:val="bottom"/>
            <w:tcBorders>
              <w:bottom w:val="single" w:sz="8" w:color="BAD3EA"/>
            </w:tcBorders>
            <w:shd w:val="clear" w:color="auto" w:fill="E8F0F8"/>
          </w:tcPr>
          <w:p>
            <w:pPr>
              <w:jc w:val="right"/>
              <w:ind w:right="41"/>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00" w:type="dxa"/>
            <w:vAlign w:val="bottom"/>
            <w:shd w:val="clear" w:color="auto" w:fill="E8F0F8"/>
          </w:tcPr>
          <w:p>
            <w:pPr>
              <w:spacing w:after="0"/>
              <w:rPr>
                <w:sz w:val="16"/>
                <w:szCs w:val="16"/>
                <w:color w:val="auto"/>
              </w:rPr>
            </w:pPr>
          </w:p>
        </w:tc>
        <w:tc>
          <w:tcPr>
            <w:tcW w:w="860" w:type="dxa"/>
            <w:vAlign w:val="bottom"/>
            <w:shd w:val="clear" w:color="auto" w:fill="E8F0F8"/>
          </w:tcPr>
          <w:p>
            <w:pPr>
              <w:spacing w:after="0"/>
              <w:rPr>
                <w:sz w:val="16"/>
                <w:szCs w:val="16"/>
                <w:color w:val="auto"/>
              </w:rPr>
            </w:pPr>
          </w:p>
        </w:tc>
        <w:tc>
          <w:tcPr>
            <w:tcW w:w="300" w:type="dxa"/>
            <w:vAlign w:val="bottom"/>
            <w:shd w:val="clear" w:color="auto" w:fill="E8F0F8"/>
          </w:tcPr>
          <w:p>
            <w:pPr>
              <w:spacing w:after="0"/>
              <w:rPr>
                <w:sz w:val="16"/>
                <w:szCs w:val="16"/>
                <w:color w:val="auto"/>
              </w:rPr>
            </w:pPr>
          </w:p>
        </w:tc>
        <w:tc>
          <w:tcPr>
            <w:tcW w:w="2740" w:type="dxa"/>
            <w:vAlign w:val="bottom"/>
            <w:gridSpan w:val="5"/>
            <w:shd w:val="clear" w:color="auto" w:fill="E8F0F8"/>
          </w:tcPr>
          <w:p>
            <w:pPr>
              <w:jc w:val="center"/>
              <w:ind w:right="41"/>
              <w:spacing w:after="0"/>
              <w:rPr>
                <w:sz w:val="20"/>
                <w:szCs w:val="20"/>
                <w:color w:val="auto"/>
              </w:rPr>
            </w:pPr>
            <w:r>
              <w:rPr>
                <w:rFonts w:ascii="Arial" w:cs="Arial" w:eastAsia="Arial" w:hAnsi="Arial"/>
                <w:sz w:val="16"/>
                <w:szCs w:val="16"/>
                <w:color w:val="auto"/>
              </w:rPr>
              <w:t>Specific market goals</w:t>
            </w:r>
          </w:p>
        </w:tc>
        <w:tc>
          <w:tcPr>
            <w:tcW w:w="220" w:type="dxa"/>
            <w:vAlign w:val="bottom"/>
            <w:shd w:val="clear" w:color="auto" w:fill="E8F0F8"/>
          </w:tcPr>
          <w:p>
            <w:pPr>
              <w:spacing w:after="0"/>
              <w:rPr>
                <w:sz w:val="16"/>
                <w:szCs w:val="16"/>
                <w:color w:val="auto"/>
              </w:rPr>
            </w:pPr>
          </w:p>
        </w:tc>
        <w:tc>
          <w:tcPr>
            <w:tcW w:w="860" w:type="dxa"/>
            <w:vAlign w:val="bottom"/>
            <w:shd w:val="clear" w:color="auto" w:fill="E8F0F8"/>
          </w:tcPr>
          <w:p>
            <w:pPr>
              <w:spacing w:after="0"/>
              <w:rPr>
                <w:sz w:val="16"/>
                <w:szCs w:val="16"/>
                <w:color w:val="auto"/>
              </w:rPr>
            </w:pPr>
          </w:p>
        </w:tc>
        <w:tc>
          <w:tcPr>
            <w:tcW w:w="940" w:type="dxa"/>
            <w:vAlign w:val="bottom"/>
            <w:shd w:val="clear" w:color="auto" w:fill="E8F0F8"/>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00" w:type="dxa"/>
            <w:vAlign w:val="bottom"/>
            <w:shd w:val="clear" w:color="auto" w:fill="E8F0F8"/>
          </w:tcPr>
          <w:p>
            <w:pPr>
              <w:ind w:left="60"/>
              <w:spacing w:after="0"/>
              <w:rPr>
                <w:sz w:val="20"/>
                <w:szCs w:val="20"/>
                <w:color w:val="auto"/>
              </w:rPr>
            </w:pPr>
            <w:r>
              <w:rPr>
                <w:rFonts w:ascii="Arial" w:cs="Arial" w:eastAsia="Arial" w:hAnsi="Arial"/>
                <w:sz w:val="16"/>
                <w:szCs w:val="16"/>
                <w:color w:val="auto"/>
              </w:rPr>
              <w:t>Achieve Global SMA Market Share</w:t>
            </w:r>
          </w:p>
        </w:tc>
        <w:tc>
          <w:tcPr>
            <w:tcW w:w="860" w:type="dxa"/>
            <w:vAlign w:val="bottom"/>
            <w:shd w:val="clear" w:color="auto" w:fill="E8F0F8"/>
          </w:tcPr>
          <w:p>
            <w:pPr>
              <w:jc w:val="right"/>
              <w:spacing w:after="0"/>
              <w:rPr>
                <w:sz w:val="20"/>
                <w:szCs w:val="20"/>
                <w:color w:val="auto"/>
              </w:rPr>
            </w:pPr>
            <w:r>
              <w:rPr>
                <w:rFonts w:ascii="Arial" w:cs="Arial" w:eastAsia="Arial" w:hAnsi="Arial"/>
                <w:sz w:val="16"/>
                <w:szCs w:val="16"/>
                <w:color w:val="auto"/>
              </w:rPr>
              <w:t>10%</w:t>
            </w:r>
          </w:p>
        </w:tc>
        <w:tc>
          <w:tcPr>
            <w:tcW w:w="300" w:type="dxa"/>
            <w:vAlign w:val="bottom"/>
            <w:shd w:val="clear" w:color="auto" w:fill="E8F0F8"/>
          </w:tcPr>
          <w:p>
            <w:pPr>
              <w:spacing w:after="0"/>
              <w:rPr>
                <w:sz w:val="16"/>
                <w:szCs w:val="16"/>
                <w:color w:val="auto"/>
              </w:rPr>
            </w:pPr>
          </w:p>
        </w:tc>
        <w:tc>
          <w:tcPr>
            <w:tcW w:w="2740" w:type="dxa"/>
            <w:vAlign w:val="bottom"/>
            <w:gridSpan w:val="5"/>
            <w:shd w:val="clear" w:color="auto" w:fill="E8F0F8"/>
          </w:tcPr>
          <w:p>
            <w:pPr>
              <w:jc w:val="center"/>
              <w:ind w:right="61"/>
              <w:spacing w:after="0"/>
              <w:rPr>
                <w:sz w:val="20"/>
                <w:szCs w:val="20"/>
                <w:color w:val="auto"/>
              </w:rPr>
            </w:pPr>
            <w:r>
              <w:rPr>
                <w:rFonts w:ascii="Arial" w:cs="Arial" w:eastAsia="Arial" w:hAnsi="Arial"/>
                <w:sz w:val="16"/>
                <w:szCs w:val="16"/>
                <w:color w:val="auto"/>
                <w:w w:val="99"/>
              </w:rPr>
              <w:t>are not disclosed for</w:t>
            </w:r>
          </w:p>
        </w:tc>
        <w:tc>
          <w:tcPr>
            <w:tcW w:w="220" w:type="dxa"/>
            <w:vAlign w:val="bottom"/>
            <w:shd w:val="clear" w:color="auto" w:fill="E8F0F8"/>
          </w:tcPr>
          <w:p>
            <w:pPr>
              <w:spacing w:after="0"/>
              <w:rPr>
                <w:sz w:val="16"/>
                <w:szCs w:val="16"/>
                <w:color w:val="auto"/>
              </w:rPr>
            </w:pPr>
          </w:p>
        </w:tc>
        <w:tc>
          <w:tcPr>
            <w:tcW w:w="860" w:type="dxa"/>
            <w:vAlign w:val="bottom"/>
            <w:shd w:val="clear" w:color="auto" w:fill="E8F0F8"/>
          </w:tcPr>
          <w:p>
            <w:pPr>
              <w:jc w:val="center"/>
              <w:ind w:right="165"/>
              <w:spacing w:after="0"/>
              <w:rPr>
                <w:sz w:val="20"/>
                <w:szCs w:val="20"/>
                <w:color w:val="auto"/>
              </w:rPr>
            </w:pPr>
            <w:r>
              <w:rPr>
                <w:rFonts w:ascii="Arial" w:cs="Arial" w:eastAsia="Arial" w:hAnsi="Arial"/>
                <w:sz w:val="16"/>
                <w:szCs w:val="16"/>
                <w:color w:val="auto"/>
              </w:rPr>
              <w:t>Above</w:t>
            </w:r>
          </w:p>
        </w:tc>
        <w:tc>
          <w:tcPr>
            <w:tcW w:w="940" w:type="dxa"/>
            <w:vAlign w:val="bottom"/>
            <w:shd w:val="clear" w:color="auto" w:fill="E8F0F8"/>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00" w:type="dxa"/>
            <w:vAlign w:val="bottom"/>
            <w:shd w:val="clear" w:color="auto" w:fill="E8F0F8"/>
          </w:tcPr>
          <w:p>
            <w:pPr>
              <w:spacing w:after="0"/>
              <w:rPr>
                <w:sz w:val="17"/>
                <w:szCs w:val="17"/>
                <w:color w:val="auto"/>
              </w:rPr>
            </w:pPr>
          </w:p>
        </w:tc>
        <w:tc>
          <w:tcPr>
            <w:tcW w:w="860" w:type="dxa"/>
            <w:vAlign w:val="bottom"/>
            <w:shd w:val="clear" w:color="auto" w:fill="E8F0F8"/>
          </w:tcPr>
          <w:p>
            <w:pPr>
              <w:spacing w:after="0"/>
              <w:rPr>
                <w:sz w:val="17"/>
                <w:szCs w:val="17"/>
                <w:color w:val="auto"/>
              </w:rPr>
            </w:pPr>
          </w:p>
        </w:tc>
        <w:tc>
          <w:tcPr>
            <w:tcW w:w="300" w:type="dxa"/>
            <w:vAlign w:val="bottom"/>
            <w:shd w:val="clear" w:color="auto" w:fill="E8F0F8"/>
          </w:tcPr>
          <w:p>
            <w:pPr>
              <w:spacing w:after="0"/>
              <w:rPr>
                <w:sz w:val="17"/>
                <w:szCs w:val="17"/>
                <w:color w:val="auto"/>
              </w:rPr>
            </w:pPr>
          </w:p>
        </w:tc>
        <w:tc>
          <w:tcPr>
            <w:tcW w:w="2740" w:type="dxa"/>
            <w:vAlign w:val="bottom"/>
            <w:gridSpan w:val="5"/>
            <w:shd w:val="clear" w:color="auto" w:fill="E8F0F8"/>
          </w:tcPr>
          <w:p>
            <w:pPr>
              <w:jc w:val="center"/>
              <w:ind w:right="61"/>
              <w:spacing w:after="0"/>
              <w:rPr>
                <w:sz w:val="20"/>
                <w:szCs w:val="20"/>
                <w:color w:val="auto"/>
              </w:rPr>
            </w:pPr>
            <w:r>
              <w:rPr>
                <w:rFonts w:ascii="Arial" w:cs="Arial" w:eastAsia="Arial" w:hAnsi="Arial"/>
                <w:sz w:val="16"/>
                <w:szCs w:val="16"/>
                <w:color w:val="auto"/>
              </w:rPr>
              <w:t>competitive reasons</w:t>
            </w:r>
          </w:p>
        </w:tc>
        <w:tc>
          <w:tcPr>
            <w:tcW w:w="220" w:type="dxa"/>
            <w:vAlign w:val="bottom"/>
            <w:shd w:val="clear" w:color="auto" w:fill="E8F0F8"/>
          </w:tcPr>
          <w:p>
            <w:pPr>
              <w:spacing w:after="0"/>
              <w:rPr>
                <w:sz w:val="17"/>
                <w:szCs w:val="17"/>
                <w:color w:val="auto"/>
              </w:rPr>
            </w:pPr>
          </w:p>
        </w:tc>
        <w:tc>
          <w:tcPr>
            <w:tcW w:w="860" w:type="dxa"/>
            <w:vAlign w:val="bottom"/>
            <w:shd w:val="clear" w:color="auto" w:fill="E8F0F8"/>
          </w:tcPr>
          <w:p>
            <w:pPr>
              <w:jc w:val="center"/>
              <w:ind w:right="145"/>
              <w:spacing w:after="0" w:line="205" w:lineRule="exact"/>
              <w:rPr>
                <w:sz w:val="20"/>
                <w:szCs w:val="20"/>
                <w:color w:val="auto"/>
              </w:rPr>
            </w:pPr>
            <w:r>
              <w:rPr>
                <w:rFonts w:ascii="Arial" w:cs="Arial" w:eastAsia="Arial" w:hAnsi="Arial"/>
                <w:sz w:val="14"/>
                <w:szCs w:val="14"/>
                <w:color w:val="auto"/>
              </w:rPr>
              <w:t>Goal</w:t>
            </w:r>
            <w:r>
              <w:rPr>
                <w:rFonts w:ascii="Arial" w:cs="Arial" w:eastAsia="Arial" w:hAnsi="Arial"/>
                <w:sz w:val="23"/>
                <w:szCs w:val="23"/>
                <w:color w:val="auto"/>
                <w:vertAlign w:val="superscript"/>
              </w:rPr>
              <w:t>(2)</w:t>
            </w:r>
          </w:p>
        </w:tc>
        <w:tc>
          <w:tcPr>
            <w:tcW w:w="940" w:type="dxa"/>
            <w:vAlign w:val="bottom"/>
            <w:shd w:val="clear" w:color="auto" w:fill="E8F0F8"/>
          </w:tcPr>
          <w:p>
            <w:pPr>
              <w:jc w:val="right"/>
              <w:ind w:right="41"/>
              <w:spacing w:after="0"/>
              <w:rPr>
                <w:sz w:val="20"/>
                <w:szCs w:val="20"/>
                <w:color w:val="auto"/>
              </w:rPr>
            </w:pPr>
            <w:r>
              <w:rPr>
                <w:rFonts w:ascii="Arial" w:cs="Arial" w:eastAsia="Arial" w:hAnsi="Arial"/>
                <w:sz w:val="16"/>
                <w:szCs w:val="16"/>
                <w:color w:val="auto"/>
              </w:rPr>
              <w:t>134.9%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BAD3EA"/>
          </w:tcPr>
          <w:p>
            <w:pPr>
              <w:ind w:left="60"/>
              <w:spacing w:after="0"/>
              <w:rPr>
                <w:sz w:val="20"/>
                <w:szCs w:val="20"/>
                <w:color w:val="auto"/>
              </w:rPr>
            </w:pPr>
            <w:r>
              <w:rPr>
                <w:rFonts w:ascii="Arial" w:cs="Arial" w:eastAsia="Arial" w:hAnsi="Arial"/>
                <w:sz w:val="16"/>
                <w:szCs w:val="16"/>
                <w:b w:val="1"/>
                <w:bCs w:val="1"/>
                <w:color w:val="auto"/>
              </w:rPr>
              <w:t>PIPELINE DEVELOPMENT</w:t>
            </w:r>
          </w:p>
        </w:tc>
        <w:tc>
          <w:tcPr>
            <w:tcW w:w="860" w:type="dxa"/>
            <w:vAlign w:val="bottom"/>
            <w:shd w:val="clear" w:color="auto" w:fill="BAD3EA"/>
          </w:tcPr>
          <w:p>
            <w:pPr>
              <w:spacing w:after="0"/>
              <w:rPr>
                <w:sz w:val="17"/>
                <w:szCs w:val="17"/>
                <w:color w:val="auto"/>
              </w:rPr>
            </w:pPr>
          </w:p>
        </w:tc>
        <w:tc>
          <w:tcPr>
            <w:tcW w:w="300" w:type="dxa"/>
            <w:vAlign w:val="bottom"/>
            <w:shd w:val="clear" w:color="auto" w:fill="BAD3EA"/>
          </w:tcPr>
          <w:p>
            <w:pPr>
              <w:spacing w:after="0"/>
              <w:rPr>
                <w:sz w:val="17"/>
                <w:szCs w:val="17"/>
                <w:color w:val="auto"/>
              </w:rPr>
            </w:pPr>
          </w:p>
        </w:tc>
        <w:tc>
          <w:tcPr>
            <w:tcW w:w="660" w:type="dxa"/>
            <w:vAlign w:val="bottom"/>
            <w:shd w:val="clear" w:color="auto" w:fill="BAD3EA"/>
          </w:tcPr>
          <w:p>
            <w:pPr>
              <w:spacing w:after="0"/>
              <w:rPr>
                <w:sz w:val="17"/>
                <w:szCs w:val="17"/>
                <w:color w:val="auto"/>
              </w:rPr>
            </w:pPr>
          </w:p>
        </w:tc>
        <w:tc>
          <w:tcPr>
            <w:tcW w:w="320" w:type="dxa"/>
            <w:vAlign w:val="bottom"/>
            <w:shd w:val="clear" w:color="auto" w:fill="BAD3EA"/>
          </w:tcPr>
          <w:p>
            <w:pPr>
              <w:spacing w:after="0"/>
              <w:rPr>
                <w:sz w:val="17"/>
                <w:szCs w:val="17"/>
                <w:color w:val="auto"/>
              </w:rPr>
            </w:pPr>
          </w:p>
        </w:tc>
        <w:tc>
          <w:tcPr>
            <w:tcW w:w="760" w:type="dxa"/>
            <w:vAlign w:val="bottom"/>
            <w:shd w:val="clear" w:color="auto" w:fill="BAD3EA"/>
          </w:tcPr>
          <w:p>
            <w:pPr>
              <w:spacing w:after="0"/>
              <w:rPr>
                <w:sz w:val="17"/>
                <w:szCs w:val="17"/>
                <w:color w:val="auto"/>
              </w:rPr>
            </w:pPr>
          </w:p>
        </w:tc>
        <w:tc>
          <w:tcPr>
            <w:tcW w:w="220" w:type="dxa"/>
            <w:vAlign w:val="bottom"/>
            <w:shd w:val="clear" w:color="auto" w:fill="BAD3EA"/>
          </w:tcPr>
          <w:p>
            <w:pPr>
              <w:spacing w:after="0"/>
              <w:rPr>
                <w:sz w:val="17"/>
                <w:szCs w:val="17"/>
                <w:color w:val="auto"/>
              </w:rPr>
            </w:pPr>
          </w:p>
        </w:tc>
        <w:tc>
          <w:tcPr>
            <w:tcW w:w="780" w:type="dxa"/>
            <w:vAlign w:val="bottom"/>
            <w:shd w:val="clear" w:color="auto" w:fill="BAD3EA"/>
          </w:tcPr>
          <w:p>
            <w:pPr>
              <w:spacing w:after="0"/>
              <w:rPr>
                <w:sz w:val="17"/>
                <w:szCs w:val="17"/>
                <w:color w:val="auto"/>
              </w:rPr>
            </w:pPr>
          </w:p>
        </w:tc>
        <w:tc>
          <w:tcPr>
            <w:tcW w:w="220" w:type="dxa"/>
            <w:vAlign w:val="bottom"/>
            <w:shd w:val="clear" w:color="auto" w:fill="BAD3EA"/>
          </w:tcPr>
          <w:p>
            <w:pPr>
              <w:spacing w:after="0"/>
              <w:rPr>
                <w:sz w:val="17"/>
                <w:szCs w:val="17"/>
                <w:color w:val="auto"/>
              </w:rPr>
            </w:pPr>
          </w:p>
        </w:tc>
        <w:tc>
          <w:tcPr>
            <w:tcW w:w="860" w:type="dxa"/>
            <w:vAlign w:val="bottom"/>
            <w:shd w:val="clear" w:color="auto" w:fill="BAD3EA"/>
          </w:tcPr>
          <w:p>
            <w:pPr>
              <w:spacing w:after="0"/>
              <w:rPr>
                <w:sz w:val="17"/>
                <w:szCs w:val="17"/>
                <w:color w:val="auto"/>
              </w:rPr>
            </w:pPr>
          </w:p>
        </w:tc>
        <w:tc>
          <w:tcPr>
            <w:tcW w:w="940" w:type="dxa"/>
            <w:vAlign w:val="bottom"/>
            <w:shd w:val="clear" w:color="auto" w:fill="BAD3EA"/>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00" w:type="dxa"/>
            <w:vAlign w:val="bottom"/>
            <w:shd w:val="clear" w:color="auto" w:fill="E8F0F8"/>
          </w:tcPr>
          <w:p>
            <w:pPr>
              <w:spacing w:after="0"/>
              <w:rPr>
                <w:sz w:val="16"/>
                <w:szCs w:val="16"/>
                <w:color w:val="auto"/>
              </w:rPr>
            </w:pPr>
          </w:p>
        </w:tc>
        <w:tc>
          <w:tcPr>
            <w:tcW w:w="860" w:type="dxa"/>
            <w:vAlign w:val="bottom"/>
            <w:shd w:val="clear" w:color="auto" w:fill="E8F0F8"/>
          </w:tcPr>
          <w:p>
            <w:pPr>
              <w:spacing w:after="0"/>
              <w:rPr>
                <w:sz w:val="16"/>
                <w:szCs w:val="16"/>
                <w:color w:val="auto"/>
              </w:rPr>
            </w:pPr>
          </w:p>
        </w:tc>
        <w:tc>
          <w:tcPr>
            <w:tcW w:w="300" w:type="dxa"/>
            <w:vAlign w:val="bottom"/>
            <w:shd w:val="clear" w:color="auto" w:fill="E8F0F8"/>
          </w:tcPr>
          <w:p>
            <w:pPr>
              <w:spacing w:after="0"/>
              <w:rPr>
                <w:sz w:val="16"/>
                <w:szCs w:val="16"/>
                <w:color w:val="auto"/>
              </w:rPr>
            </w:pPr>
          </w:p>
        </w:tc>
        <w:tc>
          <w:tcPr>
            <w:tcW w:w="2740" w:type="dxa"/>
            <w:vAlign w:val="bottom"/>
            <w:gridSpan w:val="5"/>
            <w:shd w:val="clear" w:color="auto" w:fill="E8F0F8"/>
          </w:tcPr>
          <w:p>
            <w:pPr>
              <w:jc w:val="center"/>
              <w:ind w:right="61"/>
              <w:spacing w:after="0"/>
              <w:rPr>
                <w:sz w:val="20"/>
                <w:szCs w:val="20"/>
                <w:color w:val="auto"/>
              </w:rPr>
            </w:pPr>
            <w:r>
              <w:rPr>
                <w:rFonts w:ascii="Arial" w:cs="Arial" w:eastAsia="Arial" w:hAnsi="Arial"/>
                <w:sz w:val="16"/>
                <w:szCs w:val="16"/>
                <w:color w:val="auto"/>
              </w:rPr>
              <w:t>Specific pipeline goals</w:t>
            </w:r>
          </w:p>
        </w:tc>
        <w:tc>
          <w:tcPr>
            <w:tcW w:w="220" w:type="dxa"/>
            <w:vAlign w:val="bottom"/>
            <w:shd w:val="clear" w:color="auto" w:fill="E8F0F8"/>
          </w:tcPr>
          <w:p>
            <w:pPr>
              <w:spacing w:after="0"/>
              <w:rPr>
                <w:sz w:val="16"/>
                <w:szCs w:val="16"/>
                <w:color w:val="auto"/>
              </w:rPr>
            </w:pPr>
          </w:p>
        </w:tc>
        <w:tc>
          <w:tcPr>
            <w:tcW w:w="860" w:type="dxa"/>
            <w:vAlign w:val="bottom"/>
            <w:shd w:val="clear" w:color="auto" w:fill="E8F0F8"/>
          </w:tcPr>
          <w:p>
            <w:pPr>
              <w:spacing w:after="0"/>
              <w:rPr>
                <w:sz w:val="16"/>
                <w:szCs w:val="16"/>
                <w:color w:val="auto"/>
              </w:rPr>
            </w:pPr>
          </w:p>
        </w:tc>
        <w:tc>
          <w:tcPr>
            <w:tcW w:w="940" w:type="dxa"/>
            <w:vAlign w:val="bottom"/>
            <w:shd w:val="clear" w:color="auto" w:fill="E8F0F8"/>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00" w:type="dxa"/>
            <w:vAlign w:val="bottom"/>
            <w:shd w:val="clear" w:color="auto" w:fill="E8F0F8"/>
          </w:tcPr>
          <w:p>
            <w:pPr>
              <w:ind w:left="60"/>
              <w:spacing w:after="0"/>
              <w:rPr>
                <w:sz w:val="20"/>
                <w:szCs w:val="20"/>
                <w:color w:val="auto"/>
              </w:rPr>
            </w:pPr>
            <w:r>
              <w:rPr>
                <w:rFonts w:ascii="Arial" w:cs="Arial" w:eastAsia="Arial" w:hAnsi="Arial"/>
                <w:sz w:val="16"/>
                <w:szCs w:val="16"/>
                <w:color w:val="auto"/>
              </w:rPr>
              <w:t>Build and Advance Total Pipeline</w:t>
            </w:r>
          </w:p>
        </w:tc>
        <w:tc>
          <w:tcPr>
            <w:tcW w:w="860" w:type="dxa"/>
            <w:vAlign w:val="bottom"/>
            <w:shd w:val="clear" w:color="auto" w:fill="E8F0F8"/>
          </w:tcPr>
          <w:p>
            <w:pPr>
              <w:jc w:val="right"/>
              <w:spacing w:after="0"/>
              <w:rPr>
                <w:sz w:val="20"/>
                <w:szCs w:val="20"/>
                <w:color w:val="auto"/>
              </w:rPr>
            </w:pPr>
            <w:r>
              <w:rPr>
                <w:rFonts w:ascii="Arial" w:cs="Arial" w:eastAsia="Arial" w:hAnsi="Arial"/>
                <w:sz w:val="16"/>
                <w:szCs w:val="16"/>
                <w:color w:val="auto"/>
              </w:rPr>
              <w:t>10%</w:t>
            </w:r>
          </w:p>
        </w:tc>
        <w:tc>
          <w:tcPr>
            <w:tcW w:w="300" w:type="dxa"/>
            <w:vAlign w:val="bottom"/>
            <w:shd w:val="clear" w:color="auto" w:fill="E8F0F8"/>
          </w:tcPr>
          <w:p>
            <w:pPr>
              <w:spacing w:after="0"/>
              <w:rPr>
                <w:sz w:val="16"/>
                <w:szCs w:val="16"/>
                <w:color w:val="auto"/>
              </w:rPr>
            </w:pPr>
          </w:p>
        </w:tc>
        <w:tc>
          <w:tcPr>
            <w:tcW w:w="2740" w:type="dxa"/>
            <w:vAlign w:val="bottom"/>
            <w:gridSpan w:val="5"/>
            <w:shd w:val="clear" w:color="auto" w:fill="E8F0F8"/>
          </w:tcPr>
          <w:p>
            <w:pPr>
              <w:jc w:val="center"/>
              <w:ind w:right="61"/>
              <w:spacing w:after="0"/>
              <w:rPr>
                <w:sz w:val="20"/>
                <w:szCs w:val="20"/>
                <w:color w:val="auto"/>
              </w:rPr>
            </w:pPr>
            <w:r>
              <w:rPr>
                <w:rFonts w:ascii="Arial" w:cs="Arial" w:eastAsia="Arial" w:hAnsi="Arial"/>
                <w:sz w:val="16"/>
                <w:szCs w:val="16"/>
                <w:color w:val="auto"/>
                <w:w w:val="99"/>
              </w:rPr>
              <w:t>are not disclosed for</w:t>
            </w:r>
          </w:p>
        </w:tc>
        <w:tc>
          <w:tcPr>
            <w:tcW w:w="220" w:type="dxa"/>
            <w:vAlign w:val="bottom"/>
            <w:shd w:val="clear" w:color="auto" w:fill="E8F0F8"/>
          </w:tcPr>
          <w:p>
            <w:pPr>
              <w:spacing w:after="0"/>
              <w:rPr>
                <w:sz w:val="16"/>
                <w:szCs w:val="16"/>
                <w:color w:val="auto"/>
              </w:rPr>
            </w:pPr>
          </w:p>
        </w:tc>
        <w:tc>
          <w:tcPr>
            <w:tcW w:w="860" w:type="dxa"/>
            <w:vAlign w:val="bottom"/>
            <w:shd w:val="clear" w:color="auto" w:fill="E8F0F8"/>
          </w:tcPr>
          <w:p>
            <w:pPr>
              <w:jc w:val="center"/>
              <w:ind w:right="165"/>
              <w:spacing w:after="0"/>
              <w:rPr>
                <w:sz w:val="20"/>
                <w:szCs w:val="20"/>
                <w:color w:val="auto"/>
              </w:rPr>
            </w:pPr>
            <w:r>
              <w:rPr>
                <w:rFonts w:ascii="Arial" w:cs="Arial" w:eastAsia="Arial" w:hAnsi="Arial"/>
                <w:sz w:val="16"/>
                <w:szCs w:val="16"/>
                <w:color w:val="auto"/>
              </w:rPr>
              <w:t>Above</w:t>
            </w:r>
          </w:p>
        </w:tc>
        <w:tc>
          <w:tcPr>
            <w:tcW w:w="940" w:type="dxa"/>
            <w:vAlign w:val="bottom"/>
            <w:shd w:val="clear" w:color="auto" w:fill="E8F0F8"/>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00" w:type="dxa"/>
            <w:vAlign w:val="bottom"/>
            <w:tcBorders>
              <w:bottom w:val="single" w:sz="8" w:color="BAD3EA"/>
            </w:tcBorders>
            <w:shd w:val="clear" w:color="auto" w:fill="E8F0F8"/>
          </w:tcPr>
          <w:p>
            <w:pPr>
              <w:spacing w:after="0"/>
              <w:rPr>
                <w:sz w:val="17"/>
                <w:szCs w:val="17"/>
                <w:color w:val="auto"/>
              </w:rPr>
            </w:pPr>
          </w:p>
        </w:tc>
        <w:tc>
          <w:tcPr>
            <w:tcW w:w="860" w:type="dxa"/>
            <w:vAlign w:val="bottom"/>
            <w:tcBorders>
              <w:bottom w:val="single" w:sz="8" w:color="BAD3EA"/>
            </w:tcBorders>
            <w:shd w:val="clear" w:color="auto" w:fill="E8F0F8"/>
          </w:tcPr>
          <w:p>
            <w:pPr>
              <w:spacing w:after="0"/>
              <w:rPr>
                <w:sz w:val="17"/>
                <w:szCs w:val="17"/>
                <w:color w:val="auto"/>
              </w:rPr>
            </w:pPr>
          </w:p>
        </w:tc>
        <w:tc>
          <w:tcPr>
            <w:tcW w:w="300" w:type="dxa"/>
            <w:vAlign w:val="bottom"/>
            <w:tcBorders>
              <w:bottom w:val="single" w:sz="8" w:color="BAD3EA"/>
            </w:tcBorders>
            <w:shd w:val="clear" w:color="auto" w:fill="E8F0F8"/>
          </w:tcPr>
          <w:p>
            <w:pPr>
              <w:spacing w:after="0"/>
              <w:rPr>
                <w:sz w:val="17"/>
                <w:szCs w:val="17"/>
                <w:color w:val="auto"/>
              </w:rPr>
            </w:pPr>
          </w:p>
        </w:tc>
        <w:tc>
          <w:tcPr>
            <w:tcW w:w="2740" w:type="dxa"/>
            <w:vAlign w:val="bottom"/>
            <w:tcBorders>
              <w:bottom w:val="single" w:sz="8" w:color="BAD3EA"/>
            </w:tcBorders>
            <w:gridSpan w:val="5"/>
            <w:shd w:val="clear" w:color="auto" w:fill="E8F0F8"/>
          </w:tcPr>
          <w:p>
            <w:pPr>
              <w:jc w:val="center"/>
              <w:ind w:right="61"/>
              <w:spacing w:after="0"/>
              <w:rPr>
                <w:sz w:val="20"/>
                <w:szCs w:val="20"/>
                <w:color w:val="auto"/>
              </w:rPr>
            </w:pPr>
            <w:r>
              <w:rPr>
                <w:rFonts w:ascii="Arial" w:cs="Arial" w:eastAsia="Arial" w:hAnsi="Arial"/>
                <w:sz w:val="16"/>
                <w:szCs w:val="16"/>
                <w:color w:val="auto"/>
              </w:rPr>
              <w:t>competitive reasons</w:t>
            </w:r>
          </w:p>
        </w:tc>
        <w:tc>
          <w:tcPr>
            <w:tcW w:w="220" w:type="dxa"/>
            <w:vAlign w:val="bottom"/>
            <w:tcBorders>
              <w:bottom w:val="single" w:sz="8" w:color="BAD3EA"/>
            </w:tcBorders>
            <w:shd w:val="clear" w:color="auto" w:fill="E8F0F8"/>
          </w:tcPr>
          <w:p>
            <w:pPr>
              <w:spacing w:after="0"/>
              <w:rPr>
                <w:sz w:val="17"/>
                <w:szCs w:val="17"/>
                <w:color w:val="auto"/>
              </w:rPr>
            </w:pPr>
          </w:p>
        </w:tc>
        <w:tc>
          <w:tcPr>
            <w:tcW w:w="860" w:type="dxa"/>
            <w:vAlign w:val="bottom"/>
            <w:tcBorders>
              <w:bottom w:val="single" w:sz="8" w:color="BAD3EA"/>
            </w:tcBorders>
            <w:shd w:val="clear" w:color="auto" w:fill="E8F0F8"/>
          </w:tcPr>
          <w:p>
            <w:pPr>
              <w:jc w:val="center"/>
              <w:ind w:right="145"/>
              <w:spacing w:after="0" w:line="205" w:lineRule="exact"/>
              <w:rPr>
                <w:sz w:val="20"/>
                <w:szCs w:val="20"/>
                <w:color w:val="auto"/>
              </w:rPr>
            </w:pPr>
            <w:r>
              <w:rPr>
                <w:rFonts w:ascii="Arial" w:cs="Arial" w:eastAsia="Arial" w:hAnsi="Arial"/>
                <w:sz w:val="14"/>
                <w:szCs w:val="14"/>
                <w:color w:val="auto"/>
              </w:rPr>
              <w:t>Goal</w:t>
            </w:r>
            <w:r>
              <w:rPr>
                <w:rFonts w:ascii="Arial" w:cs="Arial" w:eastAsia="Arial" w:hAnsi="Arial"/>
                <w:sz w:val="23"/>
                <w:szCs w:val="23"/>
                <w:color w:val="auto"/>
                <w:vertAlign w:val="superscript"/>
              </w:rPr>
              <w:t>(3)</w:t>
            </w:r>
          </w:p>
        </w:tc>
        <w:tc>
          <w:tcPr>
            <w:tcW w:w="940" w:type="dxa"/>
            <w:vAlign w:val="bottom"/>
            <w:tcBorders>
              <w:bottom w:val="single" w:sz="8" w:color="BAD3EA"/>
            </w:tcBorders>
            <w:shd w:val="clear" w:color="auto" w:fill="E8F0F8"/>
          </w:tcPr>
          <w:p>
            <w:pPr>
              <w:jc w:val="right"/>
              <w:ind w:right="41"/>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00" w:type="dxa"/>
            <w:vAlign w:val="bottom"/>
            <w:shd w:val="clear" w:color="auto" w:fill="E8F0F8"/>
          </w:tcPr>
          <w:p>
            <w:pPr>
              <w:spacing w:after="0"/>
              <w:rPr>
                <w:sz w:val="16"/>
                <w:szCs w:val="16"/>
                <w:color w:val="auto"/>
              </w:rPr>
            </w:pPr>
          </w:p>
        </w:tc>
        <w:tc>
          <w:tcPr>
            <w:tcW w:w="860" w:type="dxa"/>
            <w:vAlign w:val="bottom"/>
            <w:shd w:val="clear" w:color="auto" w:fill="E8F0F8"/>
          </w:tcPr>
          <w:p>
            <w:pPr>
              <w:spacing w:after="0"/>
              <w:rPr>
                <w:sz w:val="16"/>
                <w:szCs w:val="16"/>
                <w:color w:val="auto"/>
              </w:rPr>
            </w:pPr>
          </w:p>
        </w:tc>
        <w:tc>
          <w:tcPr>
            <w:tcW w:w="300" w:type="dxa"/>
            <w:vAlign w:val="bottom"/>
            <w:shd w:val="clear" w:color="auto" w:fill="E8F0F8"/>
          </w:tcPr>
          <w:p>
            <w:pPr>
              <w:spacing w:after="0"/>
              <w:rPr>
                <w:sz w:val="16"/>
                <w:szCs w:val="16"/>
                <w:color w:val="auto"/>
              </w:rPr>
            </w:pPr>
          </w:p>
        </w:tc>
        <w:tc>
          <w:tcPr>
            <w:tcW w:w="2740" w:type="dxa"/>
            <w:vAlign w:val="bottom"/>
            <w:gridSpan w:val="5"/>
            <w:shd w:val="clear" w:color="auto" w:fill="E8F0F8"/>
          </w:tcPr>
          <w:p>
            <w:pPr>
              <w:jc w:val="center"/>
              <w:ind w:right="61"/>
              <w:spacing w:after="0"/>
              <w:rPr>
                <w:sz w:val="20"/>
                <w:szCs w:val="20"/>
                <w:color w:val="auto"/>
              </w:rPr>
            </w:pPr>
            <w:r>
              <w:rPr>
                <w:rFonts w:ascii="Arial" w:cs="Arial" w:eastAsia="Arial" w:hAnsi="Arial"/>
                <w:sz w:val="16"/>
                <w:szCs w:val="16"/>
                <w:color w:val="auto"/>
              </w:rPr>
              <w:t>Specific enrollment goals</w:t>
            </w:r>
          </w:p>
        </w:tc>
        <w:tc>
          <w:tcPr>
            <w:tcW w:w="220" w:type="dxa"/>
            <w:vAlign w:val="bottom"/>
            <w:shd w:val="clear" w:color="auto" w:fill="E8F0F8"/>
          </w:tcPr>
          <w:p>
            <w:pPr>
              <w:spacing w:after="0"/>
              <w:rPr>
                <w:sz w:val="16"/>
                <w:szCs w:val="16"/>
                <w:color w:val="auto"/>
              </w:rPr>
            </w:pPr>
          </w:p>
        </w:tc>
        <w:tc>
          <w:tcPr>
            <w:tcW w:w="860" w:type="dxa"/>
            <w:vAlign w:val="bottom"/>
            <w:shd w:val="clear" w:color="auto" w:fill="E8F0F8"/>
          </w:tcPr>
          <w:p>
            <w:pPr>
              <w:spacing w:after="0"/>
              <w:rPr>
                <w:sz w:val="16"/>
                <w:szCs w:val="16"/>
                <w:color w:val="auto"/>
              </w:rPr>
            </w:pPr>
          </w:p>
        </w:tc>
        <w:tc>
          <w:tcPr>
            <w:tcW w:w="940" w:type="dxa"/>
            <w:vAlign w:val="bottom"/>
            <w:shd w:val="clear" w:color="auto" w:fill="E8F0F8"/>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00" w:type="dxa"/>
            <w:vAlign w:val="bottom"/>
            <w:shd w:val="clear" w:color="auto" w:fill="E8F0F8"/>
          </w:tcPr>
          <w:p>
            <w:pPr>
              <w:ind w:left="60"/>
              <w:spacing w:after="0"/>
              <w:rPr>
                <w:sz w:val="20"/>
                <w:szCs w:val="20"/>
                <w:color w:val="auto"/>
              </w:rPr>
            </w:pPr>
            <w:r>
              <w:rPr>
                <w:rFonts w:ascii="Arial" w:cs="Arial" w:eastAsia="Arial" w:hAnsi="Arial"/>
                <w:sz w:val="16"/>
                <w:szCs w:val="16"/>
                <w:color w:val="auto"/>
              </w:rPr>
              <w:t>Achieve Aducanumab Phase 3 Enrollment</w:t>
            </w:r>
          </w:p>
        </w:tc>
        <w:tc>
          <w:tcPr>
            <w:tcW w:w="860" w:type="dxa"/>
            <w:vAlign w:val="bottom"/>
            <w:shd w:val="clear" w:color="auto" w:fill="E8F0F8"/>
          </w:tcPr>
          <w:p>
            <w:pPr>
              <w:jc w:val="right"/>
              <w:spacing w:after="0"/>
              <w:rPr>
                <w:sz w:val="20"/>
                <w:szCs w:val="20"/>
                <w:color w:val="auto"/>
              </w:rPr>
            </w:pPr>
            <w:r>
              <w:rPr>
                <w:rFonts w:ascii="Arial" w:cs="Arial" w:eastAsia="Arial" w:hAnsi="Arial"/>
                <w:sz w:val="16"/>
                <w:szCs w:val="16"/>
                <w:color w:val="auto"/>
              </w:rPr>
              <w:t>5%</w:t>
            </w:r>
          </w:p>
        </w:tc>
        <w:tc>
          <w:tcPr>
            <w:tcW w:w="300" w:type="dxa"/>
            <w:vAlign w:val="bottom"/>
            <w:shd w:val="clear" w:color="auto" w:fill="E8F0F8"/>
          </w:tcPr>
          <w:p>
            <w:pPr>
              <w:spacing w:after="0"/>
              <w:rPr>
                <w:sz w:val="16"/>
                <w:szCs w:val="16"/>
                <w:color w:val="auto"/>
              </w:rPr>
            </w:pPr>
          </w:p>
        </w:tc>
        <w:tc>
          <w:tcPr>
            <w:tcW w:w="2740" w:type="dxa"/>
            <w:vAlign w:val="bottom"/>
            <w:gridSpan w:val="5"/>
            <w:shd w:val="clear" w:color="auto" w:fill="E8F0F8"/>
          </w:tcPr>
          <w:p>
            <w:pPr>
              <w:jc w:val="center"/>
              <w:ind w:right="61"/>
              <w:spacing w:after="0"/>
              <w:rPr>
                <w:sz w:val="20"/>
                <w:szCs w:val="20"/>
                <w:color w:val="auto"/>
              </w:rPr>
            </w:pPr>
            <w:r>
              <w:rPr>
                <w:rFonts w:ascii="Arial" w:cs="Arial" w:eastAsia="Arial" w:hAnsi="Arial"/>
                <w:sz w:val="16"/>
                <w:szCs w:val="16"/>
                <w:color w:val="auto"/>
                <w:w w:val="99"/>
              </w:rPr>
              <w:t>are not disclosed for</w:t>
            </w:r>
          </w:p>
        </w:tc>
        <w:tc>
          <w:tcPr>
            <w:tcW w:w="220" w:type="dxa"/>
            <w:vAlign w:val="bottom"/>
            <w:shd w:val="clear" w:color="auto" w:fill="E8F0F8"/>
          </w:tcPr>
          <w:p>
            <w:pPr>
              <w:spacing w:after="0"/>
              <w:rPr>
                <w:sz w:val="16"/>
                <w:szCs w:val="16"/>
                <w:color w:val="auto"/>
              </w:rPr>
            </w:pPr>
          </w:p>
        </w:tc>
        <w:tc>
          <w:tcPr>
            <w:tcW w:w="860" w:type="dxa"/>
            <w:vAlign w:val="bottom"/>
            <w:shd w:val="clear" w:color="auto" w:fill="E8F0F8"/>
          </w:tcPr>
          <w:p>
            <w:pPr>
              <w:jc w:val="center"/>
              <w:ind w:right="165"/>
              <w:spacing w:after="0"/>
              <w:rPr>
                <w:sz w:val="20"/>
                <w:szCs w:val="20"/>
                <w:color w:val="auto"/>
              </w:rPr>
            </w:pPr>
            <w:r>
              <w:rPr>
                <w:rFonts w:ascii="Arial" w:cs="Arial" w:eastAsia="Arial" w:hAnsi="Arial"/>
                <w:sz w:val="16"/>
                <w:szCs w:val="16"/>
                <w:color w:val="auto"/>
              </w:rPr>
              <w:t>Above</w:t>
            </w:r>
          </w:p>
        </w:tc>
        <w:tc>
          <w:tcPr>
            <w:tcW w:w="940" w:type="dxa"/>
            <w:vAlign w:val="bottom"/>
            <w:shd w:val="clear" w:color="auto" w:fill="E8F0F8"/>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00" w:type="dxa"/>
            <w:vAlign w:val="bottom"/>
            <w:shd w:val="clear" w:color="auto" w:fill="E8F0F8"/>
          </w:tcPr>
          <w:p>
            <w:pPr>
              <w:spacing w:after="0"/>
              <w:rPr>
                <w:sz w:val="17"/>
                <w:szCs w:val="17"/>
                <w:color w:val="auto"/>
              </w:rPr>
            </w:pPr>
          </w:p>
        </w:tc>
        <w:tc>
          <w:tcPr>
            <w:tcW w:w="860" w:type="dxa"/>
            <w:vAlign w:val="bottom"/>
            <w:shd w:val="clear" w:color="auto" w:fill="E8F0F8"/>
          </w:tcPr>
          <w:p>
            <w:pPr>
              <w:spacing w:after="0"/>
              <w:rPr>
                <w:sz w:val="17"/>
                <w:szCs w:val="17"/>
                <w:color w:val="auto"/>
              </w:rPr>
            </w:pPr>
          </w:p>
        </w:tc>
        <w:tc>
          <w:tcPr>
            <w:tcW w:w="300" w:type="dxa"/>
            <w:vAlign w:val="bottom"/>
            <w:shd w:val="clear" w:color="auto" w:fill="E8F0F8"/>
          </w:tcPr>
          <w:p>
            <w:pPr>
              <w:spacing w:after="0"/>
              <w:rPr>
                <w:sz w:val="17"/>
                <w:szCs w:val="17"/>
                <w:color w:val="auto"/>
              </w:rPr>
            </w:pPr>
          </w:p>
        </w:tc>
        <w:tc>
          <w:tcPr>
            <w:tcW w:w="2740" w:type="dxa"/>
            <w:vAlign w:val="bottom"/>
            <w:gridSpan w:val="5"/>
            <w:shd w:val="clear" w:color="auto" w:fill="E8F0F8"/>
          </w:tcPr>
          <w:p>
            <w:pPr>
              <w:jc w:val="center"/>
              <w:ind w:right="61"/>
              <w:spacing w:after="0"/>
              <w:rPr>
                <w:sz w:val="20"/>
                <w:szCs w:val="20"/>
                <w:color w:val="auto"/>
              </w:rPr>
            </w:pPr>
            <w:r>
              <w:rPr>
                <w:rFonts w:ascii="Arial" w:cs="Arial" w:eastAsia="Arial" w:hAnsi="Arial"/>
                <w:sz w:val="16"/>
                <w:szCs w:val="16"/>
                <w:color w:val="auto"/>
              </w:rPr>
              <w:t>competitive reasons</w:t>
            </w:r>
          </w:p>
        </w:tc>
        <w:tc>
          <w:tcPr>
            <w:tcW w:w="220" w:type="dxa"/>
            <w:vAlign w:val="bottom"/>
            <w:shd w:val="clear" w:color="auto" w:fill="E8F0F8"/>
          </w:tcPr>
          <w:p>
            <w:pPr>
              <w:spacing w:after="0"/>
              <w:rPr>
                <w:sz w:val="17"/>
                <w:szCs w:val="17"/>
                <w:color w:val="auto"/>
              </w:rPr>
            </w:pPr>
          </w:p>
        </w:tc>
        <w:tc>
          <w:tcPr>
            <w:tcW w:w="860" w:type="dxa"/>
            <w:vAlign w:val="bottom"/>
            <w:shd w:val="clear" w:color="auto" w:fill="E8F0F8"/>
          </w:tcPr>
          <w:p>
            <w:pPr>
              <w:jc w:val="center"/>
              <w:ind w:right="145"/>
              <w:spacing w:after="0" w:line="205" w:lineRule="exact"/>
              <w:rPr>
                <w:sz w:val="20"/>
                <w:szCs w:val="20"/>
                <w:color w:val="auto"/>
              </w:rPr>
            </w:pPr>
            <w:r>
              <w:rPr>
                <w:rFonts w:ascii="Arial" w:cs="Arial" w:eastAsia="Arial" w:hAnsi="Arial"/>
                <w:sz w:val="14"/>
                <w:szCs w:val="14"/>
                <w:color w:val="auto"/>
              </w:rPr>
              <w:t>Goal</w:t>
            </w:r>
            <w:r>
              <w:rPr>
                <w:rFonts w:ascii="Arial" w:cs="Arial" w:eastAsia="Arial" w:hAnsi="Arial"/>
                <w:sz w:val="23"/>
                <w:szCs w:val="23"/>
                <w:color w:val="auto"/>
                <w:vertAlign w:val="superscript"/>
              </w:rPr>
              <w:t>(4)</w:t>
            </w:r>
          </w:p>
        </w:tc>
        <w:tc>
          <w:tcPr>
            <w:tcW w:w="940" w:type="dxa"/>
            <w:vAlign w:val="bottom"/>
            <w:shd w:val="clear" w:color="auto" w:fill="E8F0F8"/>
          </w:tcPr>
          <w:p>
            <w:pPr>
              <w:jc w:val="right"/>
              <w:ind w:right="41"/>
              <w:spacing w:after="0"/>
              <w:rPr>
                <w:sz w:val="20"/>
                <w:szCs w:val="20"/>
                <w:color w:val="auto"/>
              </w:rPr>
            </w:pPr>
            <w:r>
              <w:rPr>
                <w:rFonts w:ascii="Arial" w:cs="Arial" w:eastAsia="Arial" w:hAnsi="Arial"/>
                <w:sz w:val="16"/>
                <w:szCs w:val="16"/>
                <w:color w:val="auto"/>
              </w:rPr>
              <w:t>105.0%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BAD3EA"/>
          </w:tcPr>
          <w:p>
            <w:pPr>
              <w:ind w:left="60"/>
              <w:spacing w:after="0"/>
              <w:rPr>
                <w:sz w:val="20"/>
                <w:szCs w:val="20"/>
                <w:color w:val="auto"/>
              </w:rPr>
            </w:pPr>
            <w:r>
              <w:rPr>
                <w:rFonts w:ascii="Arial" w:cs="Arial" w:eastAsia="Arial" w:hAnsi="Arial"/>
                <w:sz w:val="16"/>
                <w:szCs w:val="16"/>
                <w:b w:val="1"/>
                <w:bCs w:val="1"/>
                <w:color w:val="auto"/>
              </w:rPr>
              <w:t>COLLABORATION</w:t>
            </w:r>
          </w:p>
        </w:tc>
        <w:tc>
          <w:tcPr>
            <w:tcW w:w="860" w:type="dxa"/>
            <w:vAlign w:val="bottom"/>
            <w:shd w:val="clear" w:color="auto" w:fill="BAD3EA"/>
          </w:tcPr>
          <w:p>
            <w:pPr>
              <w:spacing w:after="0"/>
              <w:rPr>
                <w:sz w:val="17"/>
                <w:szCs w:val="17"/>
                <w:color w:val="auto"/>
              </w:rPr>
            </w:pPr>
          </w:p>
        </w:tc>
        <w:tc>
          <w:tcPr>
            <w:tcW w:w="300" w:type="dxa"/>
            <w:vAlign w:val="bottom"/>
            <w:shd w:val="clear" w:color="auto" w:fill="BAD3EA"/>
          </w:tcPr>
          <w:p>
            <w:pPr>
              <w:spacing w:after="0"/>
              <w:rPr>
                <w:sz w:val="17"/>
                <w:szCs w:val="17"/>
                <w:color w:val="auto"/>
              </w:rPr>
            </w:pPr>
          </w:p>
        </w:tc>
        <w:tc>
          <w:tcPr>
            <w:tcW w:w="660" w:type="dxa"/>
            <w:vAlign w:val="bottom"/>
            <w:shd w:val="clear" w:color="auto" w:fill="BAD3EA"/>
          </w:tcPr>
          <w:p>
            <w:pPr>
              <w:spacing w:after="0"/>
              <w:rPr>
                <w:sz w:val="17"/>
                <w:szCs w:val="17"/>
                <w:color w:val="auto"/>
              </w:rPr>
            </w:pPr>
          </w:p>
        </w:tc>
        <w:tc>
          <w:tcPr>
            <w:tcW w:w="320" w:type="dxa"/>
            <w:vAlign w:val="bottom"/>
            <w:shd w:val="clear" w:color="auto" w:fill="BAD3EA"/>
          </w:tcPr>
          <w:p>
            <w:pPr>
              <w:spacing w:after="0"/>
              <w:rPr>
                <w:sz w:val="17"/>
                <w:szCs w:val="17"/>
                <w:color w:val="auto"/>
              </w:rPr>
            </w:pPr>
          </w:p>
        </w:tc>
        <w:tc>
          <w:tcPr>
            <w:tcW w:w="760" w:type="dxa"/>
            <w:vAlign w:val="bottom"/>
            <w:shd w:val="clear" w:color="auto" w:fill="BAD3EA"/>
          </w:tcPr>
          <w:p>
            <w:pPr>
              <w:spacing w:after="0"/>
              <w:rPr>
                <w:sz w:val="17"/>
                <w:szCs w:val="17"/>
                <w:color w:val="auto"/>
              </w:rPr>
            </w:pPr>
          </w:p>
        </w:tc>
        <w:tc>
          <w:tcPr>
            <w:tcW w:w="220" w:type="dxa"/>
            <w:vAlign w:val="bottom"/>
            <w:shd w:val="clear" w:color="auto" w:fill="BAD3EA"/>
          </w:tcPr>
          <w:p>
            <w:pPr>
              <w:spacing w:after="0"/>
              <w:rPr>
                <w:sz w:val="17"/>
                <w:szCs w:val="17"/>
                <w:color w:val="auto"/>
              </w:rPr>
            </w:pPr>
          </w:p>
        </w:tc>
        <w:tc>
          <w:tcPr>
            <w:tcW w:w="780" w:type="dxa"/>
            <w:vAlign w:val="bottom"/>
            <w:shd w:val="clear" w:color="auto" w:fill="BAD3EA"/>
          </w:tcPr>
          <w:p>
            <w:pPr>
              <w:spacing w:after="0"/>
              <w:rPr>
                <w:sz w:val="17"/>
                <w:szCs w:val="17"/>
                <w:color w:val="auto"/>
              </w:rPr>
            </w:pPr>
          </w:p>
        </w:tc>
        <w:tc>
          <w:tcPr>
            <w:tcW w:w="220" w:type="dxa"/>
            <w:vAlign w:val="bottom"/>
            <w:shd w:val="clear" w:color="auto" w:fill="BAD3EA"/>
          </w:tcPr>
          <w:p>
            <w:pPr>
              <w:spacing w:after="0"/>
              <w:rPr>
                <w:sz w:val="17"/>
                <w:szCs w:val="17"/>
                <w:color w:val="auto"/>
              </w:rPr>
            </w:pPr>
          </w:p>
        </w:tc>
        <w:tc>
          <w:tcPr>
            <w:tcW w:w="860" w:type="dxa"/>
            <w:vAlign w:val="bottom"/>
            <w:shd w:val="clear" w:color="auto" w:fill="BAD3EA"/>
          </w:tcPr>
          <w:p>
            <w:pPr>
              <w:spacing w:after="0"/>
              <w:rPr>
                <w:sz w:val="17"/>
                <w:szCs w:val="17"/>
                <w:color w:val="auto"/>
              </w:rPr>
            </w:pPr>
          </w:p>
        </w:tc>
        <w:tc>
          <w:tcPr>
            <w:tcW w:w="940" w:type="dxa"/>
            <w:vAlign w:val="bottom"/>
            <w:shd w:val="clear" w:color="auto" w:fill="BAD3EA"/>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00" w:type="dxa"/>
            <w:vAlign w:val="bottom"/>
            <w:shd w:val="clear" w:color="auto" w:fill="E8F0F8"/>
          </w:tcPr>
          <w:p>
            <w:pPr>
              <w:spacing w:after="0"/>
              <w:rPr>
                <w:sz w:val="16"/>
                <w:szCs w:val="16"/>
                <w:color w:val="auto"/>
              </w:rPr>
            </w:pPr>
          </w:p>
        </w:tc>
        <w:tc>
          <w:tcPr>
            <w:tcW w:w="860" w:type="dxa"/>
            <w:vAlign w:val="bottom"/>
            <w:shd w:val="clear" w:color="auto" w:fill="E8F0F8"/>
          </w:tcPr>
          <w:p>
            <w:pPr>
              <w:spacing w:after="0"/>
              <w:rPr>
                <w:sz w:val="16"/>
                <w:szCs w:val="16"/>
                <w:color w:val="auto"/>
              </w:rPr>
            </w:pPr>
          </w:p>
        </w:tc>
        <w:tc>
          <w:tcPr>
            <w:tcW w:w="300" w:type="dxa"/>
            <w:vAlign w:val="bottom"/>
            <w:shd w:val="clear" w:color="auto" w:fill="E8F0F8"/>
          </w:tcPr>
          <w:p>
            <w:pPr>
              <w:spacing w:after="0"/>
              <w:rPr>
                <w:sz w:val="16"/>
                <w:szCs w:val="16"/>
                <w:color w:val="auto"/>
              </w:rPr>
            </w:pPr>
          </w:p>
        </w:tc>
        <w:tc>
          <w:tcPr>
            <w:tcW w:w="660" w:type="dxa"/>
            <w:vAlign w:val="bottom"/>
            <w:shd w:val="clear" w:color="auto" w:fill="E8F0F8"/>
          </w:tcPr>
          <w:p>
            <w:pPr>
              <w:spacing w:after="0"/>
              <w:rPr>
                <w:sz w:val="16"/>
                <w:szCs w:val="16"/>
                <w:color w:val="auto"/>
              </w:rPr>
            </w:pPr>
          </w:p>
        </w:tc>
        <w:tc>
          <w:tcPr>
            <w:tcW w:w="1300" w:type="dxa"/>
            <w:vAlign w:val="bottom"/>
            <w:gridSpan w:val="3"/>
            <w:shd w:val="clear" w:color="auto" w:fill="E8F0F8"/>
          </w:tcPr>
          <w:p>
            <w:pPr>
              <w:jc w:val="center"/>
              <w:spacing w:after="0"/>
              <w:rPr>
                <w:sz w:val="20"/>
                <w:szCs w:val="20"/>
                <w:color w:val="auto"/>
              </w:rPr>
            </w:pPr>
            <w:r>
              <w:rPr>
                <w:rFonts w:ascii="Arial" w:cs="Arial" w:eastAsia="Arial" w:hAnsi="Arial"/>
                <w:sz w:val="16"/>
                <w:szCs w:val="16"/>
                <w:color w:val="auto"/>
              </w:rPr>
              <w:t>Specific strategic</w:t>
            </w:r>
          </w:p>
        </w:tc>
        <w:tc>
          <w:tcPr>
            <w:tcW w:w="780" w:type="dxa"/>
            <w:vAlign w:val="bottom"/>
            <w:shd w:val="clear" w:color="auto" w:fill="E8F0F8"/>
          </w:tcPr>
          <w:p>
            <w:pPr>
              <w:spacing w:after="0"/>
              <w:rPr>
                <w:sz w:val="16"/>
                <w:szCs w:val="16"/>
                <w:color w:val="auto"/>
              </w:rPr>
            </w:pPr>
          </w:p>
        </w:tc>
        <w:tc>
          <w:tcPr>
            <w:tcW w:w="220" w:type="dxa"/>
            <w:vAlign w:val="bottom"/>
            <w:shd w:val="clear" w:color="auto" w:fill="E8F0F8"/>
          </w:tcPr>
          <w:p>
            <w:pPr>
              <w:spacing w:after="0"/>
              <w:rPr>
                <w:sz w:val="16"/>
                <w:szCs w:val="16"/>
                <w:color w:val="auto"/>
              </w:rPr>
            </w:pPr>
          </w:p>
        </w:tc>
        <w:tc>
          <w:tcPr>
            <w:tcW w:w="860" w:type="dxa"/>
            <w:vAlign w:val="bottom"/>
            <w:vMerge w:val="restart"/>
            <w:shd w:val="clear" w:color="auto" w:fill="E8F0F8"/>
          </w:tcPr>
          <w:p>
            <w:pPr>
              <w:jc w:val="center"/>
              <w:ind w:right="165"/>
              <w:spacing w:after="0"/>
              <w:rPr>
                <w:sz w:val="20"/>
                <w:szCs w:val="20"/>
                <w:color w:val="auto"/>
              </w:rPr>
            </w:pPr>
            <w:r>
              <w:rPr>
                <w:rFonts w:ascii="Arial" w:cs="Arial" w:eastAsia="Arial" w:hAnsi="Arial"/>
                <w:sz w:val="16"/>
                <w:szCs w:val="16"/>
                <w:color w:val="auto"/>
              </w:rPr>
              <w:t>Above</w:t>
            </w:r>
          </w:p>
        </w:tc>
        <w:tc>
          <w:tcPr>
            <w:tcW w:w="940" w:type="dxa"/>
            <w:vAlign w:val="bottom"/>
            <w:shd w:val="clear" w:color="auto" w:fill="E8F0F8"/>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5100" w:type="dxa"/>
            <w:vAlign w:val="bottom"/>
            <w:vMerge w:val="restart"/>
            <w:shd w:val="clear" w:color="auto" w:fill="E8F0F8"/>
          </w:tcPr>
          <w:p>
            <w:pPr>
              <w:ind w:left="60"/>
              <w:spacing w:after="0"/>
              <w:rPr>
                <w:sz w:val="20"/>
                <w:szCs w:val="20"/>
                <w:color w:val="auto"/>
              </w:rPr>
            </w:pPr>
            <w:r>
              <w:rPr>
                <w:rFonts w:ascii="Arial" w:cs="Arial" w:eastAsia="Arial" w:hAnsi="Arial"/>
                <w:sz w:val="16"/>
                <w:szCs w:val="16"/>
                <w:color w:val="auto"/>
              </w:rPr>
              <w:t>Improve and Expand Key Strategic Alliances</w:t>
            </w:r>
          </w:p>
        </w:tc>
        <w:tc>
          <w:tcPr>
            <w:tcW w:w="860" w:type="dxa"/>
            <w:vAlign w:val="bottom"/>
            <w:vMerge w:val="restart"/>
            <w:shd w:val="clear" w:color="auto" w:fill="E8F0F8"/>
          </w:tcPr>
          <w:p>
            <w:pPr>
              <w:jc w:val="right"/>
              <w:spacing w:after="0"/>
              <w:rPr>
                <w:sz w:val="20"/>
                <w:szCs w:val="20"/>
                <w:color w:val="auto"/>
              </w:rPr>
            </w:pPr>
            <w:r>
              <w:rPr>
                <w:rFonts w:ascii="Arial" w:cs="Arial" w:eastAsia="Arial" w:hAnsi="Arial"/>
                <w:sz w:val="16"/>
                <w:szCs w:val="16"/>
                <w:color w:val="auto"/>
              </w:rPr>
              <w:t>10%</w:t>
            </w:r>
          </w:p>
        </w:tc>
        <w:tc>
          <w:tcPr>
            <w:tcW w:w="300" w:type="dxa"/>
            <w:vAlign w:val="bottom"/>
            <w:shd w:val="clear" w:color="auto" w:fill="E8F0F8"/>
          </w:tcPr>
          <w:p>
            <w:pPr>
              <w:spacing w:after="0"/>
              <w:rPr>
                <w:sz w:val="6"/>
                <w:szCs w:val="6"/>
                <w:color w:val="auto"/>
              </w:rPr>
            </w:pPr>
          </w:p>
        </w:tc>
        <w:tc>
          <w:tcPr>
            <w:tcW w:w="2740" w:type="dxa"/>
            <w:vAlign w:val="bottom"/>
            <w:gridSpan w:val="5"/>
            <w:vMerge w:val="restart"/>
            <w:shd w:val="clear" w:color="auto" w:fill="E8F0F8"/>
          </w:tcPr>
          <w:p>
            <w:pPr>
              <w:jc w:val="center"/>
              <w:ind w:right="61"/>
              <w:spacing w:after="0"/>
              <w:rPr>
                <w:sz w:val="20"/>
                <w:szCs w:val="20"/>
                <w:color w:val="auto"/>
              </w:rPr>
            </w:pPr>
            <w:r>
              <w:rPr>
                <w:rFonts w:ascii="Arial" w:cs="Arial" w:eastAsia="Arial" w:hAnsi="Arial"/>
                <w:sz w:val="16"/>
                <w:szCs w:val="16"/>
                <w:color w:val="auto"/>
              </w:rPr>
              <w:t>alliance goals are not</w:t>
            </w:r>
          </w:p>
        </w:tc>
        <w:tc>
          <w:tcPr>
            <w:tcW w:w="220" w:type="dxa"/>
            <w:vAlign w:val="bottom"/>
            <w:shd w:val="clear" w:color="auto" w:fill="E8F0F8"/>
          </w:tcPr>
          <w:p>
            <w:pPr>
              <w:spacing w:after="0"/>
              <w:rPr>
                <w:sz w:val="6"/>
                <w:szCs w:val="6"/>
                <w:color w:val="auto"/>
              </w:rPr>
            </w:pPr>
          </w:p>
        </w:tc>
        <w:tc>
          <w:tcPr>
            <w:tcW w:w="860" w:type="dxa"/>
            <w:vAlign w:val="bottom"/>
            <w:vMerge w:val="continue"/>
            <w:shd w:val="clear" w:color="auto" w:fill="E8F0F8"/>
          </w:tcPr>
          <w:p>
            <w:pPr>
              <w:spacing w:after="0"/>
              <w:rPr>
                <w:sz w:val="6"/>
                <w:szCs w:val="6"/>
                <w:color w:val="auto"/>
              </w:rPr>
            </w:pPr>
          </w:p>
        </w:tc>
        <w:tc>
          <w:tcPr>
            <w:tcW w:w="940" w:type="dxa"/>
            <w:vAlign w:val="bottom"/>
            <w:vMerge w:val="restart"/>
            <w:shd w:val="clear" w:color="auto" w:fill="E8F0F8"/>
          </w:tcPr>
          <w:p>
            <w:pPr>
              <w:jc w:val="right"/>
              <w:ind w:right="41"/>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100" w:type="dxa"/>
            <w:vAlign w:val="bottom"/>
            <w:vMerge w:val="continue"/>
            <w:shd w:val="clear" w:color="auto" w:fill="E8F0F8"/>
          </w:tcPr>
          <w:p>
            <w:pPr>
              <w:spacing w:after="0"/>
              <w:rPr>
                <w:sz w:val="9"/>
                <w:szCs w:val="9"/>
                <w:color w:val="auto"/>
              </w:rPr>
            </w:pPr>
          </w:p>
        </w:tc>
        <w:tc>
          <w:tcPr>
            <w:tcW w:w="860" w:type="dxa"/>
            <w:vAlign w:val="bottom"/>
            <w:vMerge w:val="continue"/>
            <w:shd w:val="clear" w:color="auto" w:fill="E8F0F8"/>
          </w:tcPr>
          <w:p>
            <w:pPr>
              <w:spacing w:after="0"/>
              <w:rPr>
                <w:sz w:val="9"/>
                <w:szCs w:val="9"/>
                <w:color w:val="auto"/>
              </w:rPr>
            </w:pPr>
          </w:p>
        </w:tc>
        <w:tc>
          <w:tcPr>
            <w:tcW w:w="300" w:type="dxa"/>
            <w:vAlign w:val="bottom"/>
            <w:shd w:val="clear" w:color="auto" w:fill="E8F0F8"/>
          </w:tcPr>
          <w:p>
            <w:pPr>
              <w:spacing w:after="0"/>
              <w:rPr>
                <w:sz w:val="9"/>
                <w:szCs w:val="9"/>
                <w:color w:val="auto"/>
              </w:rPr>
            </w:pPr>
          </w:p>
        </w:tc>
        <w:tc>
          <w:tcPr>
            <w:tcW w:w="2740" w:type="dxa"/>
            <w:vAlign w:val="bottom"/>
            <w:gridSpan w:val="5"/>
            <w:vMerge w:val="continue"/>
            <w:shd w:val="clear" w:color="auto" w:fill="E8F0F8"/>
          </w:tcPr>
          <w:p>
            <w:pPr>
              <w:spacing w:after="0"/>
              <w:rPr>
                <w:sz w:val="9"/>
                <w:szCs w:val="9"/>
                <w:color w:val="auto"/>
              </w:rPr>
            </w:pPr>
          </w:p>
        </w:tc>
        <w:tc>
          <w:tcPr>
            <w:tcW w:w="220" w:type="dxa"/>
            <w:vAlign w:val="bottom"/>
            <w:shd w:val="clear" w:color="auto" w:fill="E8F0F8"/>
          </w:tcPr>
          <w:p>
            <w:pPr>
              <w:spacing w:after="0"/>
              <w:rPr>
                <w:sz w:val="9"/>
                <w:szCs w:val="9"/>
                <w:color w:val="auto"/>
              </w:rPr>
            </w:pPr>
          </w:p>
        </w:tc>
        <w:tc>
          <w:tcPr>
            <w:tcW w:w="860" w:type="dxa"/>
            <w:vAlign w:val="bottom"/>
            <w:vMerge w:val="restart"/>
            <w:shd w:val="clear" w:color="auto" w:fill="E8F0F8"/>
          </w:tcPr>
          <w:p>
            <w:pPr>
              <w:jc w:val="center"/>
              <w:ind w:right="145"/>
              <w:spacing w:after="0" w:line="259" w:lineRule="exact"/>
              <w:rPr>
                <w:sz w:val="20"/>
                <w:szCs w:val="20"/>
                <w:color w:val="auto"/>
              </w:rPr>
            </w:pPr>
            <w:r>
              <w:rPr>
                <w:rFonts w:ascii="Arial" w:cs="Arial" w:eastAsia="Arial" w:hAnsi="Arial"/>
                <w:sz w:val="16"/>
                <w:szCs w:val="16"/>
                <w:color w:val="auto"/>
                <w:w w:val="93"/>
              </w:rPr>
              <w:t>Goal</w:t>
            </w:r>
            <w:r>
              <w:rPr>
                <w:rFonts w:ascii="Arial" w:cs="Arial" w:eastAsia="Arial" w:hAnsi="Arial"/>
                <w:sz w:val="27"/>
                <w:szCs w:val="27"/>
                <w:color w:val="auto"/>
                <w:w w:val="93"/>
                <w:vertAlign w:val="superscript"/>
              </w:rPr>
              <w:t>(5)</w:t>
            </w:r>
          </w:p>
        </w:tc>
        <w:tc>
          <w:tcPr>
            <w:tcW w:w="940" w:type="dxa"/>
            <w:vAlign w:val="bottom"/>
            <w:vMerge w:val="continue"/>
            <w:shd w:val="clear" w:color="auto" w:fill="E8F0F8"/>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00" w:type="dxa"/>
            <w:vAlign w:val="bottom"/>
            <w:tcBorders>
              <w:bottom w:val="single" w:sz="8" w:color="E8F0F8"/>
            </w:tcBorders>
            <w:shd w:val="clear" w:color="auto" w:fill="E8F0F8"/>
          </w:tcPr>
          <w:p>
            <w:pPr>
              <w:spacing w:after="0"/>
              <w:rPr>
                <w:sz w:val="14"/>
                <w:szCs w:val="14"/>
                <w:color w:val="auto"/>
              </w:rPr>
            </w:pPr>
          </w:p>
        </w:tc>
        <w:tc>
          <w:tcPr>
            <w:tcW w:w="860" w:type="dxa"/>
            <w:vAlign w:val="bottom"/>
            <w:tcBorders>
              <w:bottom w:val="single" w:sz="8" w:color="E8F0F8"/>
            </w:tcBorders>
            <w:shd w:val="clear" w:color="auto" w:fill="E8F0F8"/>
          </w:tcPr>
          <w:p>
            <w:pPr>
              <w:spacing w:after="0"/>
              <w:rPr>
                <w:sz w:val="14"/>
                <w:szCs w:val="14"/>
                <w:color w:val="auto"/>
              </w:rPr>
            </w:pPr>
          </w:p>
        </w:tc>
        <w:tc>
          <w:tcPr>
            <w:tcW w:w="300" w:type="dxa"/>
            <w:vAlign w:val="bottom"/>
            <w:tcBorders>
              <w:bottom w:val="single" w:sz="8" w:color="E8F0F8"/>
            </w:tcBorders>
            <w:shd w:val="clear" w:color="auto" w:fill="E8F0F8"/>
          </w:tcPr>
          <w:p>
            <w:pPr>
              <w:spacing w:after="0"/>
              <w:rPr>
                <w:sz w:val="14"/>
                <w:szCs w:val="14"/>
                <w:color w:val="auto"/>
              </w:rPr>
            </w:pPr>
          </w:p>
        </w:tc>
        <w:tc>
          <w:tcPr>
            <w:tcW w:w="2740" w:type="dxa"/>
            <w:vAlign w:val="bottom"/>
            <w:tcBorders>
              <w:bottom w:val="single" w:sz="8" w:color="E8F0F8"/>
            </w:tcBorders>
            <w:gridSpan w:val="5"/>
            <w:shd w:val="clear" w:color="auto" w:fill="E8F0F8"/>
          </w:tcPr>
          <w:p>
            <w:pPr>
              <w:jc w:val="center"/>
              <w:ind w:right="61"/>
              <w:spacing w:after="0" w:line="168" w:lineRule="exact"/>
              <w:rPr>
                <w:sz w:val="20"/>
                <w:szCs w:val="20"/>
                <w:color w:val="auto"/>
              </w:rPr>
            </w:pPr>
            <w:r>
              <w:rPr>
                <w:rFonts w:ascii="Arial" w:cs="Arial" w:eastAsia="Arial" w:hAnsi="Arial"/>
                <w:sz w:val="16"/>
                <w:szCs w:val="16"/>
                <w:color w:val="auto"/>
              </w:rPr>
              <w:t>disclosed for competitive reasons</w:t>
            </w:r>
          </w:p>
        </w:tc>
        <w:tc>
          <w:tcPr>
            <w:tcW w:w="220" w:type="dxa"/>
            <w:vAlign w:val="bottom"/>
            <w:tcBorders>
              <w:bottom w:val="single" w:sz="8" w:color="E8F0F8"/>
            </w:tcBorders>
            <w:shd w:val="clear" w:color="auto" w:fill="E8F0F8"/>
          </w:tcPr>
          <w:p>
            <w:pPr>
              <w:spacing w:after="0"/>
              <w:rPr>
                <w:sz w:val="14"/>
                <w:szCs w:val="14"/>
                <w:color w:val="auto"/>
              </w:rPr>
            </w:pPr>
          </w:p>
        </w:tc>
        <w:tc>
          <w:tcPr>
            <w:tcW w:w="860" w:type="dxa"/>
            <w:vAlign w:val="bottom"/>
            <w:tcBorders>
              <w:bottom w:val="single" w:sz="8" w:color="E8F0F8"/>
            </w:tcBorders>
            <w:vMerge w:val="continue"/>
            <w:shd w:val="clear" w:color="auto" w:fill="E8F0F8"/>
          </w:tcPr>
          <w:p>
            <w:pPr>
              <w:spacing w:after="0"/>
              <w:rPr>
                <w:sz w:val="14"/>
                <w:szCs w:val="14"/>
                <w:color w:val="auto"/>
              </w:rPr>
            </w:pPr>
          </w:p>
        </w:tc>
        <w:tc>
          <w:tcPr>
            <w:tcW w:w="940" w:type="dxa"/>
            <w:vAlign w:val="bottom"/>
            <w:tcBorders>
              <w:bottom w:val="single" w:sz="8" w:color="E8F0F8"/>
            </w:tcBorders>
            <w:shd w:val="clear" w:color="auto" w:fill="E8F0F8"/>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BAD3EA"/>
          </w:tcPr>
          <w:p>
            <w:pPr>
              <w:spacing w:after="0"/>
              <w:rPr>
                <w:sz w:val="17"/>
                <w:szCs w:val="17"/>
                <w:color w:val="auto"/>
              </w:rPr>
            </w:pPr>
          </w:p>
        </w:tc>
        <w:tc>
          <w:tcPr>
            <w:tcW w:w="860" w:type="dxa"/>
            <w:vAlign w:val="bottom"/>
            <w:shd w:val="clear" w:color="auto" w:fill="BAD3EA"/>
          </w:tcPr>
          <w:p>
            <w:pPr>
              <w:spacing w:after="0"/>
              <w:rPr>
                <w:sz w:val="17"/>
                <w:szCs w:val="17"/>
                <w:color w:val="auto"/>
              </w:rPr>
            </w:pPr>
          </w:p>
        </w:tc>
        <w:tc>
          <w:tcPr>
            <w:tcW w:w="300" w:type="dxa"/>
            <w:vAlign w:val="bottom"/>
            <w:shd w:val="clear" w:color="auto" w:fill="BAD3EA"/>
          </w:tcPr>
          <w:p>
            <w:pPr>
              <w:spacing w:after="0"/>
              <w:rPr>
                <w:sz w:val="17"/>
                <w:szCs w:val="17"/>
                <w:color w:val="auto"/>
              </w:rPr>
            </w:pPr>
          </w:p>
        </w:tc>
        <w:tc>
          <w:tcPr>
            <w:tcW w:w="660" w:type="dxa"/>
            <w:vAlign w:val="bottom"/>
            <w:shd w:val="clear" w:color="auto" w:fill="BAD3EA"/>
          </w:tcPr>
          <w:p>
            <w:pPr>
              <w:spacing w:after="0"/>
              <w:rPr>
                <w:sz w:val="17"/>
                <w:szCs w:val="17"/>
                <w:color w:val="auto"/>
              </w:rPr>
            </w:pPr>
          </w:p>
        </w:tc>
        <w:tc>
          <w:tcPr>
            <w:tcW w:w="320" w:type="dxa"/>
            <w:vAlign w:val="bottom"/>
            <w:shd w:val="clear" w:color="auto" w:fill="BAD3EA"/>
          </w:tcPr>
          <w:p>
            <w:pPr>
              <w:spacing w:after="0"/>
              <w:rPr>
                <w:sz w:val="17"/>
                <w:szCs w:val="17"/>
                <w:color w:val="auto"/>
              </w:rPr>
            </w:pPr>
          </w:p>
        </w:tc>
        <w:tc>
          <w:tcPr>
            <w:tcW w:w="760" w:type="dxa"/>
            <w:vAlign w:val="bottom"/>
            <w:shd w:val="clear" w:color="auto" w:fill="BAD3EA"/>
          </w:tcPr>
          <w:p>
            <w:pPr>
              <w:spacing w:after="0"/>
              <w:rPr>
                <w:sz w:val="17"/>
                <w:szCs w:val="17"/>
                <w:color w:val="auto"/>
              </w:rPr>
            </w:pPr>
          </w:p>
        </w:tc>
        <w:tc>
          <w:tcPr>
            <w:tcW w:w="220" w:type="dxa"/>
            <w:vAlign w:val="bottom"/>
            <w:shd w:val="clear" w:color="auto" w:fill="BAD3EA"/>
          </w:tcPr>
          <w:p>
            <w:pPr>
              <w:spacing w:after="0"/>
              <w:rPr>
                <w:sz w:val="17"/>
                <w:szCs w:val="17"/>
                <w:color w:val="auto"/>
              </w:rPr>
            </w:pPr>
          </w:p>
        </w:tc>
        <w:tc>
          <w:tcPr>
            <w:tcW w:w="1860" w:type="dxa"/>
            <w:vAlign w:val="bottom"/>
            <w:gridSpan w:val="3"/>
            <w:shd w:val="clear" w:color="auto" w:fill="BAD3EA"/>
          </w:tcPr>
          <w:p>
            <w:pPr>
              <w:jc w:val="right"/>
              <w:ind w:right="145"/>
              <w:spacing w:after="0"/>
              <w:rPr>
                <w:sz w:val="20"/>
                <w:szCs w:val="20"/>
                <w:color w:val="auto"/>
              </w:rPr>
            </w:pPr>
            <w:r>
              <w:rPr>
                <w:rFonts w:ascii="Arial" w:cs="Arial" w:eastAsia="Arial" w:hAnsi="Arial"/>
                <w:sz w:val="16"/>
                <w:szCs w:val="16"/>
                <w:b w:val="1"/>
                <w:bCs w:val="1"/>
                <w:color w:val="auto"/>
              </w:rPr>
              <w:t>Company Multiplier</w:t>
            </w:r>
          </w:p>
        </w:tc>
        <w:tc>
          <w:tcPr>
            <w:tcW w:w="940" w:type="dxa"/>
            <w:vAlign w:val="bottom"/>
            <w:shd w:val="clear" w:color="auto" w:fill="BAD3EA"/>
          </w:tcPr>
          <w:p>
            <w:pPr>
              <w:jc w:val="right"/>
              <w:spacing w:after="0"/>
              <w:rPr>
                <w:sz w:val="20"/>
                <w:szCs w:val="20"/>
                <w:color w:val="auto"/>
              </w:rPr>
            </w:pPr>
            <w:r>
              <w:rPr>
                <w:rFonts w:ascii="Arial" w:cs="Arial" w:eastAsia="Arial" w:hAnsi="Arial"/>
                <w:sz w:val="16"/>
                <w:szCs w:val="16"/>
                <w:color w:val="auto"/>
              </w:rPr>
              <w:t>131.0%*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200"/>
        <w:spacing w:after="0"/>
        <w:tabs>
          <w:tab w:leader="none" w:pos="400" w:val="left"/>
        </w:tabs>
        <w:rPr>
          <w:sz w:val="20"/>
          <w:szCs w:val="20"/>
          <w:color w:val="auto"/>
        </w:rPr>
      </w:pPr>
      <w:r>
        <w:rPr>
          <w:rFonts w:ascii="Arial" w:cs="Arial" w:eastAsia="Arial" w:hAnsi="Arial"/>
          <w:sz w:val="14"/>
          <w:szCs w:val="14"/>
          <w:color w:val="auto"/>
        </w:rPr>
        <w:t>*</w:t>
        <w:tab/>
        <w:t>Numbers may not recalculate due to rounding.</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Notes to 2018 Annual Bonus Plan Company Performance Targets and Results Table</w:t>
      </w:r>
    </w:p>
    <w:p>
      <w:pPr>
        <w:spacing w:after="0" w:line="146" w:lineRule="exact"/>
        <w:rPr>
          <w:sz w:val="20"/>
          <w:szCs w:val="20"/>
          <w:color w:val="auto"/>
        </w:rPr>
      </w:pPr>
    </w:p>
    <w:p>
      <w:pPr>
        <w:ind w:left="420" w:right="60" w:hanging="216"/>
        <w:spacing w:after="0" w:line="245" w:lineRule="auto"/>
        <w:tabs>
          <w:tab w:leader="none" w:pos="4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These financial measures were based on our publicly reported revenues of $13,453 million and our publicly announced Non-GAAP diluted EPS of $26.20, as adjusted as follows: for purposes of our 2018 annual bonus plan, revenues and Non-GAAP diluted EPS were adjusted to neutralize the effects of foreign exchange rate fluctuations. Non-GAAP diluted EPS was further adjusted to add back $1.21 to reflect the impact of additional research and development expense recognized in 2018 resulting from the 2018 Ionis Agreement and $0.07 to neutralize the unfavorable impact of the worldwide withdrawal of ZINBRYTA, partially offset by the subtraction of $0.59 related to higher than originally contemplated stock repurchases in 2018, as these charges were not originally contemplated at the time the Company performance goals were determined.</w:t>
      </w:r>
    </w:p>
    <w:p>
      <w:pPr>
        <w:spacing w:after="0" w:line="272" w:lineRule="exact"/>
        <w:rPr>
          <w:rFonts w:ascii="Arial" w:cs="Arial" w:eastAsia="Arial" w:hAnsi="Arial"/>
          <w:sz w:val="14"/>
          <w:szCs w:val="14"/>
          <w:color w:val="auto"/>
        </w:rPr>
      </w:pPr>
    </w:p>
    <w:p>
      <w:pPr>
        <w:ind w:left="420" w:right="240" w:hanging="216"/>
        <w:spacing w:after="0" w:line="258" w:lineRule="auto"/>
        <w:tabs>
          <w:tab w:leader="none" w:pos="4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Achievement of market goals for MS was below goal and achievement of MS leader and market goals for SMA were above goals. Specific details are not disclosed for competitive reasons.</w:t>
      </w:r>
    </w:p>
    <w:p>
      <w:pPr>
        <w:spacing w:after="0" w:line="99" w:lineRule="exact"/>
        <w:rPr>
          <w:rFonts w:ascii="Arial" w:cs="Arial" w:eastAsia="Arial" w:hAnsi="Arial"/>
          <w:sz w:val="14"/>
          <w:szCs w:val="14"/>
          <w:color w:val="auto"/>
        </w:rPr>
      </w:pPr>
    </w:p>
    <w:p>
      <w:pPr>
        <w:ind w:left="420" w:right="20" w:hanging="216"/>
        <w:spacing w:after="0" w:line="250" w:lineRule="auto"/>
        <w:tabs>
          <w:tab w:leader="none" w:pos="4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Company continued to expand and re-shape its pipeline of pre-clinical and clinical stage programs through the advancement of internal programs, external business development activities and exceeding expectations with respect to the level of confidence in and momentum of its clinical stage portfolio. Specific details are not disclosed for competitive reasons.</w:t>
      </w:r>
    </w:p>
    <w:p>
      <w:pPr>
        <w:spacing w:after="0" w:line="104" w:lineRule="exact"/>
        <w:rPr>
          <w:rFonts w:ascii="Arial" w:cs="Arial" w:eastAsia="Arial" w:hAnsi="Arial"/>
          <w:sz w:val="14"/>
          <w:szCs w:val="14"/>
          <w:color w:val="auto"/>
        </w:rPr>
      </w:pPr>
    </w:p>
    <w:p>
      <w:pPr>
        <w:ind w:left="420" w:hanging="216"/>
        <w:spacing w:after="0"/>
        <w:tabs>
          <w:tab w:leader="none" w:pos="4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Aducanumab Phase 3 clinical trial patient enrollment was above goal. Specific details are not disclosed for competitive reasons.</w:t>
      </w:r>
    </w:p>
    <w:p>
      <w:pPr>
        <w:spacing w:after="0" w:line="122" w:lineRule="exact"/>
        <w:rPr>
          <w:rFonts w:ascii="Arial" w:cs="Arial" w:eastAsia="Arial" w:hAnsi="Arial"/>
          <w:sz w:val="14"/>
          <w:szCs w:val="14"/>
          <w:color w:val="auto"/>
        </w:rPr>
      </w:pPr>
    </w:p>
    <w:p>
      <w:pPr>
        <w:ind w:left="420" w:hanging="216"/>
        <w:spacing w:after="0"/>
        <w:tabs>
          <w:tab w:leader="none" w:pos="4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Key strategic alliance and acquisition activities were above goal. Specific details are not disclosed for competitive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83820</wp:posOffset>
            </wp:positionV>
            <wp:extent cx="685800" cy="15430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-62865</wp:posOffset>
            </wp:positionV>
            <wp:extent cx="102870" cy="946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7" w:lineRule="exact"/>
        <w:rPr>
          <w:sz w:val="20"/>
          <w:szCs w:val="20"/>
          <w:color w:val="auto"/>
        </w:rPr>
      </w:pPr>
    </w:p>
    <w:p>
      <w:pPr>
        <w:ind w:left="460"/>
        <w:spacing w:after="0"/>
        <w:rPr>
          <w:sz w:val="20"/>
          <w:szCs w:val="20"/>
          <w:color w:val="auto"/>
        </w:rPr>
      </w:pPr>
      <w:r>
        <w:rPr>
          <w:rFonts w:ascii="Arial" w:cs="Arial" w:eastAsia="Arial" w:hAnsi="Arial"/>
          <w:sz w:val="88"/>
          <w:szCs w:val="88"/>
          <w:color w:val="1A6DBB"/>
        </w:rPr>
        <w:t xml:space="preserve">5 </w:t>
      </w:r>
      <w:r>
        <w:rPr>
          <w:rFonts w:ascii="Arial" w:cs="Arial" w:eastAsia="Arial" w:hAnsi="Arial"/>
          <w:sz w:val="40"/>
          <w:szCs w:val="40"/>
          <w:color w:val="1A6DBB"/>
        </w:rPr>
        <w:t>Executive Compensation Matters</w:t>
      </w:r>
      <w:r>
        <w:rPr>
          <w:rFonts w:ascii="Arial" w:cs="Arial" w:eastAsia="Arial" w:hAnsi="Arial"/>
          <w:sz w:val="88"/>
          <w:szCs w:val="88"/>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65"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427F3D"/>
        </w:rPr>
        <w:t>2018 Individual Performance Goals and Results</w:t>
      </w:r>
    </w:p>
    <w:p>
      <w:pPr>
        <w:spacing w:after="0" w:line="129" w:lineRule="exact"/>
        <w:rPr>
          <w:sz w:val="20"/>
          <w:szCs w:val="20"/>
          <w:color w:val="auto"/>
        </w:rPr>
      </w:pPr>
    </w:p>
    <w:p>
      <w:pPr>
        <w:ind w:left="220"/>
        <w:spacing w:after="0" w:line="247" w:lineRule="auto"/>
        <w:rPr>
          <w:sz w:val="20"/>
          <w:szCs w:val="20"/>
          <w:color w:val="auto"/>
        </w:rPr>
      </w:pPr>
      <w:r>
        <w:rPr>
          <w:rFonts w:ascii="Arial" w:cs="Arial" w:eastAsia="Arial" w:hAnsi="Arial"/>
          <w:sz w:val="16"/>
          <w:szCs w:val="16"/>
          <w:color w:val="auto"/>
        </w:rPr>
        <w:t>The Individual Multiplier reflects each named executive officer’s overall individual performance rating as part of our performance assessment process. Unlike our formulaic calculation of corporate performance against Company performance goals in determining the Company Multiplier, each named executive officer’s Individual Multiplier is based on a subjective evaluation of his or her overall performance and consideration of the achievement of individual goals established at the beginning of the year. Goals may be both quantitative and qualitative. For 2018 Mr. Vounatsos recommended to our C&amp;MD Committee an Individual Multiplier for each named executive officer other than himself based on his assessment of their individual contributions for the full year. Our C&amp;MD Committee considered all of the information presented, discussed our CEO’s recommendations with him and its independent compensation consultant and applied its judgment to determine the Individual Multiplier for each named executive officer. Our Board of Directors determined Mr. Vounatsos’ Individual Multiplier based on its assessment of his performance.</w:t>
      </w:r>
    </w:p>
    <w:p>
      <w:pPr>
        <w:spacing w:after="0" w:line="103" w:lineRule="exact"/>
        <w:rPr>
          <w:sz w:val="20"/>
          <w:szCs w:val="20"/>
          <w:color w:val="auto"/>
        </w:rPr>
      </w:pPr>
    </w:p>
    <w:p>
      <w:pPr>
        <w:jc w:val="both"/>
        <w:ind w:left="220" w:right="100"/>
        <w:spacing w:after="0" w:line="253" w:lineRule="auto"/>
        <w:rPr>
          <w:sz w:val="20"/>
          <w:szCs w:val="20"/>
          <w:color w:val="auto"/>
        </w:rPr>
      </w:pPr>
      <w:r>
        <w:rPr>
          <w:rFonts w:ascii="Arial" w:cs="Arial" w:eastAsia="Arial" w:hAnsi="Arial"/>
          <w:sz w:val="16"/>
          <w:szCs w:val="16"/>
          <w:color w:val="auto"/>
        </w:rPr>
        <w:t>In its evaluation, our C&amp;MD Committee assigned Individual Multipliers to our named executive officers of between 115% and 140% based on the following accomplishments during 2018:</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6"/>
          <w:szCs w:val="16"/>
          <w:color w:val="427F3D"/>
        </w:rPr>
        <w:t>Michel Vounatsos</w:t>
      </w:r>
    </w:p>
    <w:p>
      <w:pPr>
        <w:spacing w:after="0" w:line="127" w:lineRule="exact"/>
        <w:rPr>
          <w:sz w:val="20"/>
          <w:szCs w:val="20"/>
          <w:color w:val="auto"/>
        </w:rPr>
      </w:pPr>
    </w:p>
    <w:p>
      <w:pPr>
        <w:jc w:val="both"/>
        <w:ind w:left="460" w:right="40" w:hanging="249"/>
        <w:spacing w:after="0" w:line="246" w:lineRule="auto"/>
        <w:tabs>
          <w:tab w:leader="none" w:pos="460" w:val="left"/>
        </w:tabs>
        <w:numPr>
          <w:ilvl w:val="0"/>
          <w:numId w:val="111"/>
        </w:numPr>
        <w:rPr>
          <w:rFonts w:ascii="Arial" w:cs="Arial" w:eastAsia="Arial" w:hAnsi="Arial"/>
          <w:sz w:val="16"/>
          <w:szCs w:val="16"/>
          <w:color w:val="1A6DBB"/>
        </w:rPr>
      </w:pPr>
      <w:r>
        <w:rPr>
          <w:rFonts w:ascii="Arial" w:cs="Arial" w:eastAsia="Arial" w:hAnsi="Arial"/>
          <w:sz w:val="16"/>
          <w:szCs w:val="16"/>
          <w:color w:val="auto"/>
        </w:rPr>
        <w:t>Contributed to the achievement of record revenues of $13,453 million and $26.20 Non-GAAP diluted EPS for the year ended December 31, 2018, versus targets of $12,780 million and $24.74, respectively.</w:t>
      </w:r>
    </w:p>
    <w:p>
      <w:pPr>
        <w:spacing w:after="0" w:line="1" w:lineRule="exact"/>
        <w:rPr>
          <w:rFonts w:ascii="Arial" w:cs="Arial" w:eastAsia="Arial" w:hAnsi="Arial"/>
          <w:sz w:val="16"/>
          <w:szCs w:val="16"/>
          <w:color w:val="1A6DBB"/>
        </w:rPr>
      </w:pPr>
    </w:p>
    <w:p>
      <w:pPr>
        <w:ind w:left="460" w:right="600" w:hanging="249"/>
        <w:spacing w:after="0" w:line="246" w:lineRule="auto"/>
        <w:tabs>
          <w:tab w:leader="none" w:pos="460" w:val="left"/>
        </w:tabs>
        <w:numPr>
          <w:ilvl w:val="0"/>
          <w:numId w:val="111"/>
        </w:numPr>
        <w:rPr>
          <w:rFonts w:ascii="Arial" w:cs="Arial" w:eastAsia="Arial" w:hAnsi="Arial"/>
          <w:sz w:val="16"/>
          <w:szCs w:val="16"/>
          <w:color w:val="1A6DBB"/>
        </w:rPr>
      </w:pPr>
      <w:r>
        <w:rPr>
          <w:rFonts w:ascii="Arial" w:cs="Arial" w:eastAsia="Arial" w:hAnsi="Arial"/>
          <w:sz w:val="16"/>
          <w:szCs w:val="16"/>
          <w:color w:val="auto"/>
        </w:rPr>
        <w:t>Excelled in leading the Company in achieving its financial and business development goals.</w:t>
      </w:r>
    </w:p>
    <w:p>
      <w:pPr>
        <w:ind w:left="460" w:right="200" w:hanging="249"/>
        <w:spacing w:after="0" w:line="246" w:lineRule="auto"/>
        <w:tabs>
          <w:tab w:leader="none" w:pos="460" w:val="left"/>
        </w:tabs>
        <w:numPr>
          <w:ilvl w:val="0"/>
          <w:numId w:val="111"/>
        </w:numPr>
        <w:rPr>
          <w:rFonts w:ascii="Arial" w:cs="Arial" w:eastAsia="Arial" w:hAnsi="Arial"/>
          <w:sz w:val="16"/>
          <w:szCs w:val="16"/>
          <w:color w:val="1A6DBB"/>
        </w:rPr>
      </w:pPr>
      <w:r>
        <w:rPr>
          <w:rFonts w:ascii="Arial" w:cs="Arial" w:eastAsia="Arial" w:hAnsi="Arial"/>
          <w:sz w:val="16"/>
          <w:szCs w:val="16"/>
          <w:color w:val="auto"/>
        </w:rPr>
        <w:t>Added substantial value to our business development activities and the diversification of our pipeline.</w:t>
      </w:r>
    </w:p>
    <w:p>
      <w:pPr>
        <w:ind w:left="460" w:right="200" w:hanging="249"/>
        <w:spacing w:after="0" w:line="246" w:lineRule="auto"/>
        <w:tabs>
          <w:tab w:leader="none" w:pos="460" w:val="left"/>
        </w:tabs>
        <w:numPr>
          <w:ilvl w:val="0"/>
          <w:numId w:val="111"/>
        </w:numPr>
        <w:rPr>
          <w:rFonts w:ascii="Arial" w:cs="Arial" w:eastAsia="Arial" w:hAnsi="Arial"/>
          <w:sz w:val="16"/>
          <w:szCs w:val="16"/>
          <w:color w:val="1A6DBB"/>
        </w:rPr>
      </w:pPr>
      <w:r>
        <w:rPr>
          <w:rFonts w:ascii="Arial" w:cs="Arial" w:eastAsia="Arial" w:hAnsi="Arial"/>
          <w:sz w:val="16"/>
          <w:szCs w:val="16"/>
          <w:color w:val="auto"/>
        </w:rPr>
        <w:t>Contributed significantly to the demonstrated resilience in our MS business, the continued successful launch of SPINRAZA worldwide and the significant progress made in our biosimilars business.</w:t>
      </w:r>
    </w:p>
    <w:p>
      <w:pPr>
        <w:spacing w:after="0" w:line="1" w:lineRule="exact"/>
        <w:rPr>
          <w:rFonts w:ascii="Arial" w:cs="Arial" w:eastAsia="Arial" w:hAnsi="Arial"/>
          <w:sz w:val="16"/>
          <w:szCs w:val="16"/>
          <w:color w:val="1A6DBB"/>
        </w:rPr>
      </w:pPr>
    </w:p>
    <w:p>
      <w:pPr>
        <w:ind w:left="460" w:right="140" w:hanging="249"/>
        <w:spacing w:after="0" w:line="253" w:lineRule="auto"/>
        <w:tabs>
          <w:tab w:leader="none" w:pos="460" w:val="left"/>
        </w:tabs>
        <w:numPr>
          <w:ilvl w:val="0"/>
          <w:numId w:val="111"/>
        </w:numPr>
        <w:rPr>
          <w:rFonts w:ascii="Arial" w:cs="Arial" w:eastAsia="Arial" w:hAnsi="Arial"/>
          <w:sz w:val="16"/>
          <w:szCs w:val="16"/>
          <w:color w:val="1A6DBB"/>
        </w:rPr>
      </w:pPr>
      <w:r>
        <w:rPr>
          <w:rFonts w:ascii="Arial" w:cs="Arial" w:eastAsia="Arial" w:hAnsi="Arial"/>
          <w:sz w:val="16"/>
          <w:szCs w:val="16"/>
          <w:color w:val="auto"/>
        </w:rPr>
        <w:t>Drove our ongoing improvements in our core processes to improve operating efficiencies, capital allocation and asset optimization while adhering to our core values.</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6"/>
          <w:szCs w:val="16"/>
          <w:color w:val="427F3D"/>
        </w:rPr>
        <w:t>Jeffrey D. Capello</w:t>
      </w:r>
    </w:p>
    <w:p>
      <w:pPr>
        <w:spacing w:after="0" w:line="127" w:lineRule="exact"/>
        <w:rPr>
          <w:sz w:val="20"/>
          <w:szCs w:val="20"/>
          <w:color w:val="auto"/>
        </w:rPr>
      </w:pPr>
    </w:p>
    <w:p>
      <w:pPr>
        <w:jc w:val="both"/>
        <w:ind w:left="460" w:right="40" w:hanging="249"/>
        <w:spacing w:after="0" w:line="253" w:lineRule="auto"/>
        <w:tabs>
          <w:tab w:leader="none" w:pos="460" w:val="left"/>
        </w:tabs>
        <w:numPr>
          <w:ilvl w:val="0"/>
          <w:numId w:val="112"/>
        </w:numPr>
        <w:rPr>
          <w:rFonts w:ascii="Arial" w:cs="Arial" w:eastAsia="Arial" w:hAnsi="Arial"/>
          <w:sz w:val="16"/>
          <w:szCs w:val="16"/>
          <w:color w:val="1A6DBB"/>
        </w:rPr>
      </w:pPr>
      <w:r>
        <w:rPr>
          <w:rFonts w:ascii="Arial" w:cs="Arial" w:eastAsia="Arial" w:hAnsi="Arial"/>
          <w:sz w:val="16"/>
          <w:szCs w:val="16"/>
          <w:color w:val="auto"/>
        </w:rPr>
        <w:t>Contributed to the achievement of record revenues of $13,453 million and $26.20 Non-GAAP diluted EPS for the year ended December 31, 2018, versus targets of $12,780 million and $24.74,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367030</wp:posOffset>
            </wp:positionV>
            <wp:extent cx="685800" cy="15430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ind w:left="260" w:right="180" w:hanging="256"/>
        <w:spacing w:after="0" w:line="246" w:lineRule="auto"/>
        <w:tabs>
          <w:tab w:leader="none" w:pos="260" w:val="left"/>
        </w:tabs>
        <w:numPr>
          <w:ilvl w:val="0"/>
          <w:numId w:val="113"/>
        </w:numPr>
        <w:rPr>
          <w:rFonts w:ascii="Arial" w:cs="Arial" w:eastAsia="Arial" w:hAnsi="Arial"/>
          <w:sz w:val="16"/>
          <w:szCs w:val="16"/>
          <w:color w:val="1A6DBB"/>
        </w:rPr>
      </w:pPr>
      <w:r>
        <w:rPr>
          <w:rFonts w:ascii="Arial" w:cs="Arial" w:eastAsia="Arial" w:hAnsi="Arial"/>
          <w:sz w:val="16"/>
          <w:szCs w:val="16"/>
          <w:color w:val="auto"/>
        </w:rPr>
        <w:t>Significantly improved our Finance organization structure and key processes, including improved financial forecasting and planning and tax and treasury planning.</w:t>
      </w:r>
    </w:p>
    <w:p>
      <w:pPr>
        <w:spacing w:after="0" w:line="1" w:lineRule="exact"/>
        <w:rPr>
          <w:rFonts w:ascii="Arial" w:cs="Arial" w:eastAsia="Arial" w:hAnsi="Arial"/>
          <w:sz w:val="16"/>
          <w:szCs w:val="16"/>
          <w:color w:val="1A6DBB"/>
        </w:rPr>
      </w:pPr>
    </w:p>
    <w:p>
      <w:pPr>
        <w:ind w:left="260" w:right="20" w:hanging="256"/>
        <w:spacing w:after="0" w:line="246" w:lineRule="auto"/>
        <w:tabs>
          <w:tab w:leader="none" w:pos="260" w:val="left"/>
        </w:tabs>
        <w:numPr>
          <w:ilvl w:val="0"/>
          <w:numId w:val="113"/>
        </w:numPr>
        <w:rPr>
          <w:rFonts w:ascii="Arial" w:cs="Arial" w:eastAsia="Arial" w:hAnsi="Arial"/>
          <w:sz w:val="16"/>
          <w:szCs w:val="16"/>
          <w:color w:val="1A6DBB"/>
        </w:rPr>
      </w:pPr>
      <w:r>
        <w:rPr>
          <w:rFonts w:ascii="Arial" w:cs="Arial" w:eastAsia="Arial" w:hAnsi="Arial"/>
          <w:sz w:val="16"/>
          <w:szCs w:val="16"/>
          <w:color w:val="auto"/>
        </w:rPr>
        <w:t>Added substantial value to our business development activities and the diversification of our pipeline.</w:t>
      </w:r>
    </w:p>
    <w:p>
      <w:pPr>
        <w:ind w:left="260" w:hanging="256"/>
        <w:spacing w:after="0" w:line="246" w:lineRule="auto"/>
        <w:tabs>
          <w:tab w:leader="none" w:pos="260" w:val="left"/>
        </w:tabs>
        <w:numPr>
          <w:ilvl w:val="0"/>
          <w:numId w:val="113"/>
        </w:numPr>
        <w:rPr>
          <w:rFonts w:ascii="Arial" w:cs="Arial" w:eastAsia="Arial" w:hAnsi="Arial"/>
          <w:sz w:val="16"/>
          <w:szCs w:val="16"/>
          <w:color w:val="1A6DBB"/>
        </w:rPr>
      </w:pPr>
      <w:r>
        <w:rPr>
          <w:rFonts w:ascii="Arial" w:cs="Arial" w:eastAsia="Arial" w:hAnsi="Arial"/>
          <w:sz w:val="16"/>
          <w:szCs w:val="16"/>
          <w:color w:val="auto"/>
        </w:rPr>
        <w:t>Contributed to the return of approximately $4.4 billion to stockholders in 2018 through share repurchases under our 2018 Share Repurchase Program and 2016 Share Repurchase Program.</w:t>
      </w:r>
    </w:p>
    <w:p>
      <w:pPr>
        <w:spacing w:after="0" w:line="1" w:lineRule="exact"/>
        <w:rPr>
          <w:rFonts w:ascii="Arial" w:cs="Arial" w:eastAsia="Arial" w:hAnsi="Arial"/>
          <w:sz w:val="16"/>
          <w:szCs w:val="16"/>
          <w:color w:val="1A6DBB"/>
        </w:rPr>
      </w:pPr>
    </w:p>
    <w:p>
      <w:pPr>
        <w:ind w:left="260" w:right="760" w:hanging="256"/>
        <w:spacing w:after="0" w:line="246" w:lineRule="auto"/>
        <w:tabs>
          <w:tab w:leader="none" w:pos="260" w:val="left"/>
        </w:tabs>
        <w:numPr>
          <w:ilvl w:val="0"/>
          <w:numId w:val="113"/>
        </w:numPr>
        <w:rPr>
          <w:rFonts w:ascii="Arial" w:cs="Arial" w:eastAsia="Arial" w:hAnsi="Arial"/>
          <w:sz w:val="16"/>
          <w:szCs w:val="16"/>
          <w:color w:val="1A6DBB"/>
        </w:rPr>
      </w:pPr>
      <w:r>
        <w:rPr>
          <w:rFonts w:ascii="Arial" w:cs="Arial" w:eastAsia="Arial" w:hAnsi="Arial"/>
          <w:sz w:val="16"/>
          <w:szCs w:val="16"/>
          <w:color w:val="auto"/>
        </w:rPr>
        <w:t>Contributed to excellent interactions with investors leading to transparent and trusted dialogue.</w:t>
      </w:r>
    </w:p>
    <w:p>
      <w:pPr>
        <w:ind w:left="260" w:right="240" w:hanging="256"/>
        <w:spacing w:after="0" w:line="246" w:lineRule="auto"/>
        <w:tabs>
          <w:tab w:leader="none" w:pos="260" w:val="left"/>
        </w:tabs>
        <w:numPr>
          <w:ilvl w:val="0"/>
          <w:numId w:val="113"/>
        </w:numPr>
        <w:rPr>
          <w:rFonts w:ascii="Arial" w:cs="Arial" w:eastAsia="Arial" w:hAnsi="Arial"/>
          <w:sz w:val="16"/>
          <w:szCs w:val="16"/>
          <w:color w:val="1A6DBB"/>
        </w:rPr>
      </w:pPr>
      <w:r>
        <w:rPr>
          <w:rFonts w:ascii="Arial" w:cs="Arial" w:eastAsia="Arial" w:hAnsi="Arial"/>
          <w:sz w:val="16"/>
          <w:szCs w:val="16"/>
          <w:color w:val="auto"/>
        </w:rPr>
        <w:t>Contributed to improvements in our core processes to improve operating efficiencies, capital allocation and asset optimization while adhering to our core values.</w:t>
      </w:r>
    </w:p>
    <w:p>
      <w:pPr>
        <w:spacing w:after="0" w:line="1" w:lineRule="exact"/>
        <w:rPr>
          <w:rFonts w:ascii="Arial" w:cs="Arial" w:eastAsia="Arial" w:hAnsi="Arial"/>
          <w:sz w:val="16"/>
          <w:szCs w:val="16"/>
          <w:color w:val="1A6DBB"/>
        </w:rPr>
      </w:pPr>
    </w:p>
    <w:p>
      <w:pPr>
        <w:ind w:left="260" w:hanging="256"/>
        <w:spacing w:after="0"/>
        <w:tabs>
          <w:tab w:leader="none" w:pos="260" w:val="left"/>
        </w:tabs>
        <w:numPr>
          <w:ilvl w:val="0"/>
          <w:numId w:val="113"/>
        </w:numPr>
        <w:rPr>
          <w:rFonts w:ascii="Arial" w:cs="Arial" w:eastAsia="Arial" w:hAnsi="Arial"/>
          <w:sz w:val="16"/>
          <w:szCs w:val="16"/>
          <w:color w:val="1A6DBB"/>
        </w:rPr>
      </w:pPr>
      <w:r>
        <w:rPr>
          <w:rFonts w:ascii="Arial" w:cs="Arial" w:eastAsia="Arial" w:hAnsi="Arial"/>
          <w:sz w:val="16"/>
          <w:szCs w:val="16"/>
          <w:color w:val="auto"/>
        </w:rPr>
        <w:t>Supported our Board of Directors, the CEO and executive team.</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427F3D"/>
        </w:rPr>
        <w:t>Michael Ehlers</w:t>
      </w:r>
    </w:p>
    <w:p>
      <w:pPr>
        <w:spacing w:after="0" w:line="127" w:lineRule="exact"/>
        <w:rPr>
          <w:sz w:val="20"/>
          <w:szCs w:val="20"/>
          <w:color w:val="auto"/>
        </w:rPr>
      </w:pPr>
    </w:p>
    <w:p>
      <w:pPr>
        <w:ind w:left="260" w:hanging="256"/>
        <w:spacing w:after="0"/>
        <w:tabs>
          <w:tab w:leader="none" w:pos="260" w:val="left"/>
        </w:tabs>
        <w:numPr>
          <w:ilvl w:val="0"/>
          <w:numId w:val="114"/>
        </w:numPr>
        <w:rPr>
          <w:rFonts w:ascii="Arial" w:cs="Arial" w:eastAsia="Arial" w:hAnsi="Arial"/>
          <w:sz w:val="16"/>
          <w:szCs w:val="16"/>
          <w:color w:val="1A6DBB"/>
        </w:rPr>
      </w:pPr>
      <w:r>
        <w:rPr>
          <w:rFonts w:ascii="Arial" w:cs="Arial" w:eastAsia="Arial" w:hAnsi="Arial"/>
          <w:sz w:val="16"/>
          <w:szCs w:val="16"/>
          <w:color w:val="auto"/>
        </w:rPr>
        <w:t>Exceeded portfolio value and clinical development goals.</w:t>
      </w:r>
    </w:p>
    <w:p>
      <w:pPr>
        <w:spacing w:after="0" w:line="5" w:lineRule="exact"/>
        <w:rPr>
          <w:rFonts w:ascii="Arial" w:cs="Arial" w:eastAsia="Arial" w:hAnsi="Arial"/>
          <w:sz w:val="16"/>
          <w:szCs w:val="16"/>
          <w:color w:val="1A6DBB"/>
        </w:rPr>
      </w:pPr>
    </w:p>
    <w:p>
      <w:pPr>
        <w:ind w:left="260" w:hanging="256"/>
        <w:spacing w:after="0"/>
        <w:tabs>
          <w:tab w:leader="none" w:pos="260" w:val="left"/>
        </w:tabs>
        <w:numPr>
          <w:ilvl w:val="0"/>
          <w:numId w:val="114"/>
        </w:numPr>
        <w:rPr>
          <w:rFonts w:ascii="Arial" w:cs="Arial" w:eastAsia="Arial" w:hAnsi="Arial"/>
          <w:sz w:val="16"/>
          <w:szCs w:val="16"/>
          <w:color w:val="1A6DBB"/>
        </w:rPr>
      </w:pPr>
      <w:r>
        <w:rPr>
          <w:rFonts w:ascii="Arial" w:cs="Arial" w:eastAsia="Arial" w:hAnsi="Arial"/>
          <w:sz w:val="16"/>
          <w:szCs w:val="16"/>
          <w:color w:val="auto"/>
        </w:rPr>
        <w:t>Significantly progressed and developed our pipeline.</w:t>
      </w:r>
    </w:p>
    <w:p>
      <w:pPr>
        <w:spacing w:after="0" w:line="5" w:lineRule="exact"/>
        <w:rPr>
          <w:rFonts w:ascii="Arial" w:cs="Arial" w:eastAsia="Arial" w:hAnsi="Arial"/>
          <w:sz w:val="16"/>
          <w:szCs w:val="16"/>
          <w:color w:val="1A6DBB"/>
        </w:rPr>
      </w:pPr>
    </w:p>
    <w:p>
      <w:pPr>
        <w:ind w:left="260" w:right="280" w:hanging="256"/>
        <w:spacing w:after="0" w:line="246" w:lineRule="auto"/>
        <w:tabs>
          <w:tab w:leader="none" w:pos="260" w:val="left"/>
        </w:tabs>
        <w:numPr>
          <w:ilvl w:val="0"/>
          <w:numId w:val="114"/>
        </w:numPr>
        <w:rPr>
          <w:rFonts w:ascii="Arial" w:cs="Arial" w:eastAsia="Arial" w:hAnsi="Arial"/>
          <w:sz w:val="16"/>
          <w:szCs w:val="16"/>
          <w:color w:val="1A6DBB"/>
        </w:rPr>
      </w:pPr>
      <w:r>
        <w:rPr>
          <w:rFonts w:ascii="Arial" w:cs="Arial" w:eastAsia="Arial" w:hAnsi="Arial"/>
          <w:sz w:val="16"/>
          <w:szCs w:val="16"/>
          <w:color w:val="auto"/>
        </w:rPr>
        <w:t>Significantly improved our Research and Development organization structure, key processes and productivity.</w:t>
      </w:r>
    </w:p>
    <w:p>
      <w:pPr>
        <w:ind w:left="260" w:right="200" w:hanging="256"/>
        <w:spacing w:after="0" w:line="246" w:lineRule="auto"/>
        <w:tabs>
          <w:tab w:leader="none" w:pos="260" w:val="left"/>
        </w:tabs>
        <w:numPr>
          <w:ilvl w:val="0"/>
          <w:numId w:val="114"/>
        </w:numPr>
        <w:rPr>
          <w:rFonts w:ascii="Arial" w:cs="Arial" w:eastAsia="Arial" w:hAnsi="Arial"/>
          <w:sz w:val="16"/>
          <w:szCs w:val="16"/>
          <w:color w:val="1A6DBB"/>
        </w:rPr>
      </w:pPr>
      <w:r>
        <w:rPr>
          <w:rFonts w:ascii="Arial" w:cs="Arial" w:eastAsia="Arial" w:hAnsi="Arial"/>
          <w:sz w:val="16"/>
          <w:szCs w:val="16"/>
          <w:color w:val="auto"/>
        </w:rPr>
        <w:t>Added new capabilities and talent to our Research and Development organization.</w:t>
      </w:r>
    </w:p>
    <w:p>
      <w:pPr>
        <w:ind w:left="260" w:hanging="256"/>
        <w:spacing w:after="0"/>
        <w:tabs>
          <w:tab w:leader="none" w:pos="260" w:val="left"/>
        </w:tabs>
        <w:numPr>
          <w:ilvl w:val="0"/>
          <w:numId w:val="114"/>
        </w:numPr>
        <w:rPr>
          <w:rFonts w:ascii="Arial" w:cs="Arial" w:eastAsia="Arial" w:hAnsi="Arial"/>
          <w:sz w:val="16"/>
          <w:szCs w:val="16"/>
          <w:color w:val="1A6DBB"/>
        </w:rPr>
      </w:pPr>
      <w:r>
        <w:rPr>
          <w:rFonts w:ascii="Arial" w:cs="Arial" w:eastAsia="Arial" w:hAnsi="Arial"/>
          <w:sz w:val="16"/>
          <w:szCs w:val="16"/>
          <w:color w:val="auto"/>
        </w:rPr>
        <w:t>Excelled in leadership of our Research and Development organization.</w:t>
      </w:r>
    </w:p>
    <w:p>
      <w:pPr>
        <w:spacing w:after="0" w:line="5" w:lineRule="exact"/>
        <w:rPr>
          <w:rFonts w:ascii="Arial" w:cs="Arial" w:eastAsia="Arial" w:hAnsi="Arial"/>
          <w:sz w:val="16"/>
          <w:szCs w:val="16"/>
          <w:color w:val="1A6DBB"/>
        </w:rPr>
      </w:pPr>
    </w:p>
    <w:p>
      <w:pPr>
        <w:ind w:left="260" w:hanging="256"/>
        <w:spacing w:after="0"/>
        <w:tabs>
          <w:tab w:leader="none" w:pos="260" w:val="left"/>
        </w:tabs>
        <w:numPr>
          <w:ilvl w:val="0"/>
          <w:numId w:val="114"/>
        </w:numPr>
        <w:rPr>
          <w:rFonts w:ascii="Arial" w:cs="Arial" w:eastAsia="Arial" w:hAnsi="Arial"/>
          <w:sz w:val="16"/>
          <w:szCs w:val="16"/>
          <w:color w:val="1A6DBB"/>
        </w:rPr>
      </w:pPr>
      <w:r>
        <w:rPr>
          <w:rFonts w:ascii="Arial" w:cs="Arial" w:eastAsia="Arial" w:hAnsi="Arial"/>
          <w:sz w:val="16"/>
          <w:szCs w:val="16"/>
          <w:color w:val="auto"/>
        </w:rPr>
        <w:t>Added substantial value to our business development activities.</w:t>
      </w:r>
    </w:p>
    <w:p>
      <w:pPr>
        <w:spacing w:after="0" w:line="5" w:lineRule="exact"/>
        <w:rPr>
          <w:rFonts w:ascii="Arial" w:cs="Arial" w:eastAsia="Arial" w:hAnsi="Arial"/>
          <w:sz w:val="16"/>
          <w:szCs w:val="16"/>
          <w:color w:val="1A6DBB"/>
        </w:rPr>
      </w:pPr>
    </w:p>
    <w:p>
      <w:pPr>
        <w:ind w:left="260" w:right="760" w:hanging="256"/>
        <w:spacing w:after="0" w:line="260" w:lineRule="auto"/>
        <w:tabs>
          <w:tab w:leader="none" w:pos="260" w:val="left"/>
        </w:tabs>
        <w:numPr>
          <w:ilvl w:val="0"/>
          <w:numId w:val="114"/>
        </w:numPr>
        <w:rPr>
          <w:rFonts w:ascii="Arial" w:cs="Arial" w:eastAsia="Arial" w:hAnsi="Arial"/>
          <w:sz w:val="16"/>
          <w:szCs w:val="16"/>
          <w:color w:val="1A6DBB"/>
        </w:rPr>
      </w:pPr>
      <w:r>
        <w:rPr>
          <w:rFonts w:ascii="Arial" w:cs="Arial" w:eastAsia="Arial" w:hAnsi="Arial"/>
          <w:sz w:val="16"/>
          <w:szCs w:val="16"/>
          <w:color w:val="auto"/>
        </w:rPr>
        <w:t>Contributed to excellent interactions with investors leading to transparent and trusted dialogue.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427F3D"/>
        </w:rPr>
        <w:t>Susan H. Alexander</w:t>
      </w:r>
    </w:p>
    <w:p>
      <w:pPr>
        <w:spacing w:after="0" w:line="127" w:lineRule="exact"/>
        <w:rPr>
          <w:sz w:val="20"/>
          <w:szCs w:val="20"/>
          <w:color w:val="auto"/>
        </w:rPr>
      </w:pPr>
    </w:p>
    <w:p>
      <w:pPr>
        <w:ind w:left="260" w:right="260" w:hanging="256"/>
        <w:spacing w:after="0" w:line="246" w:lineRule="auto"/>
        <w:tabs>
          <w:tab w:leader="none" w:pos="260" w:val="left"/>
        </w:tabs>
        <w:numPr>
          <w:ilvl w:val="0"/>
          <w:numId w:val="115"/>
        </w:numPr>
        <w:rPr>
          <w:rFonts w:ascii="Arial" w:cs="Arial" w:eastAsia="Arial" w:hAnsi="Arial"/>
          <w:sz w:val="16"/>
          <w:szCs w:val="16"/>
          <w:color w:val="1A6DBB"/>
        </w:rPr>
      </w:pPr>
      <w:r>
        <w:rPr>
          <w:rFonts w:ascii="Arial" w:cs="Arial" w:eastAsia="Arial" w:hAnsi="Arial"/>
          <w:sz w:val="16"/>
          <w:szCs w:val="16"/>
          <w:color w:val="auto"/>
        </w:rPr>
        <w:t>Supported our Board of Directors, the CEO and executive team and SEC disclosure requirements.</w:t>
      </w:r>
    </w:p>
    <w:p>
      <w:pPr>
        <w:ind w:left="260" w:right="660" w:hanging="256"/>
        <w:spacing w:after="0" w:line="246" w:lineRule="auto"/>
        <w:tabs>
          <w:tab w:leader="none" w:pos="260" w:val="left"/>
        </w:tabs>
        <w:numPr>
          <w:ilvl w:val="0"/>
          <w:numId w:val="115"/>
        </w:numPr>
        <w:rPr>
          <w:rFonts w:ascii="Arial" w:cs="Arial" w:eastAsia="Arial" w:hAnsi="Arial"/>
          <w:sz w:val="16"/>
          <w:szCs w:val="16"/>
          <w:color w:val="1A6DBB"/>
        </w:rPr>
      </w:pPr>
      <w:r>
        <w:rPr>
          <w:rFonts w:ascii="Arial" w:cs="Arial" w:eastAsia="Arial" w:hAnsi="Arial"/>
          <w:sz w:val="16"/>
          <w:szCs w:val="16"/>
          <w:color w:val="auto"/>
        </w:rPr>
        <w:t>Strengthened the intellectual property rights of our key assets, including our intellectual property related to TECFIDERA.</w:t>
      </w:r>
    </w:p>
    <w:p>
      <w:pPr>
        <w:ind w:left="260" w:hanging="256"/>
        <w:spacing w:after="0"/>
        <w:tabs>
          <w:tab w:leader="none" w:pos="260" w:val="left"/>
        </w:tabs>
        <w:numPr>
          <w:ilvl w:val="0"/>
          <w:numId w:val="115"/>
        </w:numPr>
        <w:rPr>
          <w:rFonts w:ascii="Arial" w:cs="Arial" w:eastAsia="Arial" w:hAnsi="Arial"/>
          <w:sz w:val="16"/>
          <w:szCs w:val="16"/>
          <w:color w:val="1A6DBB"/>
        </w:rPr>
      </w:pPr>
      <w:r>
        <w:rPr>
          <w:rFonts w:ascii="Arial" w:cs="Arial" w:eastAsia="Arial" w:hAnsi="Arial"/>
          <w:sz w:val="16"/>
          <w:szCs w:val="16"/>
          <w:color w:val="auto"/>
        </w:rPr>
        <w:t>Excelled in leadership of our Legal and Compliance teams.</w:t>
      </w:r>
    </w:p>
    <w:p>
      <w:pPr>
        <w:spacing w:after="0" w:line="5" w:lineRule="exact"/>
        <w:rPr>
          <w:rFonts w:ascii="Arial" w:cs="Arial" w:eastAsia="Arial" w:hAnsi="Arial"/>
          <w:sz w:val="16"/>
          <w:szCs w:val="16"/>
          <w:color w:val="1A6DBB"/>
        </w:rPr>
      </w:pPr>
    </w:p>
    <w:p>
      <w:pPr>
        <w:ind w:left="260" w:right="220" w:hanging="256"/>
        <w:spacing w:after="0" w:line="246" w:lineRule="auto"/>
        <w:tabs>
          <w:tab w:leader="none" w:pos="260" w:val="left"/>
        </w:tabs>
        <w:numPr>
          <w:ilvl w:val="0"/>
          <w:numId w:val="115"/>
        </w:numPr>
        <w:rPr>
          <w:rFonts w:ascii="Arial" w:cs="Arial" w:eastAsia="Arial" w:hAnsi="Arial"/>
          <w:sz w:val="16"/>
          <w:szCs w:val="16"/>
          <w:color w:val="1A6DBB"/>
        </w:rPr>
      </w:pPr>
      <w:r>
        <w:rPr>
          <w:rFonts w:ascii="Arial" w:cs="Arial" w:eastAsia="Arial" w:hAnsi="Arial"/>
          <w:sz w:val="16"/>
          <w:szCs w:val="16"/>
          <w:color w:val="auto"/>
        </w:rPr>
        <w:t>Contributed significantly on strategy and the resolution of general business issues affecting the Company, including our expansion into Asia Pacific and Latin America.</w:t>
      </w:r>
    </w:p>
    <w:p>
      <w:pPr>
        <w:spacing w:after="0" w:line="1" w:lineRule="exact"/>
        <w:rPr>
          <w:rFonts w:ascii="Arial" w:cs="Arial" w:eastAsia="Arial" w:hAnsi="Arial"/>
          <w:sz w:val="16"/>
          <w:szCs w:val="16"/>
          <w:color w:val="1A6DBB"/>
        </w:rPr>
      </w:pPr>
    </w:p>
    <w:p>
      <w:pPr>
        <w:ind w:left="260" w:right="200" w:hanging="256"/>
        <w:spacing w:after="0" w:line="260" w:lineRule="auto"/>
        <w:tabs>
          <w:tab w:leader="none" w:pos="260" w:val="left"/>
        </w:tabs>
        <w:numPr>
          <w:ilvl w:val="0"/>
          <w:numId w:val="115"/>
        </w:numPr>
        <w:rPr>
          <w:rFonts w:ascii="Arial" w:cs="Arial" w:eastAsia="Arial" w:hAnsi="Arial"/>
          <w:sz w:val="16"/>
          <w:szCs w:val="16"/>
          <w:color w:val="1A6DBB"/>
        </w:rPr>
      </w:pPr>
      <w:r>
        <w:rPr>
          <w:rFonts w:ascii="Arial" w:cs="Arial" w:eastAsia="Arial" w:hAnsi="Arial"/>
          <w:sz w:val="16"/>
          <w:szCs w:val="16"/>
          <w:color w:val="auto"/>
        </w:rPr>
        <w:t>Supported the effective transition of the corporate services functions, including IT, to Mr. Capello.</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427F3D"/>
        </w:rPr>
        <w:t>Paul F. McKenzie</w:t>
      </w:r>
    </w:p>
    <w:p>
      <w:pPr>
        <w:spacing w:after="0" w:line="127" w:lineRule="exact"/>
        <w:rPr>
          <w:sz w:val="20"/>
          <w:szCs w:val="20"/>
          <w:color w:val="auto"/>
        </w:rPr>
      </w:pPr>
    </w:p>
    <w:p>
      <w:pPr>
        <w:ind w:left="260" w:right="440" w:hanging="256"/>
        <w:spacing w:after="0" w:line="246" w:lineRule="auto"/>
        <w:tabs>
          <w:tab w:leader="none" w:pos="260" w:val="left"/>
        </w:tabs>
        <w:numPr>
          <w:ilvl w:val="0"/>
          <w:numId w:val="116"/>
        </w:numPr>
        <w:rPr>
          <w:rFonts w:ascii="Arial" w:cs="Arial" w:eastAsia="Arial" w:hAnsi="Arial"/>
          <w:sz w:val="16"/>
          <w:szCs w:val="16"/>
          <w:color w:val="1A6DBB"/>
        </w:rPr>
      </w:pPr>
      <w:r>
        <w:rPr>
          <w:rFonts w:ascii="Arial" w:cs="Arial" w:eastAsia="Arial" w:hAnsi="Arial"/>
          <w:sz w:val="16"/>
          <w:szCs w:val="16"/>
          <w:color w:val="auto"/>
        </w:rPr>
        <w:t>Excelled in management of our large and complex manufacturing organization.</w:t>
      </w:r>
    </w:p>
    <w:p>
      <w:pPr>
        <w:ind w:left="260" w:hanging="256"/>
        <w:spacing w:after="0"/>
        <w:tabs>
          <w:tab w:leader="none" w:pos="260" w:val="left"/>
        </w:tabs>
        <w:numPr>
          <w:ilvl w:val="0"/>
          <w:numId w:val="116"/>
        </w:numPr>
        <w:rPr>
          <w:rFonts w:ascii="Arial" w:cs="Arial" w:eastAsia="Arial" w:hAnsi="Arial"/>
          <w:sz w:val="16"/>
          <w:szCs w:val="16"/>
          <w:color w:val="1A6DBB"/>
        </w:rPr>
      </w:pPr>
      <w:r>
        <w:rPr>
          <w:rFonts w:ascii="Arial" w:cs="Arial" w:eastAsia="Arial" w:hAnsi="Arial"/>
          <w:sz w:val="16"/>
          <w:szCs w:val="16"/>
          <w:color w:val="auto"/>
        </w:rPr>
        <w:t>Maintained excellence in manufacturing plant quality.</w:t>
      </w:r>
    </w:p>
    <w:p>
      <w:pPr>
        <w:spacing w:after="0" w:line="200" w:lineRule="exact"/>
        <w:rPr>
          <w:sz w:val="20"/>
          <w:szCs w:val="20"/>
          <w:color w:val="auto"/>
        </w:rPr>
      </w:pPr>
    </w:p>
    <w:p>
      <w:pPr>
        <w:sectPr>
          <w:pgSz w:w="11900" w:h="16838" w:orient="portrait"/>
          <w:cols w:equalWidth="0" w:num="2">
            <w:col w:w="5480" w:space="340"/>
            <w:col w:w="5380"/>
          </w:cols>
          <w:pgMar w:left="240" w:top="459" w:right="459" w:bottom="1440" w:gutter="0" w:footer="0" w:header="0"/>
          <w:type w:val="continuous"/>
        </w:sectPr>
      </w:pPr>
    </w:p>
    <w:p>
      <w:pPr>
        <w:spacing w:after="0" w:line="130"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-62865</wp:posOffset>
            </wp:positionV>
            <wp:extent cx="102870" cy="946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7" w:lineRule="exact"/>
        <w:rPr>
          <w:sz w:val="20"/>
          <w:szCs w:val="20"/>
          <w:color w:val="auto"/>
        </w:rPr>
      </w:pPr>
    </w:p>
    <w:p>
      <w:pPr>
        <w:ind w:left="460"/>
        <w:spacing w:after="0"/>
        <w:rPr>
          <w:sz w:val="20"/>
          <w:szCs w:val="20"/>
          <w:color w:val="auto"/>
        </w:rPr>
      </w:pPr>
      <w:r>
        <w:rPr>
          <w:rFonts w:ascii="Arial" w:cs="Arial" w:eastAsia="Arial" w:hAnsi="Arial"/>
          <w:sz w:val="88"/>
          <w:szCs w:val="88"/>
          <w:color w:val="1A6DBB"/>
        </w:rPr>
        <w:t xml:space="preserve">5 </w:t>
      </w:r>
      <w:r>
        <w:rPr>
          <w:rFonts w:ascii="Arial" w:cs="Arial" w:eastAsia="Arial" w:hAnsi="Arial"/>
          <w:sz w:val="40"/>
          <w:szCs w:val="40"/>
          <w:color w:val="1A6DBB"/>
        </w:rPr>
        <w:t>Executive Compensation Matters</w:t>
      </w:r>
      <w:r>
        <w:rPr>
          <w:rFonts w:ascii="Arial" w:cs="Arial" w:eastAsia="Arial" w:hAnsi="Arial"/>
          <w:sz w:val="88"/>
          <w:szCs w:val="88"/>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81" w:lineRule="exact"/>
        <w:rPr>
          <w:sz w:val="20"/>
          <w:szCs w:val="20"/>
          <w:color w:val="auto"/>
        </w:rPr>
      </w:pPr>
    </w:p>
    <w:p>
      <w:pPr>
        <w:ind w:left="460" w:right="360" w:hanging="256"/>
        <w:spacing w:after="0" w:line="246" w:lineRule="auto"/>
        <w:tabs>
          <w:tab w:leader="none" w:pos="460" w:val="left"/>
        </w:tabs>
        <w:numPr>
          <w:ilvl w:val="0"/>
          <w:numId w:val="117"/>
        </w:numPr>
        <w:rPr>
          <w:rFonts w:ascii="Arial" w:cs="Arial" w:eastAsia="Arial" w:hAnsi="Arial"/>
          <w:sz w:val="16"/>
          <w:szCs w:val="16"/>
          <w:color w:val="1A6DBB"/>
        </w:rPr>
      </w:pPr>
      <w:r>
        <w:rPr>
          <w:rFonts w:ascii="Arial" w:cs="Arial" w:eastAsia="Arial" w:hAnsi="Arial"/>
          <w:sz w:val="16"/>
          <w:szCs w:val="16"/>
          <w:color w:val="auto"/>
        </w:rPr>
        <w:t>Excelled in leadership of our Pharmaceutical Operations and Technology organization.</w:t>
      </w:r>
    </w:p>
    <w:p>
      <w:pPr>
        <w:ind w:left="460" w:right="60" w:hanging="256"/>
        <w:spacing w:after="0" w:line="246" w:lineRule="auto"/>
        <w:tabs>
          <w:tab w:leader="none" w:pos="460" w:val="left"/>
        </w:tabs>
        <w:numPr>
          <w:ilvl w:val="0"/>
          <w:numId w:val="117"/>
        </w:numPr>
        <w:rPr>
          <w:rFonts w:ascii="Arial" w:cs="Arial" w:eastAsia="Arial" w:hAnsi="Arial"/>
          <w:sz w:val="16"/>
          <w:szCs w:val="16"/>
          <w:color w:val="1A6DBB"/>
        </w:rPr>
      </w:pPr>
      <w:r>
        <w:rPr>
          <w:rFonts w:ascii="Arial" w:cs="Arial" w:eastAsia="Arial" w:hAnsi="Arial"/>
          <w:sz w:val="16"/>
          <w:szCs w:val="16"/>
          <w:color w:val="auto"/>
        </w:rPr>
        <w:t>Contributed significantly on strategy and the resolution of general business issues affecting the Company.</w:t>
      </w:r>
    </w:p>
    <w:p>
      <w:pPr>
        <w:ind w:left="460" w:hanging="256"/>
        <w:spacing w:after="0"/>
        <w:tabs>
          <w:tab w:leader="none" w:pos="460" w:val="left"/>
        </w:tabs>
        <w:numPr>
          <w:ilvl w:val="0"/>
          <w:numId w:val="117"/>
        </w:numPr>
        <w:rPr>
          <w:rFonts w:ascii="Arial" w:cs="Arial" w:eastAsia="Arial" w:hAnsi="Arial"/>
          <w:sz w:val="16"/>
          <w:szCs w:val="16"/>
          <w:color w:val="1A6DBB"/>
        </w:rPr>
      </w:pPr>
      <w:r>
        <w:rPr>
          <w:rFonts w:ascii="Arial" w:cs="Arial" w:eastAsia="Arial" w:hAnsi="Arial"/>
          <w:sz w:val="16"/>
          <w:szCs w:val="16"/>
          <w:color w:val="auto"/>
        </w:rPr>
        <w:t>Contributed to the significant progress in our biosimilars business.</w:t>
      </w:r>
    </w:p>
    <w:p>
      <w:pPr>
        <w:spacing w:after="0" w:line="5" w:lineRule="exact"/>
        <w:rPr>
          <w:rFonts w:ascii="Arial" w:cs="Arial" w:eastAsia="Arial" w:hAnsi="Arial"/>
          <w:sz w:val="16"/>
          <w:szCs w:val="16"/>
          <w:color w:val="1A6DBB"/>
        </w:rPr>
      </w:pPr>
    </w:p>
    <w:p>
      <w:pPr>
        <w:ind w:left="460" w:hanging="256"/>
        <w:spacing w:after="0" w:line="260" w:lineRule="auto"/>
        <w:tabs>
          <w:tab w:leader="none" w:pos="460" w:val="left"/>
        </w:tabs>
        <w:numPr>
          <w:ilvl w:val="0"/>
          <w:numId w:val="117"/>
        </w:numPr>
        <w:rPr>
          <w:rFonts w:ascii="Arial" w:cs="Arial" w:eastAsia="Arial" w:hAnsi="Arial"/>
          <w:sz w:val="16"/>
          <w:szCs w:val="16"/>
          <w:color w:val="1A6DBB"/>
        </w:rPr>
      </w:pPr>
      <w:r>
        <w:rPr>
          <w:rFonts w:ascii="Arial" w:cs="Arial" w:eastAsia="Arial" w:hAnsi="Arial"/>
          <w:sz w:val="16"/>
          <w:szCs w:val="16"/>
          <w:color w:val="auto"/>
        </w:rPr>
        <w:t>Exhibited outstanding leadership, fostering a culture of continuous improvement and cost-consciousness.</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In addition, our C&amp;MD Committee reviews on a qualitative basis each named executive officer’s other contributions to the Company and our business, leadership competencies and relative performance among our named executive officers.</w:t>
      </w:r>
    </w:p>
    <w:p>
      <w:pPr>
        <w:spacing w:after="0" w:line="774" w:lineRule="exact"/>
        <w:rPr>
          <w:sz w:val="20"/>
          <w:szCs w:val="20"/>
          <w:color w:val="auto"/>
        </w:rPr>
      </w:pPr>
    </w:p>
    <w:p>
      <w:pPr>
        <w:sectPr>
          <w:pgSz w:w="11900" w:h="16838" w:orient="portrait"/>
          <w:cols w:equalWidth="0" w:num="2">
            <w:col w:w="5180" w:space="640"/>
            <w:col w:w="5420"/>
          </w:cols>
          <w:pgMar w:left="240" w:top="459" w:right="419" w:bottom="1440" w:gutter="0" w:footer="0" w:header="0"/>
          <w:type w:val="continuous"/>
        </w:sectPr>
      </w:pPr>
    </w:p>
    <w:p>
      <w:pPr>
        <w:spacing w:after="0" w:line="155"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427F3D"/>
        </w:rPr>
        <w:t>2018 Annual Bonus Plan Awards</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C&amp;MD Committee determined that the final bonus awards under our 2018 annual bonus plan were as follows:</w:t>
      </w: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194"/>
        </w:trPr>
        <w:tc>
          <w:tcPr>
            <w:tcW w:w="5100" w:type="dxa"/>
            <w:vAlign w:val="bottom"/>
            <w:shd w:val="clear" w:color="auto" w:fill="1A6DBB"/>
          </w:tcPr>
          <w:p>
            <w:pPr>
              <w:spacing w:after="0"/>
              <w:rPr>
                <w:sz w:val="16"/>
                <w:szCs w:val="16"/>
                <w:color w:val="auto"/>
              </w:rPr>
            </w:pPr>
          </w:p>
        </w:tc>
        <w:tc>
          <w:tcPr>
            <w:tcW w:w="460" w:type="dxa"/>
            <w:vAlign w:val="bottom"/>
            <w:shd w:val="clear" w:color="auto" w:fill="1A6DBB"/>
          </w:tcPr>
          <w:p>
            <w:pPr>
              <w:spacing w:after="0"/>
              <w:rPr>
                <w:sz w:val="16"/>
                <w:szCs w:val="16"/>
                <w:color w:val="auto"/>
              </w:rPr>
            </w:pPr>
          </w:p>
        </w:tc>
        <w:tc>
          <w:tcPr>
            <w:tcW w:w="800" w:type="dxa"/>
            <w:vAlign w:val="bottom"/>
            <w:shd w:val="clear" w:color="auto" w:fill="1A6DBB"/>
          </w:tcPr>
          <w:p>
            <w:pPr>
              <w:jc w:val="center"/>
              <w:ind w:right="102"/>
              <w:spacing w:after="0"/>
              <w:rPr>
                <w:sz w:val="20"/>
                <w:szCs w:val="20"/>
                <w:color w:val="auto"/>
              </w:rPr>
            </w:pPr>
            <w:r>
              <w:rPr>
                <w:rFonts w:ascii="Arial" w:cs="Arial" w:eastAsia="Arial" w:hAnsi="Arial"/>
                <w:sz w:val="14"/>
                <w:szCs w:val="14"/>
                <w:color w:val="FFFFFF"/>
              </w:rPr>
              <w:t>Year-end</w:t>
            </w:r>
          </w:p>
        </w:tc>
        <w:tc>
          <w:tcPr>
            <w:tcW w:w="1240" w:type="dxa"/>
            <w:vAlign w:val="bottom"/>
            <w:shd w:val="clear" w:color="auto" w:fill="1A6DBB"/>
          </w:tcPr>
          <w:p>
            <w:pPr>
              <w:jc w:val="center"/>
              <w:spacing w:after="0"/>
              <w:rPr>
                <w:sz w:val="20"/>
                <w:szCs w:val="20"/>
                <w:color w:val="auto"/>
              </w:rPr>
            </w:pPr>
            <w:r>
              <w:rPr>
                <w:rFonts w:ascii="Arial" w:cs="Arial" w:eastAsia="Arial" w:hAnsi="Arial"/>
                <w:sz w:val="14"/>
                <w:szCs w:val="14"/>
                <w:color w:val="FFFFFF"/>
                <w:w w:val="98"/>
              </w:rPr>
              <w:t>Target</w:t>
            </w:r>
          </w:p>
        </w:tc>
        <w:tc>
          <w:tcPr>
            <w:tcW w:w="1180" w:type="dxa"/>
            <w:vAlign w:val="bottom"/>
            <w:shd w:val="clear" w:color="auto" w:fill="1A6DBB"/>
          </w:tcPr>
          <w:p>
            <w:pPr>
              <w:jc w:val="center"/>
              <w:ind w:right="82"/>
              <w:spacing w:after="0"/>
              <w:rPr>
                <w:sz w:val="20"/>
                <w:szCs w:val="20"/>
                <w:color w:val="auto"/>
              </w:rPr>
            </w:pPr>
            <w:r>
              <w:rPr>
                <w:rFonts w:ascii="Arial" w:cs="Arial" w:eastAsia="Arial" w:hAnsi="Arial"/>
                <w:sz w:val="14"/>
                <w:szCs w:val="14"/>
                <w:color w:val="FFFFFF"/>
              </w:rPr>
              <w:t>Company</w:t>
            </w:r>
          </w:p>
        </w:tc>
        <w:tc>
          <w:tcPr>
            <w:tcW w:w="1120" w:type="dxa"/>
            <w:vAlign w:val="bottom"/>
            <w:shd w:val="clear" w:color="auto" w:fill="1A6DBB"/>
          </w:tcPr>
          <w:p>
            <w:pPr>
              <w:jc w:val="center"/>
              <w:ind w:right="22"/>
              <w:spacing w:after="0"/>
              <w:rPr>
                <w:sz w:val="20"/>
                <w:szCs w:val="20"/>
                <w:color w:val="auto"/>
              </w:rPr>
            </w:pPr>
            <w:r>
              <w:rPr>
                <w:rFonts w:ascii="Arial" w:cs="Arial" w:eastAsia="Arial" w:hAnsi="Arial"/>
                <w:sz w:val="14"/>
                <w:szCs w:val="14"/>
                <w:color w:val="FFFFFF"/>
              </w:rPr>
              <w:t>Individual</w:t>
            </w:r>
          </w:p>
        </w:tc>
        <w:tc>
          <w:tcPr>
            <w:tcW w:w="260" w:type="dxa"/>
            <w:vAlign w:val="bottom"/>
            <w:shd w:val="clear" w:color="auto" w:fill="1A6DBB"/>
          </w:tcPr>
          <w:p>
            <w:pPr>
              <w:spacing w:after="0"/>
              <w:rPr>
                <w:sz w:val="16"/>
                <w:szCs w:val="16"/>
                <w:color w:val="auto"/>
              </w:rPr>
            </w:pPr>
          </w:p>
        </w:tc>
        <w:tc>
          <w:tcPr>
            <w:tcW w:w="860" w:type="dxa"/>
            <w:vAlign w:val="bottom"/>
            <w:shd w:val="clear" w:color="auto" w:fill="1A6DBB"/>
          </w:tcPr>
          <w:p>
            <w:pPr>
              <w:jc w:val="center"/>
              <w:ind w:right="142"/>
              <w:spacing w:after="0"/>
              <w:rPr>
                <w:sz w:val="20"/>
                <w:szCs w:val="20"/>
                <w:color w:val="auto"/>
              </w:rPr>
            </w:pPr>
            <w:r>
              <w:rPr>
                <w:rFonts w:ascii="Arial" w:cs="Arial" w:eastAsia="Arial" w:hAnsi="Arial"/>
                <w:sz w:val="14"/>
                <w:szCs w:val="14"/>
                <w:color w:val="FFFFFF"/>
              </w:rPr>
              <w:t>Bonus</w:t>
            </w:r>
          </w:p>
        </w:tc>
      </w:tr>
      <w:tr>
        <w:trPr>
          <w:trHeight w:val="162"/>
        </w:trPr>
        <w:tc>
          <w:tcPr>
            <w:tcW w:w="5100" w:type="dxa"/>
            <w:vAlign w:val="bottom"/>
            <w:shd w:val="clear" w:color="auto" w:fill="1A6DBB"/>
          </w:tcPr>
          <w:p>
            <w:pPr>
              <w:spacing w:after="0"/>
              <w:rPr>
                <w:sz w:val="14"/>
                <w:szCs w:val="14"/>
                <w:color w:val="auto"/>
              </w:rPr>
            </w:pPr>
          </w:p>
        </w:tc>
        <w:tc>
          <w:tcPr>
            <w:tcW w:w="460" w:type="dxa"/>
            <w:vAlign w:val="bottom"/>
            <w:shd w:val="clear" w:color="auto" w:fill="1A6DBB"/>
          </w:tcPr>
          <w:p>
            <w:pPr>
              <w:spacing w:after="0"/>
              <w:rPr>
                <w:sz w:val="14"/>
                <w:szCs w:val="14"/>
                <w:color w:val="auto"/>
              </w:rPr>
            </w:pPr>
          </w:p>
        </w:tc>
        <w:tc>
          <w:tcPr>
            <w:tcW w:w="800" w:type="dxa"/>
            <w:vAlign w:val="bottom"/>
            <w:shd w:val="clear" w:color="auto" w:fill="1A6DBB"/>
          </w:tcPr>
          <w:p>
            <w:pPr>
              <w:jc w:val="center"/>
              <w:ind w:right="82"/>
              <w:spacing w:after="0"/>
              <w:rPr>
                <w:sz w:val="20"/>
                <w:szCs w:val="20"/>
                <w:color w:val="auto"/>
              </w:rPr>
            </w:pPr>
            <w:r>
              <w:rPr>
                <w:rFonts w:ascii="Arial" w:cs="Arial" w:eastAsia="Arial" w:hAnsi="Arial"/>
                <w:sz w:val="14"/>
                <w:szCs w:val="14"/>
                <w:color w:val="FFFFFF"/>
              </w:rPr>
              <w:t>Salary</w:t>
            </w:r>
          </w:p>
        </w:tc>
        <w:tc>
          <w:tcPr>
            <w:tcW w:w="1240" w:type="dxa"/>
            <w:vAlign w:val="bottom"/>
            <w:shd w:val="clear" w:color="auto" w:fill="1A6DBB"/>
          </w:tcPr>
          <w:p>
            <w:pPr>
              <w:jc w:val="center"/>
              <w:spacing w:after="0"/>
              <w:rPr>
                <w:sz w:val="20"/>
                <w:szCs w:val="20"/>
                <w:color w:val="auto"/>
              </w:rPr>
            </w:pPr>
            <w:r>
              <w:rPr>
                <w:rFonts w:ascii="Arial" w:cs="Arial" w:eastAsia="Arial" w:hAnsi="Arial"/>
                <w:sz w:val="14"/>
                <w:szCs w:val="14"/>
                <w:color w:val="FFFFFF"/>
                <w:w w:val="99"/>
              </w:rPr>
              <w:t>Bonus%</w:t>
            </w:r>
          </w:p>
        </w:tc>
        <w:tc>
          <w:tcPr>
            <w:tcW w:w="1180" w:type="dxa"/>
            <w:vAlign w:val="bottom"/>
            <w:shd w:val="clear" w:color="auto" w:fill="1A6DBB"/>
          </w:tcPr>
          <w:p>
            <w:pPr>
              <w:jc w:val="center"/>
              <w:ind w:right="82"/>
              <w:spacing w:after="0"/>
              <w:rPr>
                <w:sz w:val="20"/>
                <w:szCs w:val="20"/>
                <w:color w:val="auto"/>
              </w:rPr>
            </w:pPr>
            <w:r>
              <w:rPr>
                <w:rFonts w:ascii="Arial" w:cs="Arial" w:eastAsia="Arial" w:hAnsi="Arial"/>
                <w:sz w:val="14"/>
                <w:szCs w:val="14"/>
                <w:color w:val="FFFFFF"/>
              </w:rPr>
              <w:t>Multiplier</w:t>
            </w:r>
          </w:p>
        </w:tc>
        <w:tc>
          <w:tcPr>
            <w:tcW w:w="1120" w:type="dxa"/>
            <w:vAlign w:val="bottom"/>
            <w:shd w:val="clear" w:color="auto" w:fill="1A6DBB"/>
          </w:tcPr>
          <w:p>
            <w:pPr>
              <w:jc w:val="center"/>
              <w:ind w:right="22"/>
              <w:spacing w:after="0"/>
              <w:rPr>
                <w:sz w:val="20"/>
                <w:szCs w:val="20"/>
                <w:color w:val="auto"/>
              </w:rPr>
            </w:pPr>
            <w:r>
              <w:rPr>
                <w:rFonts w:ascii="Arial" w:cs="Arial" w:eastAsia="Arial" w:hAnsi="Arial"/>
                <w:sz w:val="14"/>
                <w:szCs w:val="14"/>
                <w:color w:val="FFFFFF"/>
              </w:rPr>
              <w:t>Multiplier</w:t>
            </w:r>
          </w:p>
        </w:tc>
        <w:tc>
          <w:tcPr>
            <w:tcW w:w="260" w:type="dxa"/>
            <w:vAlign w:val="bottom"/>
            <w:shd w:val="clear" w:color="auto" w:fill="1A6DBB"/>
          </w:tcPr>
          <w:p>
            <w:pPr>
              <w:spacing w:after="0"/>
              <w:rPr>
                <w:sz w:val="14"/>
                <w:szCs w:val="14"/>
                <w:color w:val="auto"/>
              </w:rPr>
            </w:pPr>
          </w:p>
        </w:tc>
        <w:tc>
          <w:tcPr>
            <w:tcW w:w="860" w:type="dxa"/>
            <w:vAlign w:val="bottom"/>
            <w:shd w:val="clear" w:color="auto" w:fill="1A6DBB"/>
          </w:tcPr>
          <w:p>
            <w:pPr>
              <w:jc w:val="center"/>
              <w:ind w:right="142"/>
              <w:spacing w:after="0"/>
              <w:rPr>
                <w:sz w:val="20"/>
                <w:szCs w:val="20"/>
                <w:color w:val="auto"/>
              </w:rPr>
            </w:pPr>
            <w:r>
              <w:rPr>
                <w:rFonts w:ascii="Arial" w:cs="Arial" w:eastAsia="Arial" w:hAnsi="Arial"/>
                <w:sz w:val="14"/>
                <w:szCs w:val="14"/>
                <w:color w:val="FFFFFF"/>
              </w:rPr>
              <w:t>Award</w:t>
            </w:r>
          </w:p>
        </w:tc>
      </w:tr>
      <w:tr>
        <w:trPr>
          <w:trHeight w:val="191"/>
        </w:trPr>
        <w:tc>
          <w:tcPr>
            <w:tcW w:w="5100" w:type="dxa"/>
            <w:vAlign w:val="bottom"/>
            <w:tcBorders>
              <w:bottom w:val="single" w:sz="8" w:color="1A6DBB"/>
            </w:tcBorders>
            <w:shd w:val="clear" w:color="auto" w:fill="1A6DBB"/>
          </w:tcPr>
          <w:p>
            <w:pPr>
              <w:ind w:left="60"/>
              <w:spacing w:after="0"/>
              <w:rPr>
                <w:sz w:val="20"/>
                <w:szCs w:val="20"/>
                <w:color w:val="auto"/>
              </w:rPr>
            </w:pPr>
            <w:r>
              <w:rPr>
                <w:rFonts w:ascii="Arial" w:cs="Arial" w:eastAsia="Arial" w:hAnsi="Arial"/>
                <w:sz w:val="14"/>
                <w:szCs w:val="14"/>
                <w:color w:val="FFFFFF"/>
              </w:rPr>
              <w:t>Name</w:t>
            </w:r>
          </w:p>
        </w:tc>
        <w:tc>
          <w:tcPr>
            <w:tcW w:w="460" w:type="dxa"/>
            <w:vAlign w:val="bottom"/>
            <w:tcBorders>
              <w:bottom w:val="single" w:sz="8" w:color="1A6DBB"/>
            </w:tcBorders>
            <w:shd w:val="clear" w:color="auto" w:fill="1A6DBB"/>
          </w:tcPr>
          <w:p>
            <w:pPr>
              <w:spacing w:after="0"/>
              <w:rPr>
                <w:sz w:val="16"/>
                <w:szCs w:val="16"/>
                <w:color w:val="auto"/>
              </w:rPr>
            </w:pPr>
          </w:p>
        </w:tc>
        <w:tc>
          <w:tcPr>
            <w:tcW w:w="800" w:type="dxa"/>
            <w:vAlign w:val="bottom"/>
            <w:tcBorders>
              <w:bottom w:val="single" w:sz="8" w:color="1A6DBB"/>
            </w:tcBorders>
            <w:shd w:val="clear" w:color="auto" w:fill="1A6DBB"/>
          </w:tcPr>
          <w:p>
            <w:pPr>
              <w:jc w:val="center"/>
              <w:ind w:right="82"/>
              <w:spacing w:after="0"/>
              <w:rPr>
                <w:sz w:val="20"/>
                <w:szCs w:val="20"/>
                <w:color w:val="auto"/>
              </w:rPr>
            </w:pPr>
            <w:r>
              <w:rPr>
                <w:rFonts w:ascii="Arial" w:cs="Arial" w:eastAsia="Arial" w:hAnsi="Arial"/>
                <w:sz w:val="14"/>
                <w:szCs w:val="14"/>
                <w:color w:val="FFFFFF"/>
              </w:rPr>
              <w:t>(A) x</w:t>
            </w:r>
          </w:p>
        </w:tc>
        <w:tc>
          <w:tcPr>
            <w:tcW w:w="1240" w:type="dxa"/>
            <w:vAlign w:val="bottom"/>
            <w:tcBorders>
              <w:bottom w:val="single" w:sz="8" w:color="1A6DBB"/>
            </w:tcBorders>
            <w:shd w:val="clear" w:color="auto" w:fill="1A6DBB"/>
          </w:tcPr>
          <w:p>
            <w:pPr>
              <w:jc w:val="center"/>
              <w:spacing w:after="0"/>
              <w:rPr>
                <w:sz w:val="20"/>
                <w:szCs w:val="20"/>
                <w:color w:val="auto"/>
              </w:rPr>
            </w:pPr>
            <w:r>
              <w:rPr>
                <w:rFonts w:ascii="Arial" w:cs="Arial" w:eastAsia="Arial" w:hAnsi="Arial"/>
                <w:sz w:val="14"/>
                <w:szCs w:val="14"/>
                <w:color w:val="FFFFFF"/>
              </w:rPr>
              <w:t>(B) x</w:t>
            </w:r>
          </w:p>
        </w:tc>
        <w:tc>
          <w:tcPr>
            <w:tcW w:w="1180" w:type="dxa"/>
            <w:vAlign w:val="bottom"/>
            <w:tcBorders>
              <w:bottom w:val="single" w:sz="8" w:color="1A6DBB"/>
            </w:tcBorders>
            <w:shd w:val="clear" w:color="auto" w:fill="1A6DBB"/>
          </w:tcPr>
          <w:p>
            <w:pPr>
              <w:jc w:val="center"/>
              <w:ind w:right="82"/>
              <w:spacing w:after="0"/>
              <w:rPr>
                <w:sz w:val="20"/>
                <w:szCs w:val="20"/>
                <w:color w:val="auto"/>
              </w:rPr>
            </w:pPr>
            <w:r>
              <w:rPr>
                <w:rFonts w:ascii="Arial" w:cs="Arial" w:eastAsia="Arial" w:hAnsi="Arial"/>
                <w:sz w:val="14"/>
                <w:szCs w:val="14"/>
                <w:color w:val="FFFFFF"/>
                <w:w w:val="98"/>
              </w:rPr>
              <w:t>(C) x</w:t>
            </w:r>
          </w:p>
        </w:tc>
        <w:tc>
          <w:tcPr>
            <w:tcW w:w="1120" w:type="dxa"/>
            <w:vAlign w:val="bottom"/>
            <w:tcBorders>
              <w:bottom w:val="single" w:sz="8" w:color="1A6DBB"/>
            </w:tcBorders>
            <w:shd w:val="clear" w:color="auto" w:fill="1A6DBB"/>
          </w:tcPr>
          <w:p>
            <w:pPr>
              <w:jc w:val="center"/>
              <w:ind w:right="22"/>
              <w:spacing w:after="0"/>
              <w:rPr>
                <w:sz w:val="20"/>
                <w:szCs w:val="20"/>
                <w:color w:val="auto"/>
              </w:rPr>
            </w:pPr>
            <w:r>
              <w:rPr>
                <w:rFonts w:ascii="Arial" w:cs="Arial" w:eastAsia="Arial" w:hAnsi="Arial"/>
                <w:sz w:val="14"/>
                <w:szCs w:val="14"/>
                <w:color w:val="FFFFFF"/>
              </w:rPr>
              <w:t>(D) =</w:t>
            </w:r>
          </w:p>
        </w:tc>
        <w:tc>
          <w:tcPr>
            <w:tcW w:w="260" w:type="dxa"/>
            <w:vAlign w:val="bottom"/>
            <w:tcBorders>
              <w:bottom w:val="single" w:sz="8" w:color="1A6DBB"/>
            </w:tcBorders>
            <w:shd w:val="clear" w:color="auto" w:fill="1A6DBB"/>
          </w:tcPr>
          <w:p>
            <w:pPr>
              <w:spacing w:after="0"/>
              <w:rPr>
                <w:sz w:val="16"/>
                <w:szCs w:val="16"/>
                <w:color w:val="auto"/>
              </w:rPr>
            </w:pPr>
          </w:p>
        </w:tc>
        <w:tc>
          <w:tcPr>
            <w:tcW w:w="860" w:type="dxa"/>
            <w:vAlign w:val="bottom"/>
            <w:tcBorders>
              <w:bottom w:val="single" w:sz="8" w:color="1A6DBB"/>
            </w:tcBorders>
            <w:shd w:val="clear" w:color="auto" w:fill="1A6DBB"/>
          </w:tcPr>
          <w:p>
            <w:pPr>
              <w:jc w:val="center"/>
              <w:ind w:right="142"/>
              <w:spacing w:after="0"/>
              <w:rPr>
                <w:sz w:val="20"/>
                <w:szCs w:val="20"/>
                <w:color w:val="auto"/>
              </w:rPr>
            </w:pPr>
            <w:r>
              <w:rPr>
                <w:rFonts w:ascii="Arial" w:cs="Arial" w:eastAsia="Arial" w:hAnsi="Arial"/>
                <w:sz w:val="14"/>
                <w:szCs w:val="14"/>
                <w:color w:val="FFFFFF"/>
              </w:rPr>
              <w:t>(E)</w:t>
            </w:r>
          </w:p>
        </w:tc>
      </w:tr>
      <w:tr>
        <w:trPr>
          <w:trHeight w:val="237"/>
        </w:trPr>
        <w:tc>
          <w:tcPr>
            <w:tcW w:w="5100" w:type="dxa"/>
            <w:vAlign w:val="bottom"/>
            <w:tcBorders>
              <w:bottom w:val="single" w:sz="8" w:color="E8F0F8"/>
            </w:tcBorders>
            <w:shd w:val="clear" w:color="auto" w:fill="E8F0F8"/>
          </w:tcPr>
          <w:p>
            <w:pPr>
              <w:ind w:left="80"/>
              <w:spacing w:after="0"/>
              <w:rPr>
                <w:sz w:val="20"/>
                <w:szCs w:val="20"/>
                <w:color w:val="auto"/>
              </w:rPr>
            </w:pPr>
            <w:r>
              <w:rPr>
                <w:rFonts w:ascii="Arial" w:cs="Arial" w:eastAsia="Arial" w:hAnsi="Arial"/>
                <w:sz w:val="16"/>
                <w:szCs w:val="16"/>
                <w:color w:val="auto"/>
              </w:rPr>
              <w:t>M. Vounatsos</w:t>
            </w:r>
          </w:p>
        </w:tc>
        <w:tc>
          <w:tcPr>
            <w:tcW w:w="46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shd w:val="clear" w:color="auto" w:fill="E8F0F8"/>
              </w:rPr>
              <w:t>$</w:t>
            </w:r>
          </w:p>
        </w:tc>
        <w:tc>
          <w:tcPr>
            <w:tcW w:w="80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shd w:val="clear" w:color="auto" w:fill="E8F0F8"/>
              </w:rPr>
              <w:t>1,300,000</w:t>
            </w:r>
          </w:p>
        </w:tc>
        <w:tc>
          <w:tcPr>
            <w:tcW w:w="1240" w:type="dxa"/>
            <w:vAlign w:val="bottom"/>
            <w:tcBorders>
              <w:bottom w:val="single" w:sz="8" w:color="E8F0F8"/>
            </w:tcBorders>
            <w:shd w:val="clear" w:color="auto" w:fill="E8F0F8"/>
          </w:tcPr>
          <w:p>
            <w:pPr>
              <w:jc w:val="right"/>
              <w:ind w:right="122"/>
              <w:spacing w:after="0"/>
              <w:rPr>
                <w:sz w:val="20"/>
                <w:szCs w:val="20"/>
                <w:color w:val="auto"/>
              </w:rPr>
            </w:pPr>
            <w:r>
              <w:rPr>
                <w:rFonts w:ascii="Arial" w:cs="Arial" w:eastAsia="Arial" w:hAnsi="Arial"/>
                <w:sz w:val="16"/>
                <w:szCs w:val="16"/>
                <w:color w:val="auto"/>
              </w:rPr>
              <w:t>140%</w:t>
            </w:r>
          </w:p>
        </w:tc>
        <w:tc>
          <w:tcPr>
            <w:tcW w:w="1180" w:type="dxa"/>
            <w:vAlign w:val="bottom"/>
            <w:tcBorders>
              <w:bottom w:val="single" w:sz="8" w:color="E8F0F8"/>
            </w:tcBorders>
            <w:shd w:val="clear" w:color="auto" w:fill="E8F0F8"/>
          </w:tcPr>
          <w:p>
            <w:pPr>
              <w:jc w:val="right"/>
              <w:ind w:right="142"/>
              <w:spacing w:after="0"/>
              <w:rPr>
                <w:sz w:val="20"/>
                <w:szCs w:val="20"/>
                <w:color w:val="auto"/>
              </w:rPr>
            </w:pPr>
            <w:r>
              <w:rPr>
                <w:rFonts w:ascii="Arial" w:cs="Arial" w:eastAsia="Arial" w:hAnsi="Arial"/>
                <w:sz w:val="16"/>
                <w:szCs w:val="16"/>
                <w:color w:val="auto"/>
              </w:rPr>
              <w:t>131%</w:t>
            </w:r>
          </w:p>
        </w:tc>
        <w:tc>
          <w:tcPr>
            <w:tcW w:w="1120" w:type="dxa"/>
            <w:vAlign w:val="bottom"/>
            <w:tcBorders>
              <w:bottom w:val="single" w:sz="8" w:color="E8F0F8"/>
            </w:tcBorders>
            <w:shd w:val="clear" w:color="auto" w:fill="E8F0F8"/>
          </w:tcPr>
          <w:p>
            <w:pPr>
              <w:jc w:val="right"/>
              <w:ind w:right="82"/>
              <w:spacing w:after="0"/>
              <w:rPr>
                <w:sz w:val="20"/>
                <w:szCs w:val="20"/>
                <w:color w:val="auto"/>
              </w:rPr>
            </w:pPr>
            <w:r>
              <w:rPr>
                <w:rFonts w:ascii="Arial" w:cs="Arial" w:eastAsia="Arial" w:hAnsi="Arial"/>
                <w:sz w:val="16"/>
                <w:szCs w:val="16"/>
                <w:color w:val="auto"/>
              </w:rPr>
              <w:t>140%</w:t>
            </w:r>
          </w:p>
        </w:tc>
        <w:tc>
          <w:tcPr>
            <w:tcW w:w="26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E8F0F8"/>
            </w:tcBorders>
            <w:shd w:val="clear" w:color="auto" w:fill="E8F0F8"/>
          </w:tcPr>
          <w:p>
            <w:pPr>
              <w:jc w:val="right"/>
              <w:ind w:right="42"/>
              <w:spacing w:after="0"/>
              <w:rPr>
                <w:sz w:val="20"/>
                <w:szCs w:val="20"/>
                <w:color w:val="auto"/>
              </w:rPr>
            </w:pPr>
            <w:r>
              <w:rPr>
                <w:rFonts w:ascii="Arial" w:cs="Arial" w:eastAsia="Arial" w:hAnsi="Arial"/>
                <w:sz w:val="16"/>
                <w:szCs w:val="16"/>
                <w:color w:val="auto"/>
              </w:rPr>
              <w:t>3,337,880</w:t>
            </w:r>
          </w:p>
        </w:tc>
      </w:tr>
      <w:tr>
        <w:trPr>
          <w:trHeight w:val="237"/>
        </w:trPr>
        <w:tc>
          <w:tcPr>
            <w:tcW w:w="5100" w:type="dxa"/>
            <w:vAlign w:val="bottom"/>
            <w:tcBorders>
              <w:bottom w:val="single" w:sz="8" w:color="BAD3EA"/>
            </w:tcBorders>
            <w:shd w:val="clear" w:color="auto" w:fill="BAD3EA"/>
          </w:tcPr>
          <w:p>
            <w:pPr>
              <w:ind w:left="80"/>
              <w:spacing w:after="0"/>
              <w:rPr>
                <w:sz w:val="20"/>
                <w:szCs w:val="20"/>
                <w:color w:val="auto"/>
              </w:rPr>
            </w:pPr>
            <w:r>
              <w:rPr>
                <w:rFonts w:ascii="Arial" w:cs="Arial" w:eastAsia="Arial" w:hAnsi="Arial"/>
                <w:sz w:val="16"/>
                <w:szCs w:val="16"/>
                <w:color w:val="auto"/>
              </w:rPr>
              <w:t>J. Capello</w:t>
            </w:r>
          </w:p>
        </w:tc>
        <w:tc>
          <w:tcPr>
            <w:tcW w:w="46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shd w:val="clear" w:color="auto" w:fill="BAD3EA"/>
              </w:rPr>
              <w:t>$</w:t>
            </w:r>
          </w:p>
        </w:tc>
        <w:tc>
          <w:tcPr>
            <w:tcW w:w="80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shd w:val="clear" w:color="auto" w:fill="BAD3EA"/>
              </w:rPr>
              <w:t>750,000</w:t>
            </w:r>
          </w:p>
        </w:tc>
        <w:tc>
          <w:tcPr>
            <w:tcW w:w="1240" w:type="dxa"/>
            <w:vAlign w:val="bottom"/>
            <w:tcBorders>
              <w:bottom w:val="single" w:sz="8" w:color="BAD3EA"/>
            </w:tcBorders>
            <w:shd w:val="clear" w:color="auto" w:fill="BAD3EA"/>
          </w:tcPr>
          <w:p>
            <w:pPr>
              <w:jc w:val="right"/>
              <w:ind w:right="122"/>
              <w:spacing w:after="0"/>
              <w:rPr>
                <w:sz w:val="20"/>
                <w:szCs w:val="20"/>
                <w:color w:val="auto"/>
              </w:rPr>
            </w:pPr>
            <w:r>
              <w:rPr>
                <w:rFonts w:ascii="Arial" w:cs="Arial" w:eastAsia="Arial" w:hAnsi="Arial"/>
                <w:sz w:val="16"/>
                <w:szCs w:val="16"/>
                <w:color w:val="auto"/>
              </w:rPr>
              <w:t>70%</w:t>
            </w:r>
          </w:p>
        </w:tc>
        <w:tc>
          <w:tcPr>
            <w:tcW w:w="1180" w:type="dxa"/>
            <w:vAlign w:val="bottom"/>
            <w:tcBorders>
              <w:bottom w:val="single" w:sz="8" w:color="BAD3EA"/>
            </w:tcBorders>
            <w:shd w:val="clear" w:color="auto" w:fill="BAD3EA"/>
          </w:tcPr>
          <w:p>
            <w:pPr>
              <w:jc w:val="right"/>
              <w:ind w:right="142"/>
              <w:spacing w:after="0"/>
              <w:rPr>
                <w:sz w:val="20"/>
                <w:szCs w:val="20"/>
                <w:color w:val="auto"/>
              </w:rPr>
            </w:pPr>
            <w:r>
              <w:rPr>
                <w:rFonts w:ascii="Arial" w:cs="Arial" w:eastAsia="Arial" w:hAnsi="Arial"/>
                <w:sz w:val="16"/>
                <w:szCs w:val="16"/>
                <w:color w:val="auto"/>
              </w:rPr>
              <w:t>131%</w:t>
            </w:r>
          </w:p>
        </w:tc>
        <w:tc>
          <w:tcPr>
            <w:tcW w:w="1120" w:type="dxa"/>
            <w:vAlign w:val="bottom"/>
            <w:tcBorders>
              <w:bottom w:val="single" w:sz="8" w:color="BAD3EA"/>
            </w:tcBorders>
            <w:shd w:val="clear" w:color="auto" w:fill="BAD3EA"/>
          </w:tcPr>
          <w:p>
            <w:pPr>
              <w:jc w:val="right"/>
              <w:ind w:right="82"/>
              <w:spacing w:after="0"/>
              <w:rPr>
                <w:sz w:val="20"/>
                <w:szCs w:val="20"/>
                <w:color w:val="auto"/>
              </w:rPr>
            </w:pPr>
            <w:r>
              <w:rPr>
                <w:rFonts w:ascii="Arial" w:cs="Arial" w:eastAsia="Arial" w:hAnsi="Arial"/>
                <w:sz w:val="16"/>
                <w:szCs w:val="16"/>
                <w:color w:val="auto"/>
              </w:rPr>
              <w:t>115%</w:t>
            </w:r>
          </w:p>
        </w:tc>
        <w:tc>
          <w:tcPr>
            <w:tcW w:w="26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AD3EA"/>
            </w:tcBorders>
            <w:shd w:val="clear" w:color="auto" w:fill="BAD3EA"/>
          </w:tcPr>
          <w:p>
            <w:pPr>
              <w:jc w:val="right"/>
              <w:ind w:right="42"/>
              <w:spacing w:after="0"/>
              <w:rPr>
                <w:sz w:val="20"/>
                <w:szCs w:val="20"/>
                <w:color w:val="auto"/>
              </w:rPr>
            </w:pPr>
            <w:r>
              <w:rPr>
                <w:rFonts w:ascii="Arial" w:cs="Arial" w:eastAsia="Arial" w:hAnsi="Arial"/>
                <w:sz w:val="16"/>
                <w:szCs w:val="16"/>
                <w:color w:val="auto"/>
              </w:rPr>
              <w:t>790,913</w:t>
            </w:r>
          </w:p>
        </w:tc>
      </w:tr>
      <w:tr>
        <w:trPr>
          <w:trHeight w:val="237"/>
        </w:trPr>
        <w:tc>
          <w:tcPr>
            <w:tcW w:w="5100" w:type="dxa"/>
            <w:vAlign w:val="bottom"/>
            <w:tcBorders>
              <w:bottom w:val="single" w:sz="8" w:color="E8F0F8"/>
            </w:tcBorders>
            <w:shd w:val="clear" w:color="auto" w:fill="E8F0F8"/>
          </w:tcPr>
          <w:p>
            <w:pPr>
              <w:ind w:left="80"/>
              <w:spacing w:after="0"/>
              <w:rPr>
                <w:sz w:val="20"/>
                <w:szCs w:val="20"/>
                <w:color w:val="auto"/>
              </w:rPr>
            </w:pPr>
            <w:r>
              <w:rPr>
                <w:rFonts w:ascii="Arial" w:cs="Arial" w:eastAsia="Arial" w:hAnsi="Arial"/>
                <w:sz w:val="16"/>
                <w:szCs w:val="16"/>
                <w:color w:val="auto"/>
              </w:rPr>
              <w:t>M. Ehlers</w:t>
            </w:r>
          </w:p>
        </w:tc>
        <w:tc>
          <w:tcPr>
            <w:tcW w:w="46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shd w:val="clear" w:color="auto" w:fill="E8F0F8"/>
              </w:rPr>
              <w:t>$</w:t>
            </w:r>
          </w:p>
        </w:tc>
        <w:tc>
          <w:tcPr>
            <w:tcW w:w="80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shd w:val="clear" w:color="auto" w:fill="E8F0F8"/>
              </w:rPr>
              <w:t>834,094</w:t>
            </w:r>
          </w:p>
        </w:tc>
        <w:tc>
          <w:tcPr>
            <w:tcW w:w="1240" w:type="dxa"/>
            <w:vAlign w:val="bottom"/>
            <w:tcBorders>
              <w:bottom w:val="single" w:sz="8" w:color="E8F0F8"/>
            </w:tcBorders>
            <w:shd w:val="clear" w:color="auto" w:fill="E8F0F8"/>
          </w:tcPr>
          <w:p>
            <w:pPr>
              <w:jc w:val="right"/>
              <w:ind w:right="122"/>
              <w:spacing w:after="0"/>
              <w:rPr>
                <w:sz w:val="20"/>
                <w:szCs w:val="20"/>
                <w:color w:val="auto"/>
              </w:rPr>
            </w:pPr>
            <w:r>
              <w:rPr>
                <w:rFonts w:ascii="Arial" w:cs="Arial" w:eastAsia="Arial" w:hAnsi="Arial"/>
                <w:sz w:val="16"/>
                <w:szCs w:val="16"/>
                <w:color w:val="auto"/>
              </w:rPr>
              <w:t>70%</w:t>
            </w:r>
          </w:p>
        </w:tc>
        <w:tc>
          <w:tcPr>
            <w:tcW w:w="1180" w:type="dxa"/>
            <w:vAlign w:val="bottom"/>
            <w:tcBorders>
              <w:bottom w:val="single" w:sz="8" w:color="E8F0F8"/>
            </w:tcBorders>
            <w:shd w:val="clear" w:color="auto" w:fill="E8F0F8"/>
          </w:tcPr>
          <w:p>
            <w:pPr>
              <w:jc w:val="right"/>
              <w:ind w:right="142"/>
              <w:spacing w:after="0"/>
              <w:rPr>
                <w:sz w:val="20"/>
                <w:szCs w:val="20"/>
                <w:color w:val="auto"/>
              </w:rPr>
            </w:pPr>
            <w:r>
              <w:rPr>
                <w:rFonts w:ascii="Arial" w:cs="Arial" w:eastAsia="Arial" w:hAnsi="Arial"/>
                <w:sz w:val="16"/>
                <w:szCs w:val="16"/>
                <w:color w:val="auto"/>
              </w:rPr>
              <w:t>131%</w:t>
            </w:r>
          </w:p>
        </w:tc>
        <w:tc>
          <w:tcPr>
            <w:tcW w:w="1120" w:type="dxa"/>
            <w:vAlign w:val="bottom"/>
            <w:tcBorders>
              <w:bottom w:val="single" w:sz="8" w:color="E8F0F8"/>
            </w:tcBorders>
            <w:shd w:val="clear" w:color="auto" w:fill="E8F0F8"/>
          </w:tcPr>
          <w:p>
            <w:pPr>
              <w:jc w:val="right"/>
              <w:ind w:right="82"/>
              <w:spacing w:after="0"/>
              <w:rPr>
                <w:sz w:val="20"/>
                <w:szCs w:val="20"/>
                <w:color w:val="auto"/>
              </w:rPr>
            </w:pPr>
            <w:r>
              <w:rPr>
                <w:rFonts w:ascii="Arial" w:cs="Arial" w:eastAsia="Arial" w:hAnsi="Arial"/>
                <w:sz w:val="16"/>
                <w:szCs w:val="16"/>
                <w:color w:val="auto"/>
              </w:rPr>
              <w:t>120%</w:t>
            </w:r>
          </w:p>
        </w:tc>
        <w:tc>
          <w:tcPr>
            <w:tcW w:w="26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E8F0F8"/>
            </w:tcBorders>
            <w:shd w:val="clear" w:color="auto" w:fill="E8F0F8"/>
          </w:tcPr>
          <w:p>
            <w:pPr>
              <w:jc w:val="right"/>
              <w:ind w:right="42"/>
              <w:spacing w:after="0"/>
              <w:rPr>
                <w:sz w:val="20"/>
                <w:szCs w:val="20"/>
                <w:color w:val="auto"/>
              </w:rPr>
            </w:pPr>
            <w:r>
              <w:rPr>
                <w:rFonts w:ascii="Arial" w:cs="Arial" w:eastAsia="Arial" w:hAnsi="Arial"/>
                <w:sz w:val="16"/>
                <w:szCs w:val="16"/>
                <w:color w:val="auto"/>
              </w:rPr>
              <w:t>917,837</w:t>
            </w:r>
          </w:p>
        </w:tc>
      </w:tr>
      <w:tr>
        <w:trPr>
          <w:trHeight w:val="237"/>
        </w:trPr>
        <w:tc>
          <w:tcPr>
            <w:tcW w:w="5100" w:type="dxa"/>
            <w:vAlign w:val="bottom"/>
            <w:tcBorders>
              <w:bottom w:val="single" w:sz="8" w:color="BAD3EA"/>
            </w:tcBorders>
            <w:shd w:val="clear" w:color="auto" w:fill="BAD3EA"/>
          </w:tcPr>
          <w:p>
            <w:pPr>
              <w:ind w:left="80"/>
              <w:spacing w:after="0"/>
              <w:rPr>
                <w:sz w:val="20"/>
                <w:szCs w:val="20"/>
                <w:color w:val="auto"/>
              </w:rPr>
            </w:pPr>
            <w:r>
              <w:rPr>
                <w:rFonts w:ascii="Arial" w:cs="Arial" w:eastAsia="Arial" w:hAnsi="Arial"/>
                <w:sz w:val="16"/>
                <w:szCs w:val="16"/>
                <w:color w:val="auto"/>
              </w:rPr>
              <w:t>S. Alexander</w:t>
            </w:r>
          </w:p>
        </w:tc>
        <w:tc>
          <w:tcPr>
            <w:tcW w:w="46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shd w:val="clear" w:color="auto" w:fill="BAD3EA"/>
              </w:rPr>
              <w:t>$</w:t>
            </w:r>
          </w:p>
        </w:tc>
        <w:tc>
          <w:tcPr>
            <w:tcW w:w="80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shd w:val="clear" w:color="auto" w:fill="BAD3EA"/>
              </w:rPr>
              <w:t>749,177</w:t>
            </w:r>
          </w:p>
        </w:tc>
        <w:tc>
          <w:tcPr>
            <w:tcW w:w="1240" w:type="dxa"/>
            <w:vAlign w:val="bottom"/>
            <w:tcBorders>
              <w:bottom w:val="single" w:sz="8" w:color="BAD3EA"/>
            </w:tcBorders>
            <w:shd w:val="clear" w:color="auto" w:fill="BAD3EA"/>
          </w:tcPr>
          <w:p>
            <w:pPr>
              <w:jc w:val="right"/>
              <w:ind w:right="122"/>
              <w:spacing w:after="0"/>
              <w:rPr>
                <w:sz w:val="20"/>
                <w:szCs w:val="20"/>
                <w:color w:val="auto"/>
              </w:rPr>
            </w:pPr>
            <w:r>
              <w:rPr>
                <w:rFonts w:ascii="Arial" w:cs="Arial" w:eastAsia="Arial" w:hAnsi="Arial"/>
                <w:sz w:val="16"/>
                <w:szCs w:val="16"/>
                <w:color w:val="auto"/>
              </w:rPr>
              <w:t>70%</w:t>
            </w:r>
          </w:p>
        </w:tc>
        <w:tc>
          <w:tcPr>
            <w:tcW w:w="1180" w:type="dxa"/>
            <w:vAlign w:val="bottom"/>
            <w:tcBorders>
              <w:bottom w:val="single" w:sz="8" w:color="BAD3EA"/>
            </w:tcBorders>
            <w:shd w:val="clear" w:color="auto" w:fill="BAD3EA"/>
          </w:tcPr>
          <w:p>
            <w:pPr>
              <w:jc w:val="right"/>
              <w:ind w:right="142"/>
              <w:spacing w:after="0"/>
              <w:rPr>
                <w:sz w:val="20"/>
                <w:szCs w:val="20"/>
                <w:color w:val="auto"/>
              </w:rPr>
            </w:pPr>
            <w:r>
              <w:rPr>
                <w:rFonts w:ascii="Arial" w:cs="Arial" w:eastAsia="Arial" w:hAnsi="Arial"/>
                <w:sz w:val="16"/>
                <w:szCs w:val="16"/>
                <w:color w:val="auto"/>
              </w:rPr>
              <w:t>131%</w:t>
            </w:r>
          </w:p>
        </w:tc>
        <w:tc>
          <w:tcPr>
            <w:tcW w:w="1120" w:type="dxa"/>
            <w:vAlign w:val="bottom"/>
            <w:tcBorders>
              <w:bottom w:val="single" w:sz="8" w:color="BAD3EA"/>
            </w:tcBorders>
            <w:shd w:val="clear" w:color="auto" w:fill="BAD3EA"/>
          </w:tcPr>
          <w:p>
            <w:pPr>
              <w:jc w:val="right"/>
              <w:ind w:right="82"/>
              <w:spacing w:after="0"/>
              <w:rPr>
                <w:sz w:val="20"/>
                <w:szCs w:val="20"/>
                <w:color w:val="auto"/>
              </w:rPr>
            </w:pPr>
            <w:r>
              <w:rPr>
                <w:rFonts w:ascii="Arial" w:cs="Arial" w:eastAsia="Arial" w:hAnsi="Arial"/>
                <w:sz w:val="16"/>
                <w:szCs w:val="16"/>
                <w:color w:val="auto"/>
              </w:rPr>
              <w:t>125%</w:t>
            </w:r>
          </w:p>
        </w:tc>
        <w:tc>
          <w:tcPr>
            <w:tcW w:w="26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AD3EA"/>
            </w:tcBorders>
            <w:shd w:val="clear" w:color="auto" w:fill="BAD3EA"/>
          </w:tcPr>
          <w:p>
            <w:pPr>
              <w:jc w:val="right"/>
              <w:ind w:right="42"/>
              <w:spacing w:after="0"/>
              <w:rPr>
                <w:sz w:val="20"/>
                <w:szCs w:val="20"/>
                <w:color w:val="auto"/>
              </w:rPr>
            </w:pPr>
            <w:r>
              <w:rPr>
                <w:rFonts w:ascii="Arial" w:cs="Arial" w:eastAsia="Arial" w:hAnsi="Arial"/>
                <w:sz w:val="16"/>
                <w:szCs w:val="16"/>
                <w:color w:val="auto"/>
              </w:rPr>
              <w:t>858,744</w:t>
            </w:r>
          </w:p>
        </w:tc>
      </w:tr>
      <w:tr>
        <w:trPr>
          <w:trHeight w:val="237"/>
        </w:trPr>
        <w:tc>
          <w:tcPr>
            <w:tcW w:w="5100" w:type="dxa"/>
            <w:vAlign w:val="bottom"/>
            <w:tcBorders>
              <w:bottom w:val="single" w:sz="8" w:color="E8F0F8"/>
            </w:tcBorders>
            <w:shd w:val="clear" w:color="auto" w:fill="E8F0F8"/>
          </w:tcPr>
          <w:p>
            <w:pPr>
              <w:ind w:left="80"/>
              <w:spacing w:after="0"/>
              <w:rPr>
                <w:sz w:val="20"/>
                <w:szCs w:val="20"/>
                <w:color w:val="auto"/>
              </w:rPr>
            </w:pPr>
            <w:r>
              <w:rPr>
                <w:rFonts w:ascii="Arial" w:cs="Arial" w:eastAsia="Arial" w:hAnsi="Arial"/>
                <w:sz w:val="16"/>
                <w:szCs w:val="16"/>
                <w:color w:val="auto"/>
              </w:rPr>
              <w:t>P. McKenzie</w:t>
            </w:r>
          </w:p>
        </w:tc>
        <w:tc>
          <w:tcPr>
            <w:tcW w:w="46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shd w:val="clear" w:color="auto" w:fill="E8F0F8"/>
              </w:rPr>
              <w:t>$</w:t>
            </w:r>
          </w:p>
        </w:tc>
        <w:tc>
          <w:tcPr>
            <w:tcW w:w="80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shd w:val="clear" w:color="auto" w:fill="E8F0F8"/>
              </w:rPr>
              <w:t>633,938</w:t>
            </w:r>
          </w:p>
        </w:tc>
        <w:tc>
          <w:tcPr>
            <w:tcW w:w="1240" w:type="dxa"/>
            <w:vAlign w:val="bottom"/>
            <w:tcBorders>
              <w:bottom w:val="single" w:sz="8" w:color="E8F0F8"/>
            </w:tcBorders>
            <w:shd w:val="clear" w:color="auto" w:fill="E8F0F8"/>
          </w:tcPr>
          <w:p>
            <w:pPr>
              <w:jc w:val="right"/>
              <w:ind w:right="122"/>
              <w:spacing w:after="0"/>
              <w:rPr>
                <w:sz w:val="20"/>
                <w:szCs w:val="20"/>
                <w:color w:val="auto"/>
              </w:rPr>
            </w:pPr>
            <w:r>
              <w:rPr>
                <w:rFonts w:ascii="Arial" w:cs="Arial" w:eastAsia="Arial" w:hAnsi="Arial"/>
                <w:sz w:val="16"/>
                <w:szCs w:val="16"/>
                <w:color w:val="auto"/>
              </w:rPr>
              <w:t>70%</w:t>
            </w:r>
          </w:p>
        </w:tc>
        <w:tc>
          <w:tcPr>
            <w:tcW w:w="1180" w:type="dxa"/>
            <w:vAlign w:val="bottom"/>
            <w:tcBorders>
              <w:bottom w:val="single" w:sz="8" w:color="E8F0F8"/>
            </w:tcBorders>
            <w:shd w:val="clear" w:color="auto" w:fill="E8F0F8"/>
          </w:tcPr>
          <w:p>
            <w:pPr>
              <w:jc w:val="right"/>
              <w:ind w:right="142"/>
              <w:spacing w:after="0"/>
              <w:rPr>
                <w:sz w:val="20"/>
                <w:szCs w:val="20"/>
                <w:color w:val="auto"/>
              </w:rPr>
            </w:pPr>
            <w:r>
              <w:rPr>
                <w:rFonts w:ascii="Arial" w:cs="Arial" w:eastAsia="Arial" w:hAnsi="Arial"/>
                <w:sz w:val="16"/>
                <w:szCs w:val="16"/>
                <w:color w:val="auto"/>
              </w:rPr>
              <w:t>131%</w:t>
            </w:r>
          </w:p>
        </w:tc>
        <w:tc>
          <w:tcPr>
            <w:tcW w:w="1120" w:type="dxa"/>
            <w:vAlign w:val="bottom"/>
            <w:tcBorders>
              <w:bottom w:val="single" w:sz="8" w:color="E8F0F8"/>
            </w:tcBorders>
            <w:shd w:val="clear" w:color="auto" w:fill="E8F0F8"/>
          </w:tcPr>
          <w:p>
            <w:pPr>
              <w:jc w:val="right"/>
              <w:ind w:right="82"/>
              <w:spacing w:after="0"/>
              <w:rPr>
                <w:sz w:val="20"/>
                <w:szCs w:val="20"/>
                <w:color w:val="auto"/>
              </w:rPr>
            </w:pPr>
            <w:r>
              <w:rPr>
                <w:rFonts w:ascii="Arial" w:cs="Arial" w:eastAsia="Arial" w:hAnsi="Arial"/>
                <w:sz w:val="16"/>
                <w:szCs w:val="16"/>
                <w:color w:val="auto"/>
              </w:rPr>
              <w:t>135%</w:t>
            </w:r>
          </w:p>
        </w:tc>
        <w:tc>
          <w:tcPr>
            <w:tcW w:w="26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E8F0F8"/>
            </w:tcBorders>
            <w:shd w:val="clear" w:color="auto" w:fill="E8F0F8"/>
          </w:tcPr>
          <w:p>
            <w:pPr>
              <w:jc w:val="right"/>
              <w:ind w:right="42"/>
              <w:spacing w:after="0"/>
              <w:rPr>
                <w:sz w:val="20"/>
                <w:szCs w:val="20"/>
                <w:color w:val="auto"/>
              </w:rPr>
            </w:pPr>
            <w:r>
              <w:rPr>
                <w:rFonts w:ascii="Arial" w:cs="Arial" w:eastAsia="Arial" w:hAnsi="Arial"/>
                <w:sz w:val="16"/>
                <w:szCs w:val="16"/>
                <w:color w:val="auto"/>
              </w:rPr>
              <w:t>784,784</w:t>
            </w: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1A6DBB"/>
        </w:rPr>
        <w:t>Long-Term Incentives</w:t>
      </w:r>
    </w:p>
    <w:p>
      <w:pPr>
        <w:spacing w:after="0" w:line="262"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860" w:type="dxa"/>
            <w:vAlign w:val="bottom"/>
            <w:tcBorders>
              <w:bottom w:val="single" w:sz="8" w:color="1A6DBB"/>
            </w:tcBorders>
            <w:shd w:val="clear" w:color="auto" w:fill="1A6DBB"/>
          </w:tcPr>
          <w:p>
            <w:pPr>
              <w:spacing w:after="0"/>
              <w:rPr>
                <w:sz w:val="20"/>
                <w:szCs w:val="20"/>
                <w:color w:val="auto"/>
              </w:rPr>
            </w:pPr>
            <w:r>
              <w:rPr>
                <w:rFonts w:ascii="Arial" w:cs="Arial" w:eastAsia="Arial" w:hAnsi="Arial"/>
                <w:sz w:val="14"/>
                <w:szCs w:val="14"/>
                <w:color w:val="FFFFFF"/>
              </w:rPr>
              <w:t>Terms</w:t>
            </w:r>
          </w:p>
        </w:tc>
        <w:tc>
          <w:tcPr>
            <w:tcW w:w="5300" w:type="dxa"/>
            <w:vAlign w:val="bottom"/>
            <w:tcBorders>
              <w:bottom w:val="single" w:sz="8" w:color="1A6DBB"/>
            </w:tcBorders>
            <w:gridSpan w:val="2"/>
            <w:shd w:val="clear" w:color="auto" w:fill="1A6DBB"/>
          </w:tcPr>
          <w:p>
            <w:pPr>
              <w:jc w:val="center"/>
              <w:ind w:left="160"/>
              <w:spacing w:after="0"/>
              <w:rPr>
                <w:sz w:val="20"/>
                <w:szCs w:val="20"/>
                <w:color w:val="auto"/>
              </w:rPr>
            </w:pPr>
            <w:r>
              <w:rPr>
                <w:rFonts w:ascii="Arial" w:cs="Arial" w:eastAsia="Arial" w:hAnsi="Arial"/>
                <w:sz w:val="14"/>
                <w:szCs w:val="14"/>
                <w:color w:val="FFFFFF"/>
              </w:rPr>
              <w:t>Performance Stock Units (PSUs)</w:t>
            </w:r>
          </w:p>
        </w:tc>
        <w:tc>
          <w:tcPr>
            <w:tcW w:w="3860" w:type="dxa"/>
            <w:vAlign w:val="bottom"/>
            <w:tcBorders>
              <w:bottom w:val="single" w:sz="8" w:color="1A6DBB"/>
            </w:tcBorders>
            <w:shd w:val="clear" w:color="auto" w:fill="1A6DBB"/>
          </w:tcPr>
          <w:p>
            <w:pPr>
              <w:jc w:val="center"/>
              <w:ind w:left="100"/>
              <w:spacing w:after="0"/>
              <w:rPr>
                <w:sz w:val="20"/>
                <w:szCs w:val="20"/>
                <w:color w:val="auto"/>
              </w:rPr>
            </w:pPr>
            <w:r>
              <w:rPr>
                <w:rFonts w:ascii="Arial" w:cs="Arial" w:eastAsia="Arial" w:hAnsi="Arial"/>
                <w:sz w:val="14"/>
                <w:szCs w:val="14"/>
                <w:color w:val="FFFFFF"/>
              </w:rPr>
              <w:t>Market Share Units (MSUs)</w:t>
            </w:r>
          </w:p>
        </w:tc>
      </w:tr>
      <w:tr>
        <w:trPr>
          <w:trHeight w:val="191"/>
        </w:trPr>
        <w:tc>
          <w:tcPr>
            <w:tcW w:w="20" w:type="dxa"/>
            <w:vAlign w:val="bottom"/>
          </w:tcPr>
          <w:p>
            <w:pPr>
              <w:spacing w:after="0"/>
              <w:rPr>
                <w:sz w:val="16"/>
                <w:szCs w:val="16"/>
                <w:color w:val="auto"/>
              </w:rPr>
            </w:pPr>
          </w:p>
        </w:tc>
        <w:tc>
          <w:tcPr>
            <w:tcW w:w="1860" w:type="dxa"/>
            <w:vAlign w:val="bottom"/>
            <w:shd w:val="clear" w:color="auto" w:fill="E8F0F8"/>
          </w:tcPr>
          <w:p>
            <w:pPr>
              <w:ind w:left="80"/>
              <w:spacing w:after="0"/>
              <w:rPr>
                <w:sz w:val="20"/>
                <w:szCs w:val="20"/>
                <w:color w:val="auto"/>
              </w:rPr>
            </w:pPr>
            <w:r>
              <w:rPr>
                <w:rFonts w:ascii="Arial" w:cs="Arial" w:eastAsia="Arial" w:hAnsi="Arial"/>
                <w:sz w:val="16"/>
                <w:szCs w:val="16"/>
                <w:color w:val="auto"/>
              </w:rPr>
              <w:t>Proportion of</w:t>
            </w:r>
          </w:p>
        </w:tc>
        <w:tc>
          <w:tcPr>
            <w:tcW w:w="3020" w:type="dxa"/>
            <w:vAlign w:val="bottom"/>
            <w:shd w:val="clear" w:color="auto" w:fill="E8F0F8"/>
          </w:tcPr>
          <w:p>
            <w:pPr>
              <w:jc w:val="right"/>
              <w:ind w:right="20"/>
              <w:spacing w:after="0"/>
              <w:rPr>
                <w:sz w:val="20"/>
                <w:szCs w:val="20"/>
                <w:color w:val="auto"/>
              </w:rPr>
            </w:pPr>
            <w:r>
              <w:rPr>
                <w:rFonts w:ascii="Arial" w:cs="Arial" w:eastAsia="Arial" w:hAnsi="Arial"/>
                <w:sz w:val="16"/>
                <w:szCs w:val="16"/>
                <w:color w:val="auto"/>
              </w:rPr>
              <w:t>50%</w:t>
            </w:r>
          </w:p>
        </w:tc>
        <w:tc>
          <w:tcPr>
            <w:tcW w:w="2280" w:type="dxa"/>
            <w:vAlign w:val="bottom"/>
            <w:shd w:val="clear" w:color="auto" w:fill="E8F0F8"/>
          </w:tcPr>
          <w:p>
            <w:pPr>
              <w:spacing w:after="0"/>
              <w:rPr>
                <w:sz w:val="16"/>
                <w:szCs w:val="16"/>
                <w:color w:val="auto"/>
              </w:rPr>
            </w:pPr>
          </w:p>
        </w:tc>
        <w:tc>
          <w:tcPr>
            <w:tcW w:w="3860" w:type="dxa"/>
            <w:vAlign w:val="bottom"/>
            <w:shd w:val="clear" w:color="auto" w:fill="E8F0F8"/>
          </w:tcPr>
          <w:p>
            <w:pPr>
              <w:jc w:val="right"/>
              <w:ind w:right="1600"/>
              <w:spacing w:after="0"/>
              <w:rPr>
                <w:sz w:val="20"/>
                <w:szCs w:val="20"/>
                <w:color w:val="auto"/>
              </w:rPr>
            </w:pPr>
            <w:r>
              <w:rPr>
                <w:rFonts w:ascii="Arial" w:cs="Arial" w:eastAsia="Arial" w:hAnsi="Arial"/>
                <w:sz w:val="16"/>
                <w:szCs w:val="16"/>
                <w:color w:val="auto"/>
              </w:rPr>
              <w:t>50%</w:t>
            </w:r>
          </w:p>
        </w:tc>
      </w:tr>
      <w:tr>
        <w:trPr>
          <w:trHeight w:val="221"/>
        </w:trPr>
        <w:tc>
          <w:tcPr>
            <w:tcW w:w="20" w:type="dxa"/>
            <w:vAlign w:val="bottom"/>
          </w:tcPr>
          <w:p>
            <w:pPr>
              <w:spacing w:after="0"/>
              <w:rPr>
                <w:sz w:val="19"/>
                <w:szCs w:val="19"/>
                <w:color w:val="auto"/>
              </w:rPr>
            </w:pPr>
          </w:p>
        </w:tc>
        <w:tc>
          <w:tcPr>
            <w:tcW w:w="1860" w:type="dxa"/>
            <w:vAlign w:val="bottom"/>
            <w:tcBorders>
              <w:bottom w:val="single" w:sz="8" w:color="E8F0F8"/>
            </w:tcBorders>
            <w:shd w:val="clear" w:color="auto" w:fill="E8F0F8"/>
          </w:tcPr>
          <w:p>
            <w:pPr>
              <w:ind w:left="60"/>
              <w:spacing w:after="0"/>
              <w:rPr>
                <w:sz w:val="20"/>
                <w:szCs w:val="20"/>
                <w:color w:val="auto"/>
              </w:rPr>
            </w:pPr>
            <w:r>
              <w:rPr>
                <w:rFonts w:ascii="Arial" w:cs="Arial" w:eastAsia="Arial" w:hAnsi="Arial"/>
                <w:sz w:val="16"/>
                <w:szCs w:val="16"/>
                <w:color w:val="auto"/>
              </w:rPr>
              <w:t>Annual Target Value</w:t>
            </w:r>
          </w:p>
        </w:tc>
        <w:tc>
          <w:tcPr>
            <w:tcW w:w="3020" w:type="dxa"/>
            <w:vAlign w:val="bottom"/>
            <w:tcBorders>
              <w:bottom w:val="single" w:sz="8" w:color="E8F0F8"/>
            </w:tcBorders>
            <w:shd w:val="clear" w:color="auto" w:fill="E8F0F8"/>
          </w:tcPr>
          <w:p>
            <w:pPr>
              <w:spacing w:after="0"/>
              <w:rPr>
                <w:sz w:val="19"/>
                <w:szCs w:val="19"/>
                <w:color w:val="auto"/>
              </w:rPr>
            </w:pPr>
          </w:p>
        </w:tc>
        <w:tc>
          <w:tcPr>
            <w:tcW w:w="2280" w:type="dxa"/>
            <w:vAlign w:val="bottom"/>
            <w:tcBorders>
              <w:bottom w:val="single" w:sz="8" w:color="E8F0F8"/>
            </w:tcBorders>
            <w:shd w:val="clear" w:color="auto" w:fill="E8F0F8"/>
          </w:tcPr>
          <w:p>
            <w:pPr>
              <w:spacing w:after="0"/>
              <w:rPr>
                <w:sz w:val="19"/>
                <w:szCs w:val="19"/>
                <w:color w:val="auto"/>
              </w:rPr>
            </w:pPr>
          </w:p>
        </w:tc>
        <w:tc>
          <w:tcPr>
            <w:tcW w:w="3860" w:type="dxa"/>
            <w:vAlign w:val="bottom"/>
            <w:tcBorders>
              <w:bottom w:val="single" w:sz="8" w:color="E8F0F8"/>
            </w:tcBorders>
            <w:shd w:val="clear" w:color="auto" w:fill="E8F0F8"/>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860" w:type="dxa"/>
            <w:vAlign w:val="bottom"/>
            <w:tcBorders>
              <w:bottom w:val="single" w:sz="8" w:color="BAD3EA"/>
            </w:tcBorders>
            <w:shd w:val="clear" w:color="auto" w:fill="BAD3EA"/>
          </w:tcPr>
          <w:p>
            <w:pPr>
              <w:ind w:left="80"/>
              <w:spacing w:after="0"/>
              <w:rPr>
                <w:sz w:val="20"/>
                <w:szCs w:val="20"/>
                <w:color w:val="auto"/>
              </w:rPr>
            </w:pPr>
            <w:r>
              <w:rPr>
                <w:rFonts w:ascii="Arial" w:cs="Arial" w:eastAsia="Arial" w:hAnsi="Arial"/>
                <w:sz w:val="16"/>
                <w:szCs w:val="16"/>
                <w:color w:val="auto"/>
              </w:rPr>
              <w:t>Settlement</w:t>
            </w:r>
          </w:p>
        </w:tc>
        <w:tc>
          <w:tcPr>
            <w:tcW w:w="3020" w:type="dxa"/>
            <w:vAlign w:val="bottom"/>
            <w:tcBorders>
              <w:bottom w:val="single" w:sz="8" w:color="BAD3EA"/>
            </w:tcBorders>
            <w:shd w:val="clear" w:color="auto" w:fill="BAD3EA"/>
          </w:tcPr>
          <w:p>
            <w:pPr>
              <w:jc w:val="center"/>
              <w:ind w:right="40"/>
              <w:spacing w:after="0"/>
              <w:rPr>
                <w:sz w:val="20"/>
                <w:szCs w:val="20"/>
                <w:color w:val="auto"/>
              </w:rPr>
            </w:pPr>
            <w:r>
              <w:rPr>
                <w:rFonts w:ascii="Arial" w:cs="Arial" w:eastAsia="Arial" w:hAnsi="Arial"/>
                <w:sz w:val="16"/>
                <w:szCs w:val="16"/>
                <w:color w:val="auto"/>
              </w:rPr>
              <w:t>60% stock settled</w:t>
            </w:r>
          </w:p>
        </w:tc>
        <w:tc>
          <w:tcPr>
            <w:tcW w:w="2280" w:type="dxa"/>
            <w:vAlign w:val="bottom"/>
            <w:tcBorders>
              <w:bottom w:val="single" w:sz="8" w:color="BAD3EA"/>
            </w:tcBorders>
            <w:shd w:val="clear" w:color="auto" w:fill="BAD3EA"/>
          </w:tcPr>
          <w:p>
            <w:pPr>
              <w:jc w:val="center"/>
              <w:ind w:right="79"/>
              <w:spacing w:after="0"/>
              <w:rPr>
                <w:sz w:val="20"/>
                <w:szCs w:val="20"/>
                <w:color w:val="auto"/>
              </w:rPr>
            </w:pPr>
            <w:r>
              <w:rPr>
                <w:rFonts w:ascii="Arial" w:cs="Arial" w:eastAsia="Arial" w:hAnsi="Arial"/>
                <w:sz w:val="16"/>
                <w:szCs w:val="16"/>
                <w:color w:val="auto"/>
              </w:rPr>
              <w:t>40% cash settled</w:t>
            </w:r>
          </w:p>
        </w:tc>
        <w:tc>
          <w:tcPr>
            <w:tcW w:w="3860" w:type="dxa"/>
            <w:vAlign w:val="bottom"/>
            <w:tcBorders>
              <w:bottom w:val="single" w:sz="8" w:color="BAD3EA"/>
            </w:tcBorders>
            <w:shd w:val="clear" w:color="auto" w:fill="BAD3EA"/>
          </w:tcPr>
          <w:p>
            <w:pPr>
              <w:jc w:val="center"/>
              <w:ind w:left="100"/>
              <w:spacing w:after="0"/>
              <w:rPr>
                <w:sz w:val="20"/>
                <w:szCs w:val="20"/>
                <w:color w:val="auto"/>
              </w:rPr>
            </w:pPr>
            <w:r>
              <w:rPr>
                <w:rFonts w:ascii="Arial" w:cs="Arial" w:eastAsia="Arial" w:hAnsi="Arial"/>
                <w:sz w:val="16"/>
                <w:szCs w:val="16"/>
                <w:color w:val="auto"/>
              </w:rPr>
              <w:t>100% stock settled</w:t>
            </w:r>
          </w:p>
        </w:tc>
      </w:tr>
      <w:tr>
        <w:trPr>
          <w:trHeight w:val="191"/>
        </w:trPr>
        <w:tc>
          <w:tcPr>
            <w:tcW w:w="20" w:type="dxa"/>
            <w:vAlign w:val="bottom"/>
          </w:tcPr>
          <w:p>
            <w:pPr>
              <w:spacing w:after="0"/>
              <w:rPr>
                <w:sz w:val="16"/>
                <w:szCs w:val="16"/>
                <w:color w:val="auto"/>
              </w:rPr>
            </w:pPr>
          </w:p>
        </w:tc>
        <w:tc>
          <w:tcPr>
            <w:tcW w:w="1860" w:type="dxa"/>
            <w:vAlign w:val="bottom"/>
            <w:shd w:val="clear" w:color="auto" w:fill="E8F0F8"/>
          </w:tcPr>
          <w:p>
            <w:pPr>
              <w:ind w:left="80"/>
              <w:spacing w:after="0"/>
              <w:rPr>
                <w:sz w:val="20"/>
                <w:szCs w:val="20"/>
                <w:color w:val="auto"/>
              </w:rPr>
            </w:pPr>
            <w:r>
              <w:rPr>
                <w:rFonts w:ascii="Arial" w:cs="Arial" w:eastAsia="Arial" w:hAnsi="Arial"/>
                <w:sz w:val="16"/>
                <w:szCs w:val="16"/>
                <w:color w:val="auto"/>
              </w:rPr>
              <w:t>Performance  Period(s)</w:t>
            </w:r>
          </w:p>
        </w:tc>
        <w:tc>
          <w:tcPr>
            <w:tcW w:w="3020" w:type="dxa"/>
            <w:vAlign w:val="bottom"/>
            <w:shd w:val="clear" w:color="auto" w:fill="E8F0F8"/>
          </w:tcPr>
          <w:p>
            <w:pPr>
              <w:jc w:val="center"/>
              <w:ind w:right="40"/>
              <w:spacing w:after="0"/>
              <w:rPr>
                <w:sz w:val="20"/>
                <w:szCs w:val="20"/>
                <w:color w:val="auto"/>
              </w:rPr>
            </w:pPr>
            <w:r>
              <w:rPr>
                <w:rFonts w:ascii="Arial" w:cs="Arial" w:eastAsia="Arial" w:hAnsi="Arial"/>
                <w:sz w:val="16"/>
                <w:szCs w:val="16"/>
                <w:color w:val="auto"/>
              </w:rPr>
              <w:t>3 years</w:t>
            </w:r>
          </w:p>
        </w:tc>
        <w:tc>
          <w:tcPr>
            <w:tcW w:w="2280" w:type="dxa"/>
            <w:vAlign w:val="bottom"/>
            <w:shd w:val="clear" w:color="auto" w:fill="E8F0F8"/>
          </w:tcPr>
          <w:p>
            <w:pPr>
              <w:jc w:val="center"/>
              <w:ind w:right="59"/>
              <w:spacing w:after="0"/>
              <w:rPr>
                <w:sz w:val="20"/>
                <w:szCs w:val="20"/>
                <w:color w:val="auto"/>
              </w:rPr>
            </w:pPr>
            <w:r>
              <w:rPr>
                <w:rFonts w:ascii="Arial" w:cs="Arial" w:eastAsia="Arial" w:hAnsi="Arial"/>
                <w:sz w:val="16"/>
                <w:szCs w:val="16"/>
                <w:color w:val="auto"/>
              </w:rPr>
              <w:t>1 year</w:t>
            </w:r>
          </w:p>
        </w:tc>
        <w:tc>
          <w:tcPr>
            <w:tcW w:w="3860" w:type="dxa"/>
            <w:vAlign w:val="bottom"/>
            <w:shd w:val="clear" w:color="auto" w:fill="E8F0F8"/>
          </w:tcPr>
          <w:p>
            <w:pPr>
              <w:jc w:val="center"/>
              <w:ind w:left="120"/>
              <w:spacing w:after="0"/>
              <w:rPr>
                <w:sz w:val="20"/>
                <w:szCs w:val="20"/>
                <w:color w:val="auto"/>
              </w:rPr>
            </w:pPr>
            <w:r>
              <w:rPr>
                <w:rFonts w:ascii="Arial" w:cs="Arial" w:eastAsia="Arial" w:hAnsi="Arial"/>
                <w:sz w:val="16"/>
                <w:szCs w:val="16"/>
                <w:color w:val="auto"/>
              </w:rPr>
              <w:t>1 year, 2 years, 3 years</w:t>
            </w:r>
          </w:p>
        </w:tc>
      </w:tr>
      <w:tr>
        <w:trPr>
          <w:trHeight w:val="221"/>
        </w:trPr>
        <w:tc>
          <w:tcPr>
            <w:tcW w:w="20" w:type="dxa"/>
            <w:vAlign w:val="bottom"/>
          </w:tcPr>
          <w:p>
            <w:pPr>
              <w:spacing w:after="0"/>
              <w:rPr>
                <w:sz w:val="19"/>
                <w:szCs w:val="19"/>
                <w:color w:val="auto"/>
              </w:rPr>
            </w:pPr>
          </w:p>
        </w:tc>
        <w:tc>
          <w:tcPr>
            <w:tcW w:w="1860" w:type="dxa"/>
            <w:vAlign w:val="bottom"/>
            <w:tcBorders>
              <w:bottom w:val="single" w:sz="8" w:color="E8F0F8"/>
            </w:tcBorders>
            <w:shd w:val="clear" w:color="auto" w:fill="E8F0F8"/>
          </w:tcPr>
          <w:p>
            <w:pPr>
              <w:spacing w:after="0"/>
              <w:rPr>
                <w:sz w:val="19"/>
                <w:szCs w:val="19"/>
                <w:color w:val="auto"/>
              </w:rPr>
            </w:pPr>
          </w:p>
        </w:tc>
        <w:tc>
          <w:tcPr>
            <w:tcW w:w="3020" w:type="dxa"/>
            <w:vAlign w:val="bottom"/>
            <w:tcBorders>
              <w:bottom w:val="single" w:sz="8" w:color="E8F0F8"/>
            </w:tcBorders>
            <w:shd w:val="clear" w:color="auto" w:fill="E8F0F8"/>
          </w:tcPr>
          <w:p>
            <w:pPr>
              <w:jc w:val="center"/>
              <w:ind w:right="60"/>
              <w:spacing w:after="0"/>
              <w:rPr>
                <w:sz w:val="20"/>
                <w:szCs w:val="20"/>
                <w:color w:val="auto"/>
              </w:rPr>
            </w:pPr>
            <w:r>
              <w:rPr>
                <w:rFonts w:ascii="Arial" w:cs="Arial" w:eastAsia="Arial" w:hAnsi="Arial"/>
                <w:sz w:val="16"/>
                <w:szCs w:val="16"/>
                <w:color w:val="auto"/>
              </w:rPr>
              <w:t>(2018-2020)</w:t>
            </w:r>
          </w:p>
        </w:tc>
        <w:tc>
          <w:tcPr>
            <w:tcW w:w="2280" w:type="dxa"/>
            <w:vAlign w:val="bottom"/>
            <w:tcBorders>
              <w:bottom w:val="single" w:sz="8" w:color="E8F0F8"/>
            </w:tcBorders>
            <w:shd w:val="clear" w:color="auto" w:fill="E8F0F8"/>
          </w:tcPr>
          <w:p>
            <w:pPr>
              <w:jc w:val="center"/>
              <w:ind w:right="59"/>
              <w:spacing w:after="0"/>
              <w:rPr>
                <w:sz w:val="20"/>
                <w:szCs w:val="20"/>
                <w:color w:val="auto"/>
              </w:rPr>
            </w:pPr>
            <w:r>
              <w:rPr>
                <w:rFonts w:ascii="Arial" w:cs="Arial" w:eastAsia="Arial" w:hAnsi="Arial"/>
                <w:sz w:val="16"/>
                <w:szCs w:val="16"/>
                <w:color w:val="auto"/>
              </w:rPr>
              <w:t>(each of 2018, 2019, 2020)</w:t>
            </w:r>
          </w:p>
        </w:tc>
        <w:tc>
          <w:tcPr>
            <w:tcW w:w="3860" w:type="dxa"/>
            <w:vAlign w:val="bottom"/>
            <w:tcBorders>
              <w:bottom w:val="single" w:sz="8" w:color="E8F0F8"/>
            </w:tcBorders>
            <w:shd w:val="clear" w:color="auto" w:fill="E8F0F8"/>
          </w:tcPr>
          <w:p>
            <w:pPr>
              <w:jc w:val="center"/>
              <w:ind w:left="120"/>
              <w:spacing w:after="0"/>
              <w:rPr>
                <w:sz w:val="20"/>
                <w:szCs w:val="20"/>
                <w:color w:val="auto"/>
              </w:rPr>
            </w:pPr>
            <w:r>
              <w:rPr>
                <w:rFonts w:ascii="Arial" w:cs="Arial" w:eastAsia="Arial" w:hAnsi="Arial"/>
                <w:sz w:val="16"/>
                <w:szCs w:val="16"/>
                <w:color w:val="auto"/>
              </w:rPr>
              <w:t>(from grant date)</w:t>
            </w:r>
          </w:p>
        </w:tc>
      </w:tr>
      <w:tr>
        <w:trPr>
          <w:trHeight w:val="191"/>
        </w:trPr>
        <w:tc>
          <w:tcPr>
            <w:tcW w:w="20" w:type="dxa"/>
            <w:vAlign w:val="bottom"/>
          </w:tcPr>
          <w:p>
            <w:pPr>
              <w:spacing w:after="0"/>
              <w:rPr>
                <w:sz w:val="16"/>
                <w:szCs w:val="16"/>
                <w:color w:val="auto"/>
              </w:rPr>
            </w:pPr>
          </w:p>
        </w:tc>
        <w:tc>
          <w:tcPr>
            <w:tcW w:w="1860" w:type="dxa"/>
            <w:vAlign w:val="bottom"/>
            <w:shd w:val="clear" w:color="auto" w:fill="BAD3EA"/>
          </w:tcPr>
          <w:p>
            <w:pPr>
              <w:ind w:left="80"/>
              <w:spacing w:after="0"/>
              <w:rPr>
                <w:sz w:val="20"/>
                <w:szCs w:val="20"/>
                <w:color w:val="auto"/>
              </w:rPr>
            </w:pPr>
            <w:r>
              <w:rPr>
                <w:rFonts w:ascii="Arial" w:cs="Arial" w:eastAsia="Arial" w:hAnsi="Arial"/>
                <w:sz w:val="16"/>
                <w:szCs w:val="16"/>
                <w:color w:val="auto"/>
              </w:rPr>
              <w:t>Metrics and</w:t>
            </w:r>
          </w:p>
        </w:tc>
        <w:tc>
          <w:tcPr>
            <w:tcW w:w="3020" w:type="dxa"/>
            <w:vAlign w:val="bottom"/>
            <w:shd w:val="clear" w:color="auto" w:fill="BAD3EA"/>
          </w:tcPr>
          <w:p>
            <w:pPr>
              <w:jc w:val="center"/>
              <w:ind w:right="60"/>
              <w:spacing w:after="0"/>
              <w:rPr>
                <w:sz w:val="20"/>
                <w:szCs w:val="20"/>
                <w:color w:val="auto"/>
              </w:rPr>
            </w:pPr>
            <w:r>
              <w:rPr>
                <w:rFonts w:ascii="Arial" w:cs="Arial" w:eastAsia="Arial" w:hAnsi="Arial"/>
                <w:sz w:val="16"/>
                <w:szCs w:val="16"/>
                <w:color w:val="auto"/>
              </w:rPr>
              <w:t>Adjusted Non-GAAP</w:t>
            </w:r>
          </w:p>
        </w:tc>
        <w:tc>
          <w:tcPr>
            <w:tcW w:w="2280" w:type="dxa"/>
            <w:vAlign w:val="bottom"/>
            <w:shd w:val="clear" w:color="auto" w:fill="BAD3EA"/>
          </w:tcPr>
          <w:p>
            <w:pPr>
              <w:jc w:val="center"/>
              <w:ind w:right="59"/>
              <w:spacing w:after="0"/>
              <w:rPr>
                <w:sz w:val="20"/>
                <w:szCs w:val="20"/>
                <w:color w:val="auto"/>
              </w:rPr>
            </w:pPr>
            <w:r>
              <w:rPr>
                <w:rFonts w:ascii="Arial" w:cs="Arial" w:eastAsia="Arial" w:hAnsi="Arial"/>
                <w:sz w:val="16"/>
                <w:szCs w:val="16"/>
                <w:color w:val="auto"/>
              </w:rPr>
              <w:t>Adjusted Free</w:t>
            </w:r>
          </w:p>
        </w:tc>
        <w:tc>
          <w:tcPr>
            <w:tcW w:w="3860" w:type="dxa"/>
            <w:vAlign w:val="bottom"/>
            <w:shd w:val="clear" w:color="auto" w:fill="BAD3EA"/>
          </w:tcPr>
          <w:p>
            <w:pPr>
              <w:jc w:val="center"/>
              <w:ind w:left="100"/>
              <w:spacing w:after="0"/>
              <w:rPr>
                <w:sz w:val="20"/>
                <w:szCs w:val="20"/>
                <w:color w:val="auto"/>
              </w:rPr>
            </w:pPr>
            <w:r>
              <w:rPr>
                <w:rFonts w:ascii="Arial" w:cs="Arial" w:eastAsia="Arial" w:hAnsi="Arial"/>
                <w:sz w:val="16"/>
                <w:szCs w:val="16"/>
                <w:color w:val="auto"/>
              </w:rPr>
              <w:t>Stock Price: 100%</w:t>
            </w:r>
          </w:p>
        </w:tc>
      </w:tr>
      <w:tr>
        <w:trPr>
          <w:trHeight w:val="195"/>
        </w:trPr>
        <w:tc>
          <w:tcPr>
            <w:tcW w:w="20" w:type="dxa"/>
            <w:vAlign w:val="bottom"/>
          </w:tcPr>
          <w:p>
            <w:pPr>
              <w:spacing w:after="0"/>
              <w:rPr>
                <w:sz w:val="16"/>
                <w:szCs w:val="16"/>
                <w:color w:val="auto"/>
              </w:rPr>
            </w:pPr>
          </w:p>
        </w:tc>
        <w:tc>
          <w:tcPr>
            <w:tcW w:w="1860" w:type="dxa"/>
            <w:vAlign w:val="bottom"/>
            <w:shd w:val="clear" w:color="auto" w:fill="BAD3EA"/>
          </w:tcPr>
          <w:p>
            <w:pPr>
              <w:ind w:left="80"/>
              <w:spacing w:after="0"/>
              <w:rPr>
                <w:sz w:val="20"/>
                <w:szCs w:val="20"/>
                <w:color w:val="auto"/>
              </w:rPr>
            </w:pPr>
            <w:r>
              <w:rPr>
                <w:rFonts w:ascii="Arial" w:cs="Arial" w:eastAsia="Arial" w:hAnsi="Arial"/>
                <w:sz w:val="16"/>
                <w:szCs w:val="16"/>
                <w:color w:val="auto"/>
              </w:rPr>
              <w:t>Weighting</w:t>
            </w:r>
          </w:p>
        </w:tc>
        <w:tc>
          <w:tcPr>
            <w:tcW w:w="3020" w:type="dxa"/>
            <w:vAlign w:val="bottom"/>
            <w:shd w:val="clear" w:color="auto" w:fill="BAD3EA"/>
          </w:tcPr>
          <w:p>
            <w:pPr>
              <w:jc w:val="center"/>
              <w:ind w:right="40"/>
              <w:spacing w:after="0"/>
              <w:rPr>
                <w:sz w:val="20"/>
                <w:szCs w:val="20"/>
                <w:color w:val="auto"/>
              </w:rPr>
            </w:pPr>
            <w:r>
              <w:rPr>
                <w:rFonts w:ascii="Arial" w:cs="Arial" w:eastAsia="Arial" w:hAnsi="Arial"/>
                <w:sz w:val="16"/>
                <w:szCs w:val="16"/>
                <w:color w:val="auto"/>
              </w:rPr>
              <w:t>diluted EPS: 30%</w:t>
            </w:r>
          </w:p>
        </w:tc>
        <w:tc>
          <w:tcPr>
            <w:tcW w:w="2280" w:type="dxa"/>
            <w:vAlign w:val="bottom"/>
            <w:shd w:val="clear" w:color="auto" w:fill="BAD3EA"/>
          </w:tcPr>
          <w:p>
            <w:pPr>
              <w:jc w:val="center"/>
              <w:ind w:right="59"/>
              <w:spacing w:after="0"/>
              <w:rPr>
                <w:sz w:val="20"/>
                <w:szCs w:val="20"/>
                <w:color w:val="auto"/>
              </w:rPr>
            </w:pPr>
            <w:r>
              <w:rPr>
                <w:rFonts w:ascii="Arial" w:cs="Arial" w:eastAsia="Arial" w:hAnsi="Arial"/>
                <w:sz w:val="16"/>
                <w:szCs w:val="16"/>
                <w:color w:val="auto"/>
              </w:rPr>
              <w:t>Cash Flow: 28%</w:t>
            </w:r>
          </w:p>
        </w:tc>
        <w:tc>
          <w:tcPr>
            <w:tcW w:w="3860" w:type="dxa"/>
            <w:vAlign w:val="bottom"/>
            <w:shd w:val="clear" w:color="auto" w:fill="BAD3EA"/>
          </w:tcPr>
          <w:p>
            <w:pPr>
              <w:spacing w:after="0"/>
              <w:rPr>
                <w:sz w:val="16"/>
                <w:szCs w:val="16"/>
                <w:color w:val="auto"/>
              </w:rPr>
            </w:pPr>
          </w:p>
        </w:tc>
      </w:tr>
      <w:tr>
        <w:trPr>
          <w:trHeight w:val="305"/>
        </w:trPr>
        <w:tc>
          <w:tcPr>
            <w:tcW w:w="20" w:type="dxa"/>
            <w:vAlign w:val="bottom"/>
          </w:tcPr>
          <w:p>
            <w:pPr>
              <w:spacing w:after="0"/>
              <w:rPr>
                <w:sz w:val="24"/>
                <w:szCs w:val="24"/>
                <w:color w:val="auto"/>
              </w:rPr>
            </w:pPr>
          </w:p>
        </w:tc>
        <w:tc>
          <w:tcPr>
            <w:tcW w:w="1860" w:type="dxa"/>
            <w:vAlign w:val="bottom"/>
            <w:shd w:val="clear" w:color="auto" w:fill="BAD3EA"/>
          </w:tcPr>
          <w:p>
            <w:pPr>
              <w:spacing w:after="0"/>
              <w:rPr>
                <w:sz w:val="24"/>
                <w:szCs w:val="24"/>
                <w:color w:val="auto"/>
              </w:rPr>
            </w:pPr>
          </w:p>
        </w:tc>
        <w:tc>
          <w:tcPr>
            <w:tcW w:w="3020" w:type="dxa"/>
            <w:vAlign w:val="bottom"/>
            <w:shd w:val="clear" w:color="auto" w:fill="BAD3EA"/>
          </w:tcPr>
          <w:p>
            <w:pPr>
              <w:jc w:val="center"/>
              <w:ind w:right="40"/>
              <w:spacing w:after="0"/>
              <w:rPr>
                <w:sz w:val="20"/>
                <w:szCs w:val="20"/>
                <w:color w:val="auto"/>
              </w:rPr>
            </w:pPr>
            <w:r>
              <w:rPr>
                <w:rFonts w:ascii="Arial" w:cs="Arial" w:eastAsia="Arial" w:hAnsi="Arial"/>
                <w:sz w:val="16"/>
                <w:szCs w:val="16"/>
                <w:color w:val="auto"/>
              </w:rPr>
              <w:t>Pipeline Milestone Performance:</w:t>
            </w:r>
          </w:p>
        </w:tc>
        <w:tc>
          <w:tcPr>
            <w:tcW w:w="2280" w:type="dxa"/>
            <w:vAlign w:val="bottom"/>
            <w:shd w:val="clear" w:color="auto" w:fill="BAD3EA"/>
          </w:tcPr>
          <w:p>
            <w:pPr>
              <w:jc w:val="center"/>
              <w:ind w:right="59"/>
              <w:spacing w:after="0"/>
              <w:rPr>
                <w:sz w:val="20"/>
                <w:szCs w:val="20"/>
                <w:color w:val="auto"/>
              </w:rPr>
            </w:pPr>
            <w:r>
              <w:rPr>
                <w:rFonts w:ascii="Arial" w:cs="Arial" w:eastAsia="Arial" w:hAnsi="Arial"/>
                <w:sz w:val="16"/>
                <w:szCs w:val="16"/>
                <w:color w:val="auto"/>
              </w:rPr>
              <w:t>Revenues: 12%</w:t>
            </w:r>
          </w:p>
        </w:tc>
        <w:tc>
          <w:tcPr>
            <w:tcW w:w="3860" w:type="dxa"/>
            <w:vAlign w:val="bottom"/>
            <w:shd w:val="clear" w:color="auto" w:fill="BAD3EA"/>
          </w:tcPr>
          <w:p>
            <w:pPr>
              <w:spacing w:after="0"/>
              <w:rPr>
                <w:sz w:val="24"/>
                <w:szCs w:val="24"/>
                <w:color w:val="auto"/>
              </w:rPr>
            </w:pPr>
          </w:p>
        </w:tc>
      </w:tr>
      <w:tr>
        <w:trPr>
          <w:trHeight w:val="221"/>
        </w:trPr>
        <w:tc>
          <w:tcPr>
            <w:tcW w:w="20" w:type="dxa"/>
            <w:vAlign w:val="bottom"/>
          </w:tcPr>
          <w:p>
            <w:pPr>
              <w:spacing w:after="0"/>
              <w:rPr>
                <w:sz w:val="19"/>
                <w:szCs w:val="19"/>
                <w:color w:val="auto"/>
              </w:rPr>
            </w:pPr>
          </w:p>
        </w:tc>
        <w:tc>
          <w:tcPr>
            <w:tcW w:w="1860" w:type="dxa"/>
            <w:vAlign w:val="bottom"/>
            <w:tcBorders>
              <w:bottom w:val="single" w:sz="8" w:color="BAD3EA"/>
            </w:tcBorders>
            <w:shd w:val="clear" w:color="auto" w:fill="BAD3EA"/>
          </w:tcPr>
          <w:p>
            <w:pPr>
              <w:spacing w:after="0"/>
              <w:rPr>
                <w:sz w:val="19"/>
                <w:szCs w:val="19"/>
                <w:color w:val="auto"/>
              </w:rPr>
            </w:pPr>
          </w:p>
        </w:tc>
        <w:tc>
          <w:tcPr>
            <w:tcW w:w="3020" w:type="dxa"/>
            <w:vAlign w:val="bottom"/>
            <w:tcBorders>
              <w:bottom w:val="single" w:sz="8" w:color="BAD3EA"/>
            </w:tcBorders>
            <w:shd w:val="clear" w:color="auto" w:fill="BAD3EA"/>
          </w:tcPr>
          <w:p>
            <w:pPr>
              <w:jc w:val="center"/>
              <w:ind w:right="60"/>
              <w:spacing w:after="0"/>
              <w:rPr>
                <w:sz w:val="20"/>
                <w:szCs w:val="20"/>
                <w:color w:val="auto"/>
              </w:rPr>
            </w:pPr>
            <w:r>
              <w:rPr>
                <w:rFonts w:ascii="Arial" w:cs="Arial" w:eastAsia="Arial" w:hAnsi="Arial"/>
                <w:sz w:val="16"/>
                <w:szCs w:val="16"/>
                <w:color w:val="auto"/>
                <w:w w:val="99"/>
              </w:rPr>
              <w:t>30%</w:t>
            </w:r>
          </w:p>
        </w:tc>
        <w:tc>
          <w:tcPr>
            <w:tcW w:w="2280" w:type="dxa"/>
            <w:vAlign w:val="bottom"/>
            <w:tcBorders>
              <w:bottom w:val="single" w:sz="8" w:color="BAD3EA"/>
            </w:tcBorders>
            <w:shd w:val="clear" w:color="auto" w:fill="BAD3EA"/>
          </w:tcPr>
          <w:p>
            <w:pPr>
              <w:spacing w:after="0"/>
              <w:rPr>
                <w:sz w:val="19"/>
                <w:szCs w:val="19"/>
                <w:color w:val="auto"/>
              </w:rPr>
            </w:pPr>
          </w:p>
        </w:tc>
        <w:tc>
          <w:tcPr>
            <w:tcW w:w="3860" w:type="dxa"/>
            <w:vAlign w:val="bottom"/>
            <w:tcBorders>
              <w:bottom w:val="single" w:sz="8" w:color="BAD3EA"/>
            </w:tcBorders>
            <w:shd w:val="clear" w:color="auto" w:fill="BAD3EA"/>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1860" w:type="dxa"/>
            <w:vAlign w:val="bottom"/>
            <w:shd w:val="clear" w:color="auto" w:fill="E8F0F8"/>
          </w:tcPr>
          <w:p>
            <w:pPr>
              <w:ind w:left="80"/>
              <w:spacing w:after="0"/>
              <w:rPr>
                <w:sz w:val="20"/>
                <w:szCs w:val="20"/>
                <w:color w:val="auto"/>
              </w:rPr>
            </w:pPr>
            <w:r>
              <w:rPr>
                <w:rFonts w:ascii="Arial" w:cs="Arial" w:eastAsia="Arial" w:hAnsi="Arial"/>
                <w:sz w:val="16"/>
                <w:szCs w:val="16"/>
                <w:color w:val="auto"/>
              </w:rPr>
              <w:t>Threshold /</w:t>
            </w:r>
          </w:p>
        </w:tc>
        <w:tc>
          <w:tcPr>
            <w:tcW w:w="3020" w:type="dxa"/>
            <w:vAlign w:val="bottom"/>
            <w:shd w:val="clear" w:color="auto" w:fill="E8F0F8"/>
          </w:tcPr>
          <w:p>
            <w:pPr>
              <w:jc w:val="center"/>
              <w:ind w:right="60"/>
              <w:spacing w:after="0"/>
              <w:rPr>
                <w:sz w:val="20"/>
                <w:szCs w:val="20"/>
                <w:color w:val="auto"/>
              </w:rPr>
            </w:pPr>
            <w:r>
              <w:rPr>
                <w:rFonts w:ascii="Arial" w:cs="Arial" w:eastAsia="Arial" w:hAnsi="Arial"/>
                <w:sz w:val="16"/>
                <w:szCs w:val="16"/>
                <w:color w:val="auto"/>
              </w:rPr>
              <w:t>50% / 200%</w:t>
            </w:r>
          </w:p>
        </w:tc>
        <w:tc>
          <w:tcPr>
            <w:tcW w:w="2280" w:type="dxa"/>
            <w:vAlign w:val="bottom"/>
            <w:shd w:val="clear" w:color="auto" w:fill="E8F0F8"/>
          </w:tcPr>
          <w:p>
            <w:pPr>
              <w:jc w:val="center"/>
              <w:ind w:right="79"/>
              <w:spacing w:after="0"/>
              <w:rPr>
                <w:sz w:val="20"/>
                <w:szCs w:val="20"/>
                <w:color w:val="auto"/>
              </w:rPr>
            </w:pPr>
            <w:r>
              <w:rPr>
                <w:rFonts w:ascii="Arial" w:cs="Arial" w:eastAsia="Arial" w:hAnsi="Arial"/>
                <w:sz w:val="16"/>
                <w:szCs w:val="16"/>
                <w:color w:val="auto"/>
              </w:rPr>
              <w:t>50% / 200%</w:t>
            </w:r>
          </w:p>
        </w:tc>
        <w:tc>
          <w:tcPr>
            <w:tcW w:w="3860" w:type="dxa"/>
            <w:vAlign w:val="bottom"/>
            <w:shd w:val="clear" w:color="auto" w:fill="E8F0F8"/>
          </w:tcPr>
          <w:p>
            <w:pPr>
              <w:jc w:val="right"/>
              <w:ind w:right="1320"/>
              <w:spacing w:after="0"/>
              <w:rPr>
                <w:sz w:val="20"/>
                <w:szCs w:val="20"/>
                <w:color w:val="auto"/>
              </w:rPr>
            </w:pPr>
            <w:r>
              <w:rPr>
                <w:rFonts w:ascii="Arial" w:cs="Arial" w:eastAsia="Arial" w:hAnsi="Arial"/>
                <w:sz w:val="16"/>
                <w:szCs w:val="16"/>
                <w:color w:val="auto"/>
              </w:rPr>
              <w:t>50% / 200%</w:t>
            </w:r>
          </w:p>
        </w:tc>
      </w:tr>
      <w:tr>
        <w:trPr>
          <w:trHeight w:val="189"/>
        </w:trPr>
        <w:tc>
          <w:tcPr>
            <w:tcW w:w="20" w:type="dxa"/>
            <w:vAlign w:val="bottom"/>
          </w:tcPr>
          <w:p>
            <w:pPr>
              <w:spacing w:after="0"/>
              <w:rPr>
                <w:sz w:val="16"/>
                <w:szCs w:val="16"/>
                <w:color w:val="auto"/>
              </w:rPr>
            </w:pPr>
          </w:p>
        </w:tc>
        <w:tc>
          <w:tcPr>
            <w:tcW w:w="1860" w:type="dxa"/>
            <w:vAlign w:val="bottom"/>
            <w:shd w:val="clear" w:color="auto" w:fill="E8F0F8"/>
          </w:tcPr>
          <w:p>
            <w:pPr>
              <w:ind w:left="80"/>
              <w:spacing w:after="0"/>
              <w:rPr>
                <w:sz w:val="20"/>
                <w:szCs w:val="20"/>
                <w:color w:val="auto"/>
              </w:rPr>
            </w:pPr>
            <w:r>
              <w:rPr>
                <w:rFonts w:ascii="Arial" w:cs="Arial" w:eastAsia="Arial" w:hAnsi="Arial"/>
                <w:sz w:val="16"/>
                <w:szCs w:val="16"/>
                <w:color w:val="auto"/>
              </w:rPr>
              <w:t>Maximum Payout</w:t>
            </w:r>
          </w:p>
        </w:tc>
        <w:tc>
          <w:tcPr>
            <w:tcW w:w="3020" w:type="dxa"/>
            <w:vAlign w:val="bottom"/>
            <w:shd w:val="clear" w:color="auto" w:fill="E8F0F8"/>
          </w:tcPr>
          <w:p>
            <w:pPr>
              <w:spacing w:after="0"/>
              <w:rPr>
                <w:sz w:val="16"/>
                <w:szCs w:val="16"/>
                <w:color w:val="auto"/>
              </w:rPr>
            </w:pPr>
          </w:p>
        </w:tc>
        <w:tc>
          <w:tcPr>
            <w:tcW w:w="2280" w:type="dxa"/>
            <w:vAlign w:val="bottom"/>
            <w:shd w:val="clear" w:color="auto" w:fill="E8F0F8"/>
          </w:tcPr>
          <w:p>
            <w:pPr>
              <w:spacing w:after="0"/>
              <w:rPr>
                <w:sz w:val="16"/>
                <w:szCs w:val="16"/>
                <w:color w:val="auto"/>
              </w:rPr>
            </w:pPr>
          </w:p>
        </w:tc>
        <w:tc>
          <w:tcPr>
            <w:tcW w:w="3860" w:type="dxa"/>
            <w:vAlign w:val="bottom"/>
            <w:shd w:val="clear" w:color="auto" w:fill="E8F0F8"/>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1860" w:type="dxa"/>
            <w:vAlign w:val="bottom"/>
            <w:tcBorders>
              <w:bottom w:val="single" w:sz="8" w:color="E8F0F8"/>
            </w:tcBorders>
            <w:shd w:val="clear" w:color="auto" w:fill="E8F0F8"/>
          </w:tcPr>
          <w:p>
            <w:pPr>
              <w:ind w:left="80"/>
              <w:spacing w:after="0"/>
              <w:rPr>
                <w:sz w:val="20"/>
                <w:szCs w:val="20"/>
                <w:color w:val="auto"/>
              </w:rPr>
            </w:pPr>
            <w:r>
              <w:rPr>
                <w:rFonts w:ascii="Arial" w:cs="Arial" w:eastAsia="Arial" w:hAnsi="Arial"/>
                <w:sz w:val="16"/>
                <w:szCs w:val="16"/>
                <w:color w:val="auto"/>
              </w:rPr>
              <w:t>(% of Target Award)</w:t>
            </w:r>
          </w:p>
        </w:tc>
        <w:tc>
          <w:tcPr>
            <w:tcW w:w="3020" w:type="dxa"/>
            <w:vAlign w:val="bottom"/>
            <w:tcBorders>
              <w:bottom w:val="single" w:sz="8" w:color="E8F0F8"/>
            </w:tcBorders>
            <w:shd w:val="clear" w:color="auto" w:fill="E8F0F8"/>
          </w:tcPr>
          <w:p>
            <w:pPr>
              <w:spacing w:after="0"/>
              <w:rPr>
                <w:sz w:val="19"/>
                <w:szCs w:val="19"/>
                <w:color w:val="auto"/>
              </w:rPr>
            </w:pPr>
          </w:p>
        </w:tc>
        <w:tc>
          <w:tcPr>
            <w:tcW w:w="2280" w:type="dxa"/>
            <w:vAlign w:val="bottom"/>
            <w:tcBorders>
              <w:bottom w:val="single" w:sz="8" w:color="E8F0F8"/>
            </w:tcBorders>
            <w:shd w:val="clear" w:color="auto" w:fill="E8F0F8"/>
          </w:tcPr>
          <w:p>
            <w:pPr>
              <w:spacing w:after="0"/>
              <w:rPr>
                <w:sz w:val="19"/>
                <w:szCs w:val="19"/>
                <w:color w:val="auto"/>
              </w:rPr>
            </w:pPr>
          </w:p>
        </w:tc>
        <w:tc>
          <w:tcPr>
            <w:tcW w:w="3860" w:type="dxa"/>
            <w:vAlign w:val="bottom"/>
            <w:tcBorders>
              <w:bottom w:val="single" w:sz="8" w:color="E8F0F8"/>
            </w:tcBorders>
            <w:shd w:val="clear" w:color="auto" w:fill="E8F0F8"/>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1860" w:type="dxa"/>
            <w:vAlign w:val="bottom"/>
            <w:shd w:val="clear" w:color="auto" w:fill="BAD3EA"/>
          </w:tcPr>
          <w:p>
            <w:pPr>
              <w:ind w:left="80"/>
              <w:spacing w:after="0"/>
              <w:rPr>
                <w:sz w:val="20"/>
                <w:szCs w:val="20"/>
                <w:color w:val="auto"/>
              </w:rPr>
            </w:pPr>
            <w:r>
              <w:rPr>
                <w:rFonts w:ascii="Arial" w:cs="Arial" w:eastAsia="Arial" w:hAnsi="Arial"/>
                <w:sz w:val="16"/>
                <w:szCs w:val="16"/>
                <w:color w:val="auto"/>
              </w:rPr>
              <w:t>Vesting</w:t>
            </w:r>
          </w:p>
        </w:tc>
        <w:tc>
          <w:tcPr>
            <w:tcW w:w="3020" w:type="dxa"/>
            <w:vAlign w:val="bottom"/>
            <w:shd w:val="clear" w:color="auto" w:fill="BAD3EA"/>
          </w:tcPr>
          <w:p>
            <w:pPr>
              <w:jc w:val="center"/>
              <w:ind w:right="60"/>
              <w:spacing w:after="0"/>
              <w:rPr>
                <w:sz w:val="20"/>
                <w:szCs w:val="20"/>
                <w:color w:val="auto"/>
              </w:rPr>
            </w:pPr>
            <w:r>
              <w:rPr>
                <w:rFonts w:ascii="Arial" w:cs="Arial" w:eastAsia="Arial" w:hAnsi="Arial"/>
                <w:sz w:val="16"/>
                <w:szCs w:val="16"/>
                <w:color w:val="auto"/>
              </w:rPr>
              <w:t>3-year Cliff Vesting</w:t>
            </w:r>
          </w:p>
        </w:tc>
        <w:tc>
          <w:tcPr>
            <w:tcW w:w="2280" w:type="dxa"/>
            <w:vAlign w:val="bottom"/>
            <w:shd w:val="clear" w:color="auto" w:fill="BAD3EA"/>
          </w:tcPr>
          <w:p>
            <w:pPr>
              <w:jc w:val="center"/>
              <w:ind w:right="79"/>
              <w:spacing w:after="0"/>
              <w:rPr>
                <w:sz w:val="20"/>
                <w:szCs w:val="20"/>
                <w:color w:val="auto"/>
              </w:rPr>
            </w:pPr>
            <w:r>
              <w:rPr>
                <w:rFonts w:ascii="Arial" w:cs="Arial" w:eastAsia="Arial" w:hAnsi="Arial"/>
                <w:sz w:val="16"/>
                <w:szCs w:val="16"/>
                <w:color w:val="auto"/>
              </w:rPr>
              <w:t>3-year Cliff Vesting</w:t>
            </w:r>
          </w:p>
        </w:tc>
        <w:tc>
          <w:tcPr>
            <w:tcW w:w="3860" w:type="dxa"/>
            <w:vAlign w:val="bottom"/>
            <w:shd w:val="clear" w:color="auto" w:fill="BAD3EA"/>
          </w:tcPr>
          <w:p>
            <w:pPr>
              <w:jc w:val="center"/>
              <w:ind w:left="120"/>
              <w:spacing w:after="0"/>
              <w:rPr>
                <w:sz w:val="20"/>
                <w:szCs w:val="20"/>
                <w:color w:val="auto"/>
              </w:rPr>
            </w:pPr>
            <w:r>
              <w:rPr>
                <w:rFonts w:ascii="Arial" w:cs="Arial" w:eastAsia="Arial" w:hAnsi="Arial"/>
                <w:sz w:val="16"/>
                <w:szCs w:val="16"/>
                <w:color w:val="auto"/>
              </w:rPr>
              <w:t>Annual Ratable Vesting over 3 years</w:t>
            </w:r>
          </w:p>
        </w:tc>
      </w:tr>
      <w:tr>
        <w:trPr>
          <w:trHeight w:val="221"/>
        </w:trPr>
        <w:tc>
          <w:tcPr>
            <w:tcW w:w="20" w:type="dxa"/>
            <w:vAlign w:val="bottom"/>
          </w:tcPr>
          <w:p>
            <w:pPr>
              <w:spacing w:after="0"/>
              <w:rPr>
                <w:sz w:val="19"/>
                <w:szCs w:val="19"/>
                <w:color w:val="auto"/>
              </w:rPr>
            </w:pPr>
          </w:p>
        </w:tc>
        <w:tc>
          <w:tcPr>
            <w:tcW w:w="1860" w:type="dxa"/>
            <w:vAlign w:val="bottom"/>
            <w:tcBorders>
              <w:bottom w:val="single" w:sz="8" w:color="BAD3EA"/>
            </w:tcBorders>
            <w:shd w:val="clear" w:color="auto" w:fill="BAD3EA"/>
          </w:tcPr>
          <w:p>
            <w:pPr>
              <w:spacing w:after="0"/>
              <w:rPr>
                <w:sz w:val="19"/>
                <w:szCs w:val="19"/>
                <w:color w:val="auto"/>
              </w:rPr>
            </w:pPr>
          </w:p>
        </w:tc>
        <w:tc>
          <w:tcPr>
            <w:tcW w:w="3020" w:type="dxa"/>
            <w:vAlign w:val="bottom"/>
            <w:tcBorders>
              <w:bottom w:val="single" w:sz="8" w:color="BAD3EA"/>
            </w:tcBorders>
            <w:shd w:val="clear" w:color="auto" w:fill="BAD3EA"/>
          </w:tcPr>
          <w:p>
            <w:pPr>
              <w:spacing w:after="0"/>
              <w:rPr>
                <w:sz w:val="19"/>
                <w:szCs w:val="19"/>
                <w:color w:val="auto"/>
              </w:rPr>
            </w:pPr>
          </w:p>
        </w:tc>
        <w:tc>
          <w:tcPr>
            <w:tcW w:w="2280" w:type="dxa"/>
            <w:vAlign w:val="bottom"/>
            <w:tcBorders>
              <w:bottom w:val="single" w:sz="8" w:color="BAD3EA"/>
            </w:tcBorders>
            <w:shd w:val="clear" w:color="auto" w:fill="BAD3EA"/>
          </w:tcPr>
          <w:p>
            <w:pPr>
              <w:spacing w:after="0"/>
              <w:rPr>
                <w:sz w:val="19"/>
                <w:szCs w:val="19"/>
                <w:color w:val="auto"/>
              </w:rPr>
            </w:pPr>
          </w:p>
        </w:tc>
        <w:tc>
          <w:tcPr>
            <w:tcW w:w="3860" w:type="dxa"/>
            <w:vAlign w:val="bottom"/>
            <w:tcBorders>
              <w:bottom w:val="single" w:sz="8" w:color="BAD3EA"/>
            </w:tcBorders>
            <w:shd w:val="clear" w:color="auto" w:fill="BAD3EA"/>
          </w:tcPr>
          <w:p>
            <w:pPr>
              <w:jc w:val="center"/>
              <w:ind w:left="120"/>
              <w:spacing w:after="0"/>
              <w:rPr>
                <w:sz w:val="20"/>
                <w:szCs w:val="20"/>
                <w:color w:val="auto"/>
              </w:rPr>
            </w:pPr>
            <w:r>
              <w:rPr>
                <w:rFonts w:ascii="Arial" w:cs="Arial" w:eastAsia="Arial" w:hAnsi="Arial"/>
                <w:sz w:val="16"/>
                <w:szCs w:val="16"/>
                <w:color w:val="auto"/>
              </w:rPr>
              <w:t>(1/3 per year)</w:t>
            </w:r>
          </w:p>
        </w:tc>
      </w:tr>
      <w:tr>
        <w:trPr>
          <w:trHeight w:val="20"/>
        </w:trPr>
        <w:tc>
          <w:tcPr>
            <w:tcW w:w="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459" w:right="419" w:bottom="1440" w:gutter="0" w:footer="0" w:header="0"/>
          <w:type w:val="continuous"/>
        </w:sectPr>
      </w:pPr>
    </w:p>
    <w:p>
      <w:pPr>
        <w:spacing w:after="0" w:line="18" w:lineRule="exact"/>
        <w:rPr>
          <w:sz w:val="20"/>
          <w:szCs w:val="20"/>
          <w:color w:val="auto"/>
        </w:rPr>
      </w:pPr>
    </w:p>
    <w:p>
      <w:pPr>
        <w:ind w:left="200" w:right="140"/>
        <w:spacing w:after="0" w:line="260" w:lineRule="auto"/>
        <w:rPr>
          <w:sz w:val="20"/>
          <w:szCs w:val="20"/>
          <w:color w:val="auto"/>
        </w:rPr>
      </w:pPr>
      <w:r>
        <w:rPr>
          <w:rFonts w:ascii="Arial" w:cs="Arial" w:eastAsia="Arial" w:hAnsi="Arial"/>
          <w:sz w:val="16"/>
          <w:szCs w:val="16"/>
          <w:color w:val="auto"/>
        </w:rPr>
        <w:t>All annual LTI awards granted to our executives are performance-based and designed to reward long-term Company performance.</w:t>
      </w:r>
    </w:p>
    <w:p>
      <w:pPr>
        <w:spacing w:after="0" w:line="88"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auto"/>
        </w:rPr>
        <w:t>Our executive annual LTI program for 2018 consisted of PSUs and MSUs, with the annual LTI total target grant value of awards being split evenly between PSUs and MSUs. The PSUs we awarded to executive officers are performance-based RSUs that are settled, as applicable, in cash and shares of our common stock. The MSUs we awarded to executive officers are performance-based RSUs that are settled in shares of our common stock. The performance conditions applicable to these PSUs and MSUs are described in further detail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182245</wp:posOffset>
            </wp:positionV>
            <wp:extent cx="685800" cy="15430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248" w:lineRule="auto"/>
        <w:rPr>
          <w:sz w:val="20"/>
          <w:szCs w:val="20"/>
          <w:color w:val="auto"/>
        </w:rPr>
      </w:pPr>
      <w:r>
        <w:rPr>
          <w:rFonts w:ascii="Arial" w:cs="Arial" w:eastAsia="Arial" w:hAnsi="Arial"/>
          <w:sz w:val="16"/>
          <w:szCs w:val="16"/>
          <w:color w:val="auto"/>
        </w:rPr>
        <w:t>Our annual LTI target grant values are differentiated based on an executive’s individual performance, potential future contributions and market competitiveness, as well as other factors. In determining the annual LTI target grant value, our C&amp;MD Committee reviews LTI awards of our peer group and also reviews the total compensation of our executive officers against our peer group. In general, we have a heavier weighting in executive compensation mix towards LTI awards. On average, annual LTI target grant values for our NEOs position their total compensation at or around the median values of our peer group in cases where there are comparable positions at the peer companies.</w:t>
      </w:r>
    </w:p>
    <w:p>
      <w:pPr>
        <w:spacing w:after="0" w:line="305" w:lineRule="exact"/>
        <w:rPr>
          <w:sz w:val="20"/>
          <w:szCs w:val="20"/>
          <w:color w:val="auto"/>
        </w:rPr>
      </w:pPr>
    </w:p>
    <w:p>
      <w:pPr>
        <w:sectPr>
          <w:pgSz w:w="11900" w:h="16838" w:orient="portrait"/>
          <w:cols w:equalWidth="0" w:num="2">
            <w:col w:w="5480" w:space="340"/>
            <w:col w:w="5420"/>
          </w:cols>
          <w:pgMar w:left="240" w:top="459" w:right="419" w:bottom="1440" w:gutter="0" w:footer="0" w:header="0"/>
          <w:type w:val="continuous"/>
        </w:sectPr>
      </w:pPr>
    </w:p>
    <w:p>
      <w:pPr>
        <w:spacing w:after="0" w:line="130"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-62865</wp:posOffset>
            </wp:positionV>
            <wp:extent cx="102870" cy="946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7" w:lineRule="exact"/>
        <w:rPr>
          <w:sz w:val="20"/>
          <w:szCs w:val="20"/>
          <w:color w:val="auto"/>
        </w:rPr>
      </w:pPr>
    </w:p>
    <w:p>
      <w:pPr>
        <w:ind w:left="460"/>
        <w:spacing w:after="0"/>
        <w:rPr>
          <w:sz w:val="20"/>
          <w:szCs w:val="20"/>
          <w:color w:val="auto"/>
        </w:rPr>
      </w:pPr>
      <w:r>
        <w:rPr>
          <w:rFonts w:ascii="Arial" w:cs="Arial" w:eastAsia="Arial" w:hAnsi="Arial"/>
          <w:sz w:val="88"/>
          <w:szCs w:val="88"/>
          <w:color w:val="1A6DBB"/>
        </w:rPr>
        <w:t xml:space="preserve">5 </w:t>
      </w:r>
      <w:r>
        <w:rPr>
          <w:rFonts w:ascii="Arial" w:cs="Arial" w:eastAsia="Arial" w:hAnsi="Arial"/>
          <w:sz w:val="40"/>
          <w:szCs w:val="40"/>
          <w:color w:val="1A6DBB"/>
        </w:rPr>
        <w:t>Executive Compensation Matters</w:t>
      </w:r>
      <w:r>
        <w:rPr>
          <w:rFonts w:ascii="Arial" w:cs="Arial" w:eastAsia="Arial" w:hAnsi="Arial"/>
          <w:sz w:val="88"/>
          <w:szCs w:val="88"/>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81" w:lineRule="exact"/>
        <w:rPr>
          <w:sz w:val="20"/>
          <w:szCs w:val="20"/>
          <w:color w:val="auto"/>
        </w:rPr>
      </w:pPr>
    </w:p>
    <w:p>
      <w:pPr>
        <w:ind w:left="220" w:right="80"/>
        <w:spacing w:after="0" w:line="248" w:lineRule="auto"/>
        <w:rPr>
          <w:sz w:val="20"/>
          <w:szCs w:val="20"/>
          <w:color w:val="auto"/>
        </w:rPr>
      </w:pPr>
      <w:r>
        <w:rPr>
          <w:rFonts w:ascii="Arial" w:cs="Arial" w:eastAsia="Arial" w:hAnsi="Arial"/>
          <w:sz w:val="16"/>
          <w:szCs w:val="16"/>
          <w:color w:val="auto"/>
        </w:rPr>
        <w:t>We have an established annual LTI grant practice where LTI grants are made following the completion of our internal performance reviews of our executive officers as well as our external market review of equity practices of our peer group, including the data from the Willis Towers Watson survey described above. Since 2004 we have made our annual LTI grants in February of each year following our annual earnings release.</w:t>
      </w:r>
    </w:p>
    <w:p>
      <w:pPr>
        <w:spacing w:after="0" w:line="101" w:lineRule="exact"/>
        <w:rPr>
          <w:sz w:val="20"/>
          <w:szCs w:val="20"/>
          <w:color w:val="auto"/>
        </w:rPr>
      </w:pPr>
    </w:p>
    <w:p>
      <w:pPr>
        <w:ind w:left="220" w:right="280"/>
        <w:spacing w:after="0" w:line="222" w:lineRule="auto"/>
        <w:rPr>
          <w:sz w:val="20"/>
          <w:szCs w:val="20"/>
          <w:color w:val="auto"/>
        </w:rPr>
      </w:pPr>
      <w:r>
        <w:rPr>
          <w:rFonts w:ascii="Arial" w:cs="Arial" w:eastAsia="Arial" w:hAnsi="Arial"/>
          <w:sz w:val="16"/>
          <w:szCs w:val="16"/>
          <w:color w:val="auto"/>
        </w:rPr>
        <w:t>We generally grant time-based RSUs in lieu of PSUs at the time an executive is hired if employment commences after June 30</w:t>
      </w:r>
      <w:r>
        <w:rPr>
          <w:rFonts w:ascii="Arial" w:cs="Arial" w:eastAsia="Arial" w:hAnsi="Arial"/>
          <w:sz w:val="27"/>
          <w:szCs w:val="27"/>
          <w:color w:val="auto"/>
          <w:vertAlign w:val="superscript"/>
        </w:rPr>
        <w:t>th</w:t>
      </w:r>
      <w:r>
        <w:rPr>
          <w:rFonts w:ascii="Arial" w:cs="Arial" w:eastAsia="Arial" w:hAnsi="Arial"/>
          <w:sz w:val="16"/>
          <w:szCs w:val="16"/>
          <w:color w:val="auto"/>
        </w:rPr>
        <w:t>. These grants are generally granted on the first trading day of the month following the date of hire. From time to time, we also grant time-based RSUs to recognize extraordinary contributions to the Company or for transition or retention purposes.</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 2018 the annual LTI target grant values for our NEOs were as follows:</w:t>
      </w:r>
    </w:p>
    <w:p>
      <w:pPr>
        <w:spacing w:after="0" w:line="125" w:lineRule="exact"/>
        <w:rPr>
          <w:sz w:val="20"/>
          <w:szCs w:val="20"/>
          <w:color w:val="auto"/>
        </w:rPr>
      </w:pPr>
    </w:p>
    <w:tbl>
      <w:tblPr>
        <w:tblLayout w:type="fixed"/>
        <w:tblInd w:w="220" w:type="dxa"/>
        <w:tblCellMar>
          <w:top w:w="0" w:type="dxa"/>
          <w:left w:w="0" w:type="dxa"/>
          <w:bottom w:w="0" w:type="dxa"/>
          <w:right w:w="0" w:type="dxa"/>
        </w:tblCellMar>
      </w:tblPr>
      <w:tr>
        <w:trPr>
          <w:trHeight w:val="194"/>
        </w:trPr>
        <w:tc>
          <w:tcPr>
            <w:tcW w:w="3880" w:type="dxa"/>
            <w:vAlign w:val="bottom"/>
            <w:shd w:val="clear" w:color="auto" w:fill="1A6DBB"/>
          </w:tcPr>
          <w:p>
            <w:pPr>
              <w:spacing w:after="0"/>
              <w:rPr>
                <w:sz w:val="16"/>
                <w:szCs w:val="16"/>
                <w:color w:val="auto"/>
              </w:rPr>
            </w:pPr>
          </w:p>
        </w:tc>
        <w:tc>
          <w:tcPr>
            <w:tcW w:w="1400" w:type="dxa"/>
            <w:vAlign w:val="bottom"/>
            <w:gridSpan w:val="2"/>
            <w:shd w:val="clear" w:color="auto" w:fill="1A6DBB"/>
          </w:tcPr>
          <w:p>
            <w:pPr>
              <w:jc w:val="right"/>
              <w:ind w:right="260"/>
              <w:spacing w:after="0"/>
              <w:rPr>
                <w:sz w:val="20"/>
                <w:szCs w:val="20"/>
                <w:color w:val="auto"/>
              </w:rPr>
            </w:pPr>
            <w:r>
              <w:rPr>
                <w:rFonts w:ascii="Arial" w:cs="Arial" w:eastAsia="Arial" w:hAnsi="Arial"/>
                <w:sz w:val="14"/>
                <w:szCs w:val="14"/>
                <w:color w:val="FFFFFF"/>
              </w:rPr>
              <w:t>Annual LTI</w:t>
            </w:r>
          </w:p>
        </w:tc>
      </w:tr>
      <w:tr>
        <w:trPr>
          <w:trHeight w:val="162"/>
        </w:trPr>
        <w:tc>
          <w:tcPr>
            <w:tcW w:w="3880" w:type="dxa"/>
            <w:vAlign w:val="bottom"/>
            <w:shd w:val="clear" w:color="auto" w:fill="1A6DBB"/>
          </w:tcPr>
          <w:p>
            <w:pPr>
              <w:spacing w:after="0"/>
              <w:rPr>
                <w:sz w:val="14"/>
                <w:szCs w:val="14"/>
                <w:color w:val="auto"/>
              </w:rPr>
            </w:pPr>
          </w:p>
        </w:tc>
        <w:tc>
          <w:tcPr>
            <w:tcW w:w="440" w:type="dxa"/>
            <w:vAlign w:val="bottom"/>
            <w:shd w:val="clear" w:color="auto" w:fill="1A6DBB"/>
          </w:tcPr>
          <w:p>
            <w:pPr>
              <w:spacing w:after="0"/>
              <w:rPr>
                <w:sz w:val="14"/>
                <w:szCs w:val="14"/>
                <w:color w:val="auto"/>
              </w:rPr>
            </w:pPr>
          </w:p>
        </w:tc>
        <w:tc>
          <w:tcPr>
            <w:tcW w:w="960" w:type="dxa"/>
            <w:vAlign w:val="bottom"/>
            <w:shd w:val="clear" w:color="auto" w:fill="1A6DBB"/>
          </w:tcPr>
          <w:p>
            <w:pPr>
              <w:jc w:val="right"/>
              <w:ind w:right="400"/>
              <w:spacing w:after="0"/>
              <w:rPr>
                <w:sz w:val="20"/>
                <w:szCs w:val="20"/>
                <w:color w:val="auto"/>
              </w:rPr>
            </w:pPr>
            <w:r>
              <w:rPr>
                <w:rFonts w:ascii="Arial" w:cs="Arial" w:eastAsia="Arial" w:hAnsi="Arial"/>
                <w:sz w:val="14"/>
                <w:szCs w:val="14"/>
                <w:color w:val="FFFFFF"/>
              </w:rPr>
              <w:t>Target</w:t>
            </w:r>
          </w:p>
        </w:tc>
      </w:tr>
      <w:tr>
        <w:trPr>
          <w:trHeight w:val="191"/>
        </w:trPr>
        <w:tc>
          <w:tcPr>
            <w:tcW w:w="3880" w:type="dxa"/>
            <w:vAlign w:val="bottom"/>
            <w:tcBorders>
              <w:bottom w:val="single" w:sz="8" w:color="1A6DBB"/>
            </w:tcBorders>
            <w:shd w:val="clear" w:color="auto" w:fill="1A6DBB"/>
          </w:tcPr>
          <w:p>
            <w:pPr>
              <w:ind w:left="60"/>
              <w:spacing w:after="0"/>
              <w:rPr>
                <w:sz w:val="20"/>
                <w:szCs w:val="20"/>
                <w:color w:val="auto"/>
              </w:rPr>
            </w:pPr>
            <w:r>
              <w:rPr>
                <w:rFonts w:ascii="Arial" w:cs="Arial" w:eastAsia="Arial" w:hAnsi="Arial"/>
                <w:sz w:val="14"/>
                <w:szCs w:val="14"/>
                <w:color w:val="FFFFFF"/>
              </w:rPr>
              <w:t>Name</w:t>
            </w:r>
          </w:p>
        </w:tc>
        <w:tc>
          <w:tcPr>
            <w:tcW w:w="1400" w:type="dxa"/>
            <w:vAlign w:val="bottom"/>
            <w:tcBorders>
              <w:bottom w:val="single" w:sz="8" w:color="1A6DBB"/>
            </w:tcBorders>
            <w:gridSpan w:val="2"/>
            <w:shd w:val="clear" w:color="auto" w:fill="1A6DBB"/>
          </w:tcPr>
          <w:p>
            <w:pPr>
              <w:ind w:left="340"/>
              <w:spacing w:after="0"/>
              <w:rPr>
                <w:sz w:val="20"/>
                <w:szCs w:val="20"/>
                <w:color w:val="auto"/>
              </w:rPr>
            </w:pPr>
            <w:r>
              <w:rPr>
                <w:rFonts w:ascii="Arial" w:cs="Arial" w:eastAsia="Arial" w:hAnsi="Arial"/>
                <w:sz w:val="14"/>
                <w:szCs w:val="14"/>
                <w:color w:val="FFFFFF"/>
              </w:rPr>
              <w:t>Grant Value</w:t>
            </w:r>
          </w:p>
        </w:tc>
      </w:tr>
      <w:tr>
        <w:trPr>
          <w:trHeight w:val="237"/>
        </w:trPr>
        <w:tc>
          <w:tcPr>
            <w:tcW w:w="3880" w:type="dxa"/>
            <w:vAlign w:val="bottom"/>
            <w:tcBorders>
              <w:bottom w:val="single" w:sz="8" w:color="E8F0F8"/>
            </w:tcBorders>
            <w:shd w:val="clear" w:color="auto" w:fill="E8F0F8"/>
          </w:tcPr>
          <w:p>
            <w:pPr>
              <w:ind w:left="80"/>
              <w:spacing w:after="0"/>
              <w:rPr>
                <w:sz w:val="20"/>
                <w:szCs w:val="20"/>
                <w:color w:val="auto"/>
              </w:rPr>
            </w:pPr>
            <w:r>
              <w:rPr>
                <w:rFonts w:ascii="Arial" w:cs="Arial" w:eastAsia="Arial" w:hAnsi="Arial"/>
                <w:sz w:val="16"/>
                <w:szCs w:val="16"/>
                <w:color w:val="auto"/>
              </w:rPr>
              <w:t>M. Vounatsos</w:t>
            </w:r>
          </w:p>
        </w:tc>
        <w:tc>
          <w:tcPr>
            <w:tcW w:w="440" w:type="dxa"/>
            <w:vAlign w:val="bottom"/>
            <w:tcBorders>
              <w:bottom w:val="single" w:sz="8" w:color="E8F0F8"/>
            </w:tcBorders>
            <w:shd w:val="clear" w:color="auto" w:fill="E8F0F8"/>
          </w:tcPr>
          <w:p>
            <w:pPr>
              <w:ind w:left="360"/>
              <w:spacing w:after="0"/>
              <w:rPr>
                <w:sz w:val="20"/>
                <w:szCs w:val="20"/>
                <w:color w:val="auto"/>
              </w:rPr>
            </w:pPr>
            <w:r>
              <w:rPr>
                <w:rFonts w:ascii="Arial" w:cs="Arial" w:eastAsia="Arial" w:hAnsi="Arial"/>
                <w:sz w:val="15"/>
                <w:szCs w:val="15"/>
                <w:color w:val="auto"/>
                <w:w w:val="71"/>
                <w:shd w:val="clear" w:color="auto" w:fill="E8F0F8"/>
              </w:rPr>
              <w:t>$</w:t>
            </w:r>
          </w:p>
        </w:tc>
        <w:tc>
          <w:tcPr>
            <w:tcW w:w="960" w:type="dxa"/>
            <w:vAlign w:val="bottom"/>
            <w:tcBorders>
              <w:bottom w:val="single" w:sz="8" w:color="E8F0F8"/>
            </w:tcBorders>
            <w:shd w:val="clear" w:color="auto" w:fill="E8F0F8"/>
          </w:tcPr>
          <w:p>
            <w:pPr>
              <w:jc w:val="right"/>
              <w:ind w:right="60"/>
              <w:spacing w:after="0"/>
              <w:rPr>
                <w:sz w:val="20"/>
                <w:szCs w:val="20"/>
                <w:color w:val="auto"/>
              </w:rPr>
            </w:pPr>
            <w:r>
              <w:rPr>
                <w:rFonts w:ascii="Arial" w:cs="Arial" w:eastAsia="Arial" w:hAnsi="Arial"/>
                <w:sz w:val="16"/>
                <w:szCs w:val="16"/>
                <w:color w:val="auto"/>
                <w:w w:val="99"/>
                <w:shd w:val="clear" w:color="auto" w:fill="E8F0F8"/>
              </w:rPr>
              <w:t>11,500,000</w:t>
            </w:r>
          </w:p>
        </w:tc>
      </w:tr>
      <w:tr>
        <w:trPr>
          <w:trHeight w:val="237"/>
        </w:trPr>
        <w:tc>
          <w:tcPr>
            <w:tcW w:w="3880" w:type="dxa"/>
            <w:vAlign w:val="bottom"/>
            <w:tcBorders>
              <w:bottom w:val="single" w:sz="8" w:color="BAD3EA"/>
            </w:tcBorders>
            <w:shd w:val="clear" w:color="auto" w:fill="BAD3EA"/>
          </w:tcPr>
          <w:p>
            <w:pPr>
              <w:ind w:left="80"/>
              <w:spacing w:after="0" w:line="216" w:lineRule="exact"/>
              <w:rPr>
                <w:sz w:val="20"/>
                <w:szCs w:val="20"/>
                <w:color w:val="auto"/>
              </w:rPr>
            </w:pPr>
            <w:r>
              <w:rPr>
                <w:rFonts w:ascii="Arial" w:cs="Arial" w:eastAsia="Arial" w:hAnsi="Arial"/>
                <w:sz w:val="15"/>
                <w:szCs w:val="15"/>
                <w:color w:val="auto"/>
              </w:rPr>
              <w:t>J. Capello</w:t>
            </w:r>
            <w:r>
              <w:rPr>
                <w:rFonts w:ascii="Arial" w:cs="Arial" w:eastAsia="Arial" w:hAnsi="Arial"/>
                <w:sz w:val="25"/>
                <w:szCs w:val="25"/>
                <w:color w:val="auto"/>
                <w:vertAlign w:val="superscript"/>
              </w:rPr>
              <w:t>(1)</w:t>
            </w:r>
          </w:p>
        </w:tc>
        <w:tc>
          <w:tcPr>
            <w:tcW w:w="440" w:type="dxa"/>
            <w:vAlign w:val="bottom"/>
            <w:tcBorders>
              <w:bottom w:val="single" w:sz="8" w:color="BAD3EA"/>
            </w:tcBorders>
            <w:shd w:val="clear" w:color="auto" w:fill="BAD3EA"/>
          </w:tcPr>
          <w:p>
            <w:pPr>
              <w:spacing w:after="0"/>
              <w:rPr>
                <w:sz w:val="20"/>
                <w:szCs w:val="20"/>
                <w:color w:val="auto"/>
              </w:rPr>
            </w:pPr>
          </w:p>
        </w:tc>
        <w:tc>
          <w:tcPr>
            <w:tcW w:w="960" w:type="dxa"/>
            <w:vAlign w:val="bottom"/>
            <w:tcBorders>
              <w:bottom w:val="single" w:sz="8" w:color="BAD3EA"/>
            </w:tcBorders>
            <w:shd w:val="clear" w:color="auto" w:fill="BAD3EA"/>
          </w:tcPr>
          <w:p>
            <w:pPr>
              <w:jc w:val="right"/>
              <w:ind w:right="60"/>
              <w:spacing w:after="0"/>
              <w:rPr>
                <w:sz w:val="20"/>
                <w:szCs w:val="20"/>
                <w:color w:val="auto"/>
              </w:rPr>
            </w:pPr>
            <w:r>
              <w:rPr>
                <w:rFonts w:ascii="Arial" w:cs="Arial" w:eastAsia="Arial" w:hAnsi="Arial"/>
                <w:sz w:val="16"/>
                <w:szCs w:val="16"/>
                <w:color w:val="auto"/>
              </w:rPr>
              <w:t>n/a</w:t>
            </w:r>
          </w:p>
        </w:tc>
      </w:tr>
      <w:tr>
        <w:trPr>
          <w:trHeight w:val="237"/>
        </w:trPr>
        <w:tc>
          <w:tcPr>
            <w:tcW w:w="3880" w:type="dxa"/>
            <w:vAlign w:val="bottom"/>
            <w:tcBorders>
              <w:bottom w:val="single" w:sz="8" w:color="E8F0F8"/>
            </w:tcBorders>
            <w:shd w:val="clear" w:color="auto" w:fill="E8F0F8"/>
          </w:tcPr>
          <w:p>
            <w:pPr>
              <w:ind w:left="80"/>
              <w:spacing w:after="0" w:line="216" w:lineRule="exact"/>
              <w:rPr>
                <w:sz w:val="20"/>
                <w:szCs w:val="20"/>
                <w:color w:val="auto"/>
              </w:rPr>
            </w:pPr>
            <w:r>
              <w:rPr>
                <w:rFonts w:ascii="Arial" w:cs="Arial" w:eastAsia="Arial" w:hAnsi="Arial"/>
                <w:sz w:val="15"/>
                <w:szCs w:val="15"/>
                <w:color w:val="auto"/>
              </w:rPr>
              <w:t>M. Ehlers</w:t>
            </w:r>
            <w:r>
              <w:rPr>
                <w:rFonts w:ascii="Arial" w:cs="Arial" w:eastAsia="Arial" w:hAnsi="Arial"/>
                <w:sz w:val="25"/>
                <w:szCs w:val="25"/>
                <w:color w:val="auto"/>
                <w:vertAlign w:val="superscript"/>
              </w:rPr>
              <w:t>(2)</w:t>
            </w:r>
          </w:p>
        </w:tc>
        <w:tc>
          <w:tcPr>
            <w:tcW w:w="440" w:type="dxa"/>
            <w:vAlign w:val="bottom"/>
            <w:tcBorders>
              <w:bottom w:val="single" w:sz="8" w:color="E8F0F8"/>
            </w:tcBorders>
            <w:shd w:val="clear" w:color="auto" w:fill="E8F0F8"/>
          </w:tcPr>
          <w:p>
            <w:pPr>
              <w:ind w:left="360"/>
              <w:spacing w:after="0"/>
              <w:rPr>
                <w:sz w:val="20"/>
                <w:szCs w:val="20"/>
                <w:color w:val="auto"/>
              </w:rPr>
            </w:pPr>
            <w:r>
              <w:rPr>
                <w:rFonts w:ascii="Arial" w:cs="Arial" w:eastAsia="Arial" w:hAnsi="Arial"/>
                <w:sz w:val="15"/>
                <w:szCs w:val="15"/>
                <w:color w:val="auto"/>
                <w:w w:val="71"/>
                <w:shd w:val="clear" w:color="auto" w:fill="E8F0F8"/>
              </w:rPr>
              <w:t>$</w:t>
            </w:r>
          </w:p>
        </w:tc>
        <w:tc>
          <w:tcPr>
            <w:tcW w:w="960" w:type="dxa"/>
            <w:vAlign w:val="bottom"/>
            <w:tcBorders>
              <w:bottom w:val="single" w:sz="8" w:color="E8F0F8"/>
            </w:tcBorders>
            <w:shd w:val="clear" w:color="auto" w:fill="E8F0F8"/>
          </w:tcPr>
          <w:p>
            <w:pPr>
              <w:jc w:val="right"/>
              <w:ind w:right="60"/>
              <w:spacing w:after="0"/>
              <w:rPr>
                <w:sz w:val="20"/>
                <w:szCs w:val="20"/>
                <w:color w:val="auto"/>
              </w:rPr>
            </w:pPr>
            <w:r>
              <w:rPr>
                <w:rFonts w:ascii="Arial" w:cs="Arial" w:eastAsia="Arial" w:hAnsi="Arial"/>
                <w:sz w:val="16"/>
                <w:szCs w:val="16"/>
                <w:color w:val="auto"/>
                <w:shd w:val="clear" w:color="auto" w:fill="E8F0F8"/>
              </w:rPr>
              <w:t>3,750,000</w:t>
            </w:r>
          </w:p>
        </w:tc>
      </w:tr>
      <w:tr>
        <w:trPr>
          <w:trHeight w:val="237"/>
        </w:trPr>
        <w:tc>
          <w:tcPr>
            <w:tcW w:w="3880" w:type="dxa"/>
            <w:vAlign w:val="bottom"/>
            <w:tcBorders>
              <w:bottom w:val="single" w:sz="8" w:color="BAD3EA"/>
            </w:tcBorders>
            <w:shd w:val="clear" w:color="auto" w:fill="BAD3EA"/>
          </w:tcPr>
          <w:p>
            <w:pPr>
              <w:ind w:left="80"/>
              <w:spacing w:after="0" w:line="216" w:lineRule="exact"/>
              <w:rPr>
                <w:sz w:val="20"/>
                <w:szCs w:val="20"/>
                <w:color w:val="auto"/>
              </w:rPr>
            </w:pPr>
            <w:r>
              <w:rPr>
                <w:rFonts w:ascii="Arial" w:cs="Arial" w:eastAsia="Arial" w:hAnsi="Arial"/>
                <w:sz w:val="15"/>
                <w:szCs w:val="15"/>
                <w:color w:val="auto"/>
              </w:rPr>
              <w:t>S. Alexander</w:t>
            </w:r>
            <w:r>
              <w:rPr>
                <w:rFonts w:ascii="Arial" w:cs="Arial" w:eastAsia="Arial" w:hAnsi="Arial"/>
                <w:sz w:val="25"/>
                <w:szCs w:val="25"/>
                <w:color w:val="auto"/>
                <w:vertAlign w:val="superscript"/>
              </w:rPr>
              <w:t>(2)</w:t>
            </w:r>
          </w:p>
        </w:tc>
        <w:tc>
          <w:tcPr>
            <w:tcW w:w="440" w:type="dxa"/>
            <w:vAlign w:val="bottom"/>
            <w:tcBorders>
              <w:bottom w:val="single" w:sz="8" w:color="BAD3EA"/>
            </w:tcBorders>
            <w:shd w:val="clear" w:color="auto" w:fill="BAD3EA"/>
          </w:tcPr>
          <w:p>
            <w:pPr>
              <w:ind w:left="360"/>
              <w:spacing w:after="0"/>
              <w:rPr>
                <w:sz w:val="20"/>
                <w:szCs w:val="20"/>
                <w:color w:val="auto"/>
              </w:rPr>
            </w:pPr>
            <w:r>
              <w:rPr>
                <w:rFonts w:ascii="Arial" w:cs="Arial" w:eastAsia="Arial" w:hAnsi="Arial"/>
                <w:sz w:val="15"/>
                <w:szCs w:val="15"/>
                <w:color w:val="auto"/>
                <w:w w:val="71"/>
                <w:shd w:val="clear" w:color="auto" w:fill="BAD3EA"/>
              </w:rPr>
              <w:t>$</w:t>
            </w:r>
          </w:p>
        </w:tc>
        <w:tc>
          <w:tcPr>
            <w:tcW w:w="960" w:type="dxa"/>
            <w:vAlign w:val="bottom"/>
            <w:tcBorders>
              <w:bottom w:val="single" w:sz="8" w:color="BAD3EA"/>
            </w:tcBorders>
            <w:shd w:val="clear" w:color="auto" w:fill="BAD3EA"/>
          </w:tcPr>
          <w:p>
            <w:pPr>
              <w:jc w:val="right"/>
              <w:ind w:right="60"/>
              <w:spacing w:after="0"/>
              <w:rPr>
                <w:sz w:val="20"/>
                <w:szCs w:val="20"/>
                <w:color w:val="auto"/>
              </w:rPr>
            </w:pPr>
            <w:r>
              <w:rPr>
                <w:rFonts w:ascii="Arial" w:cs="Arial" w:eastAsia="Arial" w:hAnsi="Arial"/>
                <w:sz w:val="16"/>
                <w:szCs w:val="16"/>
                <w:color w:val="auto"/>
                <w:shd w:val="clear" w:color="auto" w:fill="BAD3EA"/>
              </w:rPr>
              <w:t>3,200,000</w:t>
            </w:r>
          </w:p>
        </w:tc>
      </w:tr>
      <w:tr>
        <w:trPr>
          <w:trHeight w:val="237"/>
        </w:trPr>
        <w:tc>
          <w:tcPr>
            <w:tcW w:w="3880" w:type="dxa"/>
            <w:vAlign w:val="bottom"/>
            <w:tcBorders>
              <w:bottom w:val="single" w:sz="8" w:color="E8F0F8"/>
            </w:tcBorders>
            <w:shd w:val="clear" w:color="auto" w:fill="E8F0F8"/>
          </w:tcPr>
          <w:p>
            <w:pPr>
              <w:ind w:left="80"/>
              <w:spacing w:after="0" w:line="216" w:lineRule="exact"/>
              <w:rPr>
                <w:sz w:val="20"/>
                <w:szCs w:val="20"/>
                <w:color w:val="auto"/>
              </w:rPr>
            </w:pPr>
            <w:r>
              <w:rPr>
                <w:rFonts w:ascii="Arial" w:cs="Arial" w:eastAsia="Arial" w:hAnsi="Arial"/>
                <w:sz w:val="15"/>
                <w:szCs w:val="15"/>
                <w:color w:val="auto"/>
              </w:rPr>
              <w:t>P. McKenzie</w:t>
            </w:r>
            <w:r>
              <w:rPr>
                <w:rFonts w:ascii="Arial" w:cs="Arial" w:eastAsia="Arial" w:hAnsi="Arial"/>
                <w:sz w:val="25"/>
                <w:szCs w:val="25"/>
                <w:color w:val="auto"/>
                <w:vertAlign w:val="superscript"/>
              </w:rPr>
              <w:t>(2)</w:t>
            </w:r>
          </w:p>
        </w:tc>
        <w:tc>
          <w:tcPr>
            <w:tcW w:w="440" w:type="dxa"/>
            <w:vAlign w:val="bottom"/>
            <w:tcBorders>
              <w:bottom w:val="single" w:sz="8" w:color="E8F0F8"/>
            </w:tcBorders>
            <w:shd w:val="clear" w:color="auto" w:fill="E8F0F8"/>
          </w:tcPr>
          <w:p>
            <w:pPr>
              <w:ind w:left="360"/>
              <w:spacing w:after="0"/>
              <w:rPr>
                <w:sz w:val="20"/>
                <w:szCs w:val="20"/>
                <w:color w:val="auto"/>
              </w:rPr>
            </w:pPr>
            <w:r>
              <w:rPr>
                <w:rFonts w:ascii="Arial" w:cs="Arial" w:eastAsia="Arial" w:hAnsi="Arial"/>
                <w:sz w:val="15"/>
                <w:szCs w:val="15"/>
                <w:color w:val="auto"/>
                <w:w w:val="71"/>
                <w:shd w:val="clear" w:color="auto" w:fill="E8F0F8"/>
              </w:rPr>
              <w:t>$</w:t>
            </w:r>
          </w:p>
        </w:tc>
        <w:tc>
          <w:tcPr>
            <w:tcW w:w="960" w:type="dxa"/>
            <w:vAlign w:val="bottom"/>
            <w:tcBorders>
              <w:bottom w:val="single" w:sz="8" w:color="E8F0F8"/>
            </w:tcBorders>
            <w:shd w:val="clear" w:color="auto" w:fill="E8F0F8"/>
          </w:tcPr>
          <w:p>
            <w:pPr>
              <w:jc w:val="right"/>
              <w:ind w:right="60"/>
              <w:spacing w:after="0"/>
              <w:rPr>
                <w:sz w:val="20"/>
                <w:szCs w:val="20"/>
                <w:color w:val="auto"/>
              </w:rPr>
            </w:pPr>
            <w:r>
              <w:rPr>
                <w:rFonts w:ascii="Arial" w:cs="Arial" w:eastAsia="Arial" w:hAnsi="Arial"/>
                <w:sz w:val="16"/>
                <w:szCs w:val="16"/>
                <w:color w:val="auto"/>
                <w:shd w:val="clear" w:color="auto" w:fill="E8F0F8"/>
              </w:rPr>
              <w:t>3,000,000</w:t>
            </w: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ind w:left="220"/>
        <w:spacing w:after="0"/>
        <w:rPr>
          <w:sz w:val="20"/>
          <w:szCs w:val="20"/>
          <w:color w:val="auto"/>
        </w:rPr>
      </w:pPr>
      <w:r>
        <w:rPr>
          <w:rFonts w:ascii="Arial" w:cs="Arial" w:eastAsia="Arial" w:hAnsi="Arial"/>
          <w:sz w:val="14"/>
          <w:szCs w:val="14"/>
          <w:i w:val="1"/>
          <w:iCs w:val="1"/>
          <w:color w:val="auto"/>
        </w:rPr>
        <w:t>Notes to the 2018 Annual LTI Awards Table</w:t>
      </w:r>
    </w:p>
    <w:p>
      <w:pPr>
        <w:spacing w:after="0" w:line="137" w:lineRule="exact"/>
        <w:rPr>
          <w:sz w:val="20"/>
          <w:szCs w:val="20"/>
          <w:color w:val="auto"/>
        </w:rPr>
      </w:pPr>
    </w:p>
    <w:p>
      <w:pPr>
        <w:ind w:left="420" w:right="100" w:hanging="209"/>
        <w:spacing w:after="0" w:line="247" w:lineRule="auto"/>
        <w:tabs>
          <w:tab w:leader="none" w:pos="42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In lieu of a 2018 annual LTI award, Mr. Capello received a new hire grant in January 2018, which consisted of PSUs and MSUs with an aggregate grant date target value of $3.0 million. The initial determination of these awards took into account the Company’s peer group data.</w:t>
      </w:r>
    </w:p>
    <w:p>
      <w:pPr>
        <w:spacing w:after="0" w:line="107" w:lineRule="exact"/>
        <w:rPr>
          <w:rFonts w:ascii="Arial" w:cs="Arial" w:eastAsia="Arial" w:hAnsi="Arial"/>
          <w:sz w:val="14"/>
          <w:szCs w:val="14"/>
          <w:color w:val="auto"/>
        </w:rPr>
      </w:pPr>
    </w:p>
    <w:p>
      <w:pPr>
        <w:ind w:left="420" w:hanging="209"/>
        <w:spacing w:after="0"/>
        <w:tabs>
          <w:tab w:leader="none" w:pos="42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In addition to the annual LTI award, Dr. Ehlers, Ms. Alexander and</w:t>
      </w:r>
    </w:p>
    <w:p>
      <w:pPr>
        <w:spacing w:after="0" w:line="1" w:lineRule="exact"/>
        <w:rPr>
          <w:rFonts w:ascii="Arial" w:cs="Arial" w:eastAsia="Arial" w:hAnsi="Arial"/>
          <w:sz w:val="14"/>
          <w:szCs w:val="14"/>
          <w:color w:val="auto"/>
        </w:rPr>
      </w:pPr>
    </w:p>
    <w:p>
      <w:pPr>
        <w:ind w:left="420" w:right="40"/>
        <w:spacing w:after="0" w:line="258" w:lineRule="auto"/>
        <w:rPr>
          <w:rFonts w:ascii="Arial" w:cs="Arial" w:eastAsia="Arial" w:hAnsi="Arial"/>
          <w:sz w:val="14"/>
          <w:szCs w:val="14"/>
          <w:color w:val="auto"/>
        </w:rPr>
      </w:pPr>
      <w:r>
        <w:rPr>
          <w:rFonts w:ascii="Arial" w:cs="Arial" w:eastAsia="Arial" w:hAnsi="Arial"/>
          <w:sz w:val="14"/>
          <w:szCs w:val="14"/>
          <w:color w:val="auto"/>
        </w:rPr>
        <w:t>Dr. McKenzie each received a one-time transition award of RSUs, as described in further detail below.</w:t>
      </w:r>
    </w:p>
    <w:p>
      <w:pPr>
        <w:spacing w:after="0" w:line="83" w:lineRule="exact"/>
        <w:rPr>
          <w:sz w:val="20"/>
          <w:szCs w:val="20"/>
          <w:color w:val="auto"/>
        </w:rPr>
      </w:pPr>
    </w:p>
    <w:p>
      <w:pPr>
        <w:ind w:left="220" w:right="20"/>
        <w:spacing w:after="0" w:line="248" w:lineRule="auto"/>
        <w:rPr>
          <w:sz w:val="20"/>
          <w:szCs w:val="20"/>
          <w:color w:val="auto"/>
        </w:rPr>
      </w:pPr>
      <w:r>
        <w:rPr>
          <w:rFonts w:ascii="Arial" w:cs="Arial" w:eastAsia="Arial" w:hAnsi="Arial"/>
          <w:sz w:val="16"/>
          <w:szCs w:val="16"/>
          <w:color w:val="auto"/>
        </w:rPr>
        <w:t>The actual value that will be realized from PSU awards depends on the degree of achievement of performance goals, with 60% of the PSUs (based on the grant date target value) settled in shares of our common stock based upon achievement of cumulative three-year financial and pipeline metrics and the remaining 40% of the PSUs settled in cash based upon the achievement of two annual financial metrics that are determined at the beginning of each relevant year. The actual value that will be realized from MSU awards depends on our 30-day average common stock price growth between the grant date and each of the dates such awards vest. Our common stock price is influenced by the Company’s performance as well as external market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171450</wp:posOffset>
            </wp:positionV>
            <wp:extent cx="685800" cy="15430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i w:val="1"/>
          <w:iCs w:val="1"/>
          <w:color w:val="427F3D"/>
        </w:rPr>
        <w:t>2018 PSUs</w:t>
      </w:r>
    </w:p>
    <w:p>
      <w:pPr>
        <w:spacing w:after="0" w:line="12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PSUs comprised 50% of our executives’ target LTI for 2018. PSUs are performance-based RSUs that have three-year cliff vesting in furtherance of the Company’s long-term pay-for-performance philosophy and to encourage employee retention. PSUs align executive compensation to Company goals through performance against a combination of financial and pipeline milestone performance metrics. The actual value (if any) of PSUs will not be realized by the NEOs until the three-year period ends and then only if the applicable performance goals are achieved.</w:t>
      </w:r>
    </w:p>
    <w:p>
      <w:pPr>
        <w:spacing w:after="0" w:line="100"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For our 2018 PSU awards, 60% of the PSUs (based on the grant date target value) will be settled in shares of our common stock based on achievement of financial and pipeline performance goals over a three-year performance period (the 2018 Stock-Settled PSUs). The remaining 40% of the PSUs will be settled in cash based on the achievement of three sets of one-year financial goals (the 2018 Cash-Settled PSUs) and continued employment through the vesting date. Our 2018 PSU awards are scheduled to vest in February 2021.</w:t>
      </w:r>
    </w:p>
    <w:p>
      <w:pPr>
        <w:spacing w:after="0" w:line="100"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For our 2018 PSU awards, the number of PSUs earned at the end of the three-year performance period will be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62865</wp:posOffset>
            </wp:positionV>
            <wp:extent cx="2752725" cy="8832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75272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designing our 2018 PSU LTI program, our C&amp;MD Committee acknowledged the need to balance driving long-term performance and investing for the future with achieving key milestones along the way. Cash payments are primarily aligned with and reward more recent performance, while equity awards encourage our executives to continue to deliver results over a longer period of time and also serve as a retention tool. Accordingly, our C&amp;MD Committee determined that moving compensation for our executive officers further away from cash and towards equity awards with longer-term goals would further align their interests with those of Biogen’s stockholders in creating long-term stockholder value.</w:t>
      </w:r>
    </w:p>
    <w:p>
      <w:pPr>
        <w:spacing w:after="0" w:line="1403" w:lineRule="exact"/>
        <w:rPr>
          <w:sz w:val="20"/>
          <w:szCs w:val="20"/>
          <w:color w:val="auto"/>
        </w:rPr>
      </w:pPr>
    </w:p>
    <w:p>
      <w:pPr>
        <w:sectPr>
          <w:pgSz w:w="11900" w:h="16838" w:orient="portrait"/>
          <w:cols w:equalWidth="0" w:num="2">
            <w:col w:w="5500" w:space="320"/>
            <w:col w:w="5380"/>
          </w:cols>
          <w:pgMar w:left="240" w:top="459" w:right="459" w:bottom="1440" w:gutter="0" w:footer="0" w:header="0"/>
          <w:type w:val="continuous"/>
        </w:sectPr>
      </w:pPr>
    </w:p>
    <w:p>
      <w:pPr>
        <w:spacing w:after="0" w:line="113"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-62865</wp:posOffset>
            </wp:positionV>
            <wp:extent cx="102870" cy="946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119"/>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1A6DBB"/>
        </w:rPr>
        <w:t>2018 PSU Awards Table</w:t>
      </w:r>
    </w:p>
    <w:p>
      <w:pPr>
        <w:spacing w:after="0" w:line="128" w:lineRule="exact"/>
        <w:rPr>
          <w:sz w:val="20"/>
          <w:szCs w:val="20"/>
          <w:color w:val="auto"/>
        </w:rPr>
      </w:pPr>
    </w:p>
    <w:p>
      <w:pPr>
        <w:ind w:left="200" w:right="40"/>
        <w:spacing w:after="0" w:line="253" w:lineRule="auto"/>
        <w:rPr>
          <w:sz w:val="20"/>
          <w:szCs w:val="20"/>
          <w:color w:val="auto"/>
        </w:rPr>
      </w:pPr>
      <w:r>
        <w:rPr>
          <w:rFonts w:ascii="Arial" w:cs="Arial" w:eastAsia="Arial" w:hAnsi="Arial"/>
          <w:sz w:val="16"/>
          <w:szCs w:val="16"/>
          <w:color w:val="auto"/>
        </w:rPr>
        <w:t>Set forth below is a summary of the performance metrics and weightings that our C&amp;MD Committee established for our 2018 PSU awards and the degree to which we achieved the performance goals for the 2018 tranche of the 2018 Cash-Settled PSUs. Based on the results outlined in the table below, the multiplier for the 2018 tranche of the 2018 Cash-Settled PSUs was 192%.</w:t>
      </w:r>
    </w:p>
    <w:p>
      <w:pPr>
        <w:spacing w:after="0" w:line="227" w:lineRule="exact"/>
        <w:rPr>
          <w:sz w:val="20"/>
          <w:szCs w:val="20"/>
          <w:color w:val="auto"/>
        </w:rPr>
      </w:pPr>
    </w:p>
    <w:tbl>
      <w:tblPr>
        <w:tblLayout w:type="fixed"/>
        <w:tblInd w:w="220" w:type="dxa"/>
        <w:tblCellMar>
          <w:top w:w="0" w:type="dxa"/>
          <w:left w:w="0" w:type="dxa"/>
          <w:bottom w:w="0" w:type="dxa"/>
          <w:right w:w="0" w:type="dxa"/>
        </w:tblCellMar>
      </w:tblPr>
      <w:tr>
        <w:trPr>
          <w:trHeight w:val="180"/>
        </w:trPr>
        <w:tc>
          <w:tcPr>
            <w:tcW w:w="1860" w:type="dxa"/>
            <w:vAlign w:val="bottom"/>
            <w:shd w:val="clear" w:color="auto" w:fill="1A6DBB"/>
          </w:tcPr>
          <w:p>
            <w:pPr>
              <w:spacing w:after="0"/>
              <w:rPr>
                <w:sz w:val="15"/>
                <w:szCs w:val="15"/>
                <w:color w:val="auto"/>
              </w:rPr>
            </w:pPr>
          </w:p>
        </w:tc>
        <w:tc>
          <w:tcPr>
            <w:tcW w:w="106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Percentage of</w:t>
            </w:r>
          </w:p>
        </w:tc>
        <w:tc>
          <w:tcPr>
            <w:tcW w:w="2680" w:type="dxa"/>
            <w:vAlign w:val="bottom"/>
            <w:shd w:val="clear" w:color="auto" w:fill="1A6DBB"/>
          </w:tcPr>
          <w:p>
            <w:pPr>
              <w:spacing w:after="0"/>
              <w:rPr>
                <w:sz w:val="15"/>
                <w:szCs w:val="15"/>
                <w:color w:val="auto"/>
              </w:rPr>
            </w:pPr>
          </w:p>
        </w:tc>
        <w:tc>
          <w:tcPr>
            <w:tcW w:w="1240" w:type="dxa"/>
            <w:vAlign w:val="bottom"/>
            <w:shd w:val="clear" w:color="auto" w:fill="1A6DBB"/>
          </w:tcPr>
          <w:p>
            <w:pPr>
              <w:spacing w:after="0"/>
              <w:rPr>
                <w:sz w:val="15"/>
                <w:szCs w:val="15"/>
                <w:color w:val="auto"/>
              </w:rPr>
            </w:pPr>
          </w:p>
        </w:tc>
        <w:tc>
          <w:tcPr>
            <w:tcW w:w="1140" w:type="dxa"/>
            <w:vAlign w:val="bottom"/>
            <w:shd w:val="clear" w:color="auto" w:fill="1A6DBB"/>
          </w:tcPr>
          <w:p>
            <w:pPr>
              <w:spacing w:after="0"/>
              <w:rPr>
                <w:sz w:val="15"/>
                <w:szCs w:val="15"/>
                <w:color w:val="auto"/>
              </w:rPr>
            </w:pPr>
          </w:p>
        </w:tc>
        <w:tc>
          <w:tcPr>
            <w:tcW w:w="500" w:type="dxa"/>
            <w:vAlign w:val="bottom"/>
            <w:shd w:val="clear" w:color="auto" w:fill="1A6DBB"/>
          </w:tcPr>
          <w:p>
            <w:pPr>
              <w:spacing w:after="0"/>
              <w:rPr>
                <w:sz w:val="15"/>
                <w:szCs w:val="15"/>
                <w:color w:val="auto"/>
              </w:rPr>
            </w:pPr>
          </w:p>
        </w:tc>
        <w:tc>
          <w:tcPr>
            <w:tcW w:w="1520" w:type="dxa"/>
            <w:vAlign w:val="bottom"/>
            <w:shd w:val="clear" w:color="auto" w:fill="1A6DBB"/>
          </w:tcPr>
          <w:p>
            <w:pPr>
              <w:spacing w:after="0"/>
              <w:rPr>
                <w:sz w:val="15"/>
                <w:szCs w:val="15"/>
                <w:color w:val="auto"/>
              </w:rPr>
            </w:pPr>
          </w:p>
        </w:tc>
        <w:tc>
          <w:tcPr>
            <w:tcW w:w="1020" w:type="dxa"/>
            <w:vAlign w:val="bottom"/>
            <w:shd w:val="clear" w:color="auto" w:fill="1A6DBB"/>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1A6DBB"/>
          </w:tcPr>
          <w:p>
            <w:pPr>
              <w:spacing w:after="0"/>
              <w:rPr>
                <w:sz w:val="14"/>
                <w:szCs w:val="14"/>
                <w:color w:val="auto"/>
              </w:rPr>
            </w:pPr>
          </w:p>
        </w:tc>
        <w:tc>
          <w:tcPr>
            <w:tcW w:w="106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PSU Target</w:t>
            </w:r>
          </w:p>
        </w:tc>
        <w:tc>
          <w:tcPr>
            <w:tcW w:w="2680" w:type="dxa"/>
            <w:vAlign w:val="bottom"/>
            <w:shd w:val="clear" w:color="auto" w:fill="1A6DBB"/>
          </w:tcPr>
          <w:p>
            <w:pPr>
              <w:spacing w:after="0"/>
              <w:rPr>
                <w:sz w:val="14"/>
                <w:szCs w:val="14"/>
                <w:color w:val="auto"/>
              </w:rPr>
            </w:pPr>
          </w:p>
        </w:tc>
        <w:tc>
          <w:tcPr>
            <w:tcW w:w="1240" w:type="dxa"/>
            <w:vAlign w:val="bottom"/>
            <w:shd w:val="clear" w:color="auto" w:fill="1A6DBB"/>
          </w:tcPr>
          <w:p>
            <w:pPr>
              <w:spacing w:after="0"/>
              <w:rPr>
                <w:sz w:val="14"/>
                <w:szCs w:val="14"/>
                <w:color w:val="auto"/>
              </w:rPr>
            </w:pPr>
          </w:p>
        </w:tc>
        <w:tc>
          <w:tcPr>
            <w:tcW w:w="1140" w:type="dxa"/>
            <w:vAlign w:val="bottom"/>
            <w:shd w:val="clear" w:color="auto" w:fill="1A6DBB"/>
          </w:tcPr>
          <w:p>
            <w:pPr>
              <w:spacing w:after="0"/>
              <w:rPr>
                <w:sz w:val="14"/>
                <w:szCs w:val="14"/>
                <w:color w:val="auto"/>
              </w:rPr>
            </w:pPr>
          </w:p>
        </w:tc>
        <w:tc>
          <w:tcPr>
            <w:tcW w:w="500" w:type="dxa"/>
            <w:vAlign w:val="bottom"/>
            <w:shd w:val="clear" w:color="auto" w:fill="1A6DBB"/>
          </w:tcPr>
          <w:p>
            <w:pPr>
              <w:spacing w:after="0"/>
              <w:rPr>
                <w:sz w:val="14"/>
                <w:szCs w:val="14"/>
                <w:color w:val="auto"/>
              </w:rPr>
            </w:pPr>
          </w:p>
        </w:tc>
        <w:tc>
          <w:tcPr>
            <w:tcW w:w="1520" w:type="dxa"/>
            <w:vAlign w:val="bottom"/>
            <w:shd w:val="clear" w:color="auto" w:fill="1A6DBB"/>
          </w:tcPr>
          <w:p>
            <w:pPr>
              <w:spacing w:after="0"/>
              <w:rPr>
                <w:sz w:val="14"/>
                <w:szCs w:val="14"/>
                <w:color w:val="auto"/>
              </w:rPr>
            </w:pPr>
          </w:p>
        </w:tc>
        <w:tc>
          <w:tcPr>
            <w:tcW w:w="1020" w:type="dxa"/>
            <w:vAlign w:val="bottom"/>
            <w:shd w:val="clear" w:color="auto" w:fill="1A6DB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1A6DBB"/>
          </w:tcPr>
          <w:p>
            <w:pPr>
              <w:spacing w:after="0"/>
              <w:rPr>
                <w:sz w:val="14"/>
                <w:szCs w:val="14"/>
                <w:color w:val="auto"/>
              </w:rPr>
            </w:pPr>
          </w:p>
        </w:tc>
        <w:tc>
          <w:tcPr>
            <w:tcW w:w="1060" w:type="dxa"/>
            <w:vAlign w:val="bottom"/>
            <w:shd w:val="clear" w:color="auto" w:fill="1A6DBB"/>
          </w:tcPr>
          <w:p>
            <w:pPr>
              <w:jc w:val="center"/>
              <w:spacing w:after="0"/>
              <w:rPr>
                <w:sz w:val="20"/>
                <w:szCs w:val="20"/>
                <w:color w:val="auto"/>
              </w:rPr>
            </w:pPr>
            <w:r>
              <w:rPr>
                <w:rFonts w:ascii="Arial" w:cs="Arial" w:eastAsia="Arial" w:hAnsi="Arial"/>
                <w:sz w:val="14"/>
                <w:szCs w:val="14"/>
                <w:color w:val="FFFFFF"/>
                <w:w w:val="99"/>
              </w:rPr>
              <w:t>Value / Total</w:t>
            </w:r>
          </w:p>
        </w:tc>
        <w:tc>
          <w:tcPr>
            <w:tcW w:w="2680" w:type="dxa"/>
            <w:vAlign w:val="bottom"/>
            <w:shd w:val="clear" w:color="auto" w:fill="1A6DBB"/>
          </w:tcPr>
          <w:p>
            <w:pPr>
              <w:spacing w:after="0"/>
              <w:rPr>
                <w:sz w:val="14"/>
                <w:szCs w:val="14"/>
                <w:color w:val="auto"/>
              </w:rPr>
            </w:pPr>
          </w:p>
        </w:tc>
        <w:tc>
          <w:tcPr>
            <w:tcW w:w="1240" w:type="dxa"/>
            <w:vAlign w:val="bottom"/>
            <w:shd w:val="clear" w:color="auto" w:fill="1A6DBB"/>
          </w:tcPr>
          <w:p>
            <w:pPr>
              <w:jc w:val="right"/>
              <w:ind w:right="83"/>
              <w:spacing w:after="0"/>
              <w:rPr>
                <w:sz w:val="20"/>
                <w:szCs w:val="20"/>
                <w:color w:val="auto"/>
              </w:rPr>
            </w:pPr>
            <w:r>
              <w:rPr>
                <w:rFonts w:ascii="Arial" w:cs="Arial" w:eastAsia="Arial" w:hAnsi="Arial"/>
                <w:sz w:val="14"/>
                <w:szCs w:val="14"/>
                <w:color w:val="FFFFFF"/>
              </w:rPr>
              <w:t>Performance</w:t>
            </w:r>
          </w:p>
        </w:tc>
        <w:tc>
          <w:tcPr>
            <w:tcW w:w="1140" w:type="dxa"/>
            <w:vAlign w:val="bottom"/>
            <w:shd w:val="clear" w:color="auto" w:fill="1A6DBB"/>
          </w:tcPr>
          <w:p>
            <w:pPr>
              <w:spacing w:after="0"/>
              <w:rPr>
                <w:sz w:val="14"/>
                <w:szCs w:val="14"/>
                <w:color w:val="auto"/>
              </w:rPr>
            </w:pPr>
          </w:p>
        </w:tc>
        <w:tc>
          <w:tcPr>
            <w:tcW w:w="500" w:type="dxa"/>
            <w:vAlign w:val="bottom"/>
            <w:shd w:val="clear" w:color="auto" w:fill="1A6DBB"/>
          </w:tcPr>
          <w:p>
            <w:pPr>
              <w:spacing w:after="0"/>
              <w:rPr>
                <w:sz w:val="14"/>
                <w:szCs w:val="14"/>
                <w:color w:val="auto"/>
              </w:rPr>
            </w:pPr>
          </w:p>
        </w:tc>
        <w:tc>
          <w:tcPr>
            <w:tcW w:w="1520" w:type="dxa"/>
            <w:vAlign w:val="bottom"/>
            <w:shd w:val="clear" w:color="auto" w:fill="1A6DBB"/>
          </w:tcPr>
          <w:p>
            <w:pPr>
              <w:spacing w:after="0"/>
              <w:rPr>
                <w:sz w:val="14"/>
                <w:szCs w:val="14"/>
                <w:color w:val="auto"/>
              </w:rPr>
            </w:pPr>
          </w:p>
        </w:tc>
        <w:tc>
          <w:tcPr>
            <w:tcW w:w="1020" w:type="dxa"/>
            <w:vAlign w:val="bottom"/>
            <w:shd w:val="clear" w:color="auto" w:fill="1A6DB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1A6DBB"/>
          </w:tcPr>
          <w:p>
            <w:pPr>
              <w:ind w:left="460"/>
              <w:spacing w:after="0"/>
              <w:rPr>
                <w:sz w:val="20"/>
                <w:szCs w:val="20"/>
                <w:color w:val="auto"/>
              </w:rPr>
            </w:pPr>
            <w:r>
              <w:rPr>
                <w:rFonts w:ascii="Arial" w:cs="Arial" w:eastAsia="Arial" w:hAnsi="Arial"/>
                <w:sz w:val="14"/>
                <w:szCs w:val="14"/>
                <w:color w:val="FFFFFF"/>
              </w:rPr>
              <w:t>Percentage of</w:t>
            </w:r>
          </w:p>
        </w:tc>
        <w:tc>
          <w:tcPr>
            <w:tcW w:w="1060" w:type="dxa"/>
            <w:vAlign w:val="bottom"/>
            <w:shd w:val="clear" w:color="auto" w:fill="1A6DBB"/>
          </w:tcPr>
          <w:p>
            <w:pPr>
              <w:jc w:val="center"/>
              <w:spacing w:after="0"/>
              <w:rPr>
                <w:sz w:val="20"/>
                <w:szCs w:val="20"/>
                <w:color w:val="auto"/>
              </w:rPr>
            </w:pPr>
            <w:r>
              <w:rPr>
                <w:rFonts w:ascii="Arial" w:cs="Arial" w:eastAsia="Arial" w:hAnsi="Arial"/>
                <w:sz w:val="14"/>
                <w:szCs w:val="14"/>
                <w:color w:val="FFFFFF"/>
                <w:w w:val="99"/>
              </w:rPr>
              <w:t>LTI Target</w:t>
            </w:r>
          </w:p>
        </w:tc>
        <w:tc>
          <w:tcPr>
            <w:tcW w:w="2680" w:type="dxa"/>
            <w:vAlign w:val="bottom"/>
            <w:shd w:val="clear" w:color="auto" w:fill="1A6DBB"/>
          </w:tcPr>
          <w:p>
            <w:pPr>
              <w:spacing w:after="0"/>
              <w:rPr>
                <w:sz w:val="14"/>
                <w:szCs w:val="14"/>
                <w:color w:val="auto"/>
              </w:rPr>
            </w:pPr>
          </w:p>
        </w:tc>
        <w:tc>
          <w:tcPr>
            <w:tcW w:w="1240" w:type="dxa"/>
            <w:vAlign w:val="bottom"/>
            <w:shd w:val="clear" w:color="auto" w:fill="1A6DBB"/>
          </w:tcPr>
          <w:p>
            <w:pPr>
              <w:jc w:val="right"/>
              <w:ind w:right="263"/>
              <w:spacing w:after="0"/>
              <w:rPr>
                <w:sz w:val="20"/>
                <w:szCs w:val="20"/>
                <w:color w:val="auto"/>
              </w:rPr>
            </w:pPr>
            <w:r>
              <w:rPr>
                <w:rFonts w:ascii="Arial" w:cs="Arial" w:eastAsia="Arial" w:hAnsi="Arial"/>
                <w:sz w:val="14"/>
                <w:szCs w:val="14"/>
                <w:color w:val="FFFFFF"/>
              </w:rPr>
              <w:t>Metrics</w:t>
            </w:r>
          </w:p>
        </w:tc>
        <w:tc>
          <w:tcPr>
            <w:tcW w:w="114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Performance</w:t>
            </w:r>
          </w:p>
        </w:tc>
        <w:tc>
          <w:tcPr>
            <w:tcW w:w="500" w:type="dxa"/>
            <w:vAlign w:val="bottom"/>
            <w:shd w:val="clear" w:color="auto" w:fill="1A6DBB"/>
          </w:tcPr>
          <w:p>
            <w:pPr>
              <w:spacing w:after="0"/>
              <w:rPr>
                <w:sz w:val="14"/>
                <w:szCs w:val="14"/>
                <w:color w:val="auto"/>
              </w:rPr>
            </w:pPr>
          </w:p>
        </w:tc>
        <w:tc>
          <w:tcPr>
            <w:tcW w:w="1520" w:type="dxa"/>
            <w:vAlign w:val="bottom"/>
            <w:shd w:val="clear" w:color="auto" w:fill="1A6DBB"/>
          </w:tcPr>
          <w:p>
            <w:pPr>
              <w:jc w:val="center"/>
              <w:ind w:right="401"/>
              <w:spacing w:after="0"/>
              <w:rPr>
                <w:sz w:val="20"/>
                <w:szCs w:val="20"/>
                <w:color w:val="auto"/>
              </w:rPr>
            </w:pPr>
            <w:r>
              <w:rPr>
                <w:rFonts w:ascii="Arial" w:cs="Arial" w:eastAsia="Arial" w:hAnsi="Arial"/>
                <w:sz w:val="14"/>
                <w:szCs w:val="14"/>
                <w:color w:val="FFFFFF"/>
                <w:w w:val="98"/>
              </w:rPr>
              <w:t>Target</w:t>
            </w:r>
          </w:p>
        </w:tc>
        <w:tc>
          <w:tcPr>
            <w:tcW w:w="102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Actual</w:t>
            </w:r>
          </w:p>
        </w:tc>
        <w:tc>
          <w:tcPr>
            <w:tcW w:w="0" w:type="dxa"/>
            <w:vAlign w:val="bottom"/>
          </w:tcPr>
          <w:p>
            <w:pPr>
              <w:spacing w:after="0"/>
              <w:rPr>
                <w:sz w:val="1"/>
                <w:szCs w:val="1"/>
                <w:color w:val="auto"/>
              </w:rPr>
            </w:pPr>
          </w:p>
        </w:tc>
      </w:tr>
      <w:tr>
        <w:trPr>
          <w:trHeight w:val="171"/>
        </w:trPr>
        <w:tc>
          <w:tcPr>
            <w:tcW w:w="1860" w:type="dxa"/>
            <w:vAlign w:val="bottom"/>
            <w:shd w:val="clear" w:color="auto" w:fill="1A6DBB"/>
          </w:tcPr>
          <w:p>
            <w:pPr>
              <w:ind w:left="540"/>
              <w:spacing w:after="0"/>
              <w:rPr>
                <w:sz w:val="20"/>
                <w:szCs w:val="20"/>
                <w:color w:val="auto"/>
              </w:rPr>
            </w:pPr>
            <w:r>
              <w:rPr>
                <w:rFonts w:ascii="Arial" w:cs="Arial" w:eastAsia="Arial" w:hAnsi="Arial"/>
                <w:sz w:val="14"/>
                <w:szCs w:val="14"/>
                <w:color w:val="FFFFFF"/>
              </w:rPr>
              <w:t>PSU Award</w:t>
            </w:r>
          </w:p>
        </w:tc>
        <w:tc>
          <w:tcPr>
            <w:tcW w:w="106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Value</w:t>
            </w:r>
          </w:p>
        </w:tc>
        <w:tc>
          <w:tcPr>
            <w:tcW w:w="2680" w:type="dxa"/>
            <w:vAlign w:val="bottom"/>
            <w:shd w:val="clear" w:color="auto" w:fill="1A6DBB"/>
          </w:tcPr>
          <w:p>
            <w:pPr>
              <w:ind w:left="780"/>
              <w:spacing w:after="0"/>
              <w:rPr>
                <w:sz w:val="20"/>
                <w:szCs w:val="20"/>
                <w:color w:val="auto"/>
              </w:rPr>
            </w:pPr>
            <w:r>
              <w:rPr>
                <w:rFonts w:ascii="Arial" w:cs="Arial" w:eastAsia="Arial" w:hAnsi="Arial"/>
                <w:sz w:val="14"/>
                <w:szCs w:val="14"/>
                <w:color w:val="FFFFFF"/>
              </w:rPr>
              <w:t>Performance Metrics</w:t>
            </w:r>
          </w:p>
        </w:tc>
        <w:tc>
          <w:tcPr>
            <w:tcW w:w="1240" w:type="dxa"/>
            <w:vAlign w:val="bottom"/>
            <w:shd w:val="clear" w:color="auto" w:fill="1A6DBB"/>
          </w:tcPr>
          <w:p>
            <w:pPr>
              <w:jc w:val="right"/>
              <w:ind w:right="283"/>
              <w:spacing w:after="0"/>
              <w:rPr>
                <w:sz w:val="20"/>
                <w:szCs w:val="20"/>
                <w:color w:val="auto"/>
              </w:rPr>
            </w:pPr>
            <w:r>
              <w:rPr>
                <w:rFonts w:ascii="Arial" w:cs="Arial" w:eastAsia="Arial" w:hAnsi="Arial"/>
                <w:sz w:val="14"/>
                <w:szCs w:val="14"/>
                <w:color w:val="FFFFFF"/>
              </w:rPr>
              <w:t>Weight</w:t>
            </w:r>
          </w:p>
        </w:tc>
        <w:tc>
          <w:tcPr>
            <w:tcW w:w="114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Period</w:t>
            </w:r>
          </w:p>
        </w:tc>
        <w:tc>
          <w:tcPr>
            <w:tcW w:w="500" w:type="dxa"/>
            <w:vAlign w:val="bottom"/>
            <w:shd w:val="clear" w:color="auto" w:fill="1A6DBB"/>
          </w:tcPr>
          <w:p>
            <w:pPr>
              <w:spacing w:after="0"/>
              <w:rPr>
                <w:sz w:val="14"/>
                <w:szCs w:val="14"/>
                <w:color w:val="auto"/>
              </w:rPr>
            </w:pPr>
          </w:p>
        </w:tc>
        <w:tc>
          <w:tcPr>
            <w:tcW w:w="1520" w:type="dxa"/>
            <w:vAlign w:val="bottom"/>
            <w:shd w:val="clear" w:color="auto" w:fill="1A6DBB"/>
          </w:tcPr>
          <w:p>
            <w:pPr>
              <w:jc w:val="center"/>
              <w:ind w:right="421"/>
              <w:spacing w:after="0"/>
              <w:rPr>
                <w:sz w:val="20"/>
                <w:szCs w:val="20"/>
                <w:color w:val="auto"/>
              </w:rPr>
            </w:pPr>
            <w:r>
              <w:rPr>
                <w:rFonts w:ascii="Arial" w:cs="Arial" w:eastAsia="Arial" w:hAnsi="Arial"/>
                <w:sz w:val="14"/>
                <w:szCs w:val="14"/>
                <w:color w:val="FFFFFF"/>
              </w:rPr>
              <w:t>Performance</w:t>
            </w:r>
          </w:p>
        </w:tc>
        <w:tc>
          <w:tcPr>
            <w:tcW w:w="102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Performance</w:t>
            </w:r>
          </w:p>
        </w:tc>
        <w:tc>
          <w:tcPr>
            <w:tcW w:w="0" w:type="dxa"/>
            <w:vAlign w:val="bottom"/>
          </w:tcPr>
          <w:p>
            <w:pPr>
              <w:spacing w:after="0"/>
              <w:rPr>
                <w:sz w:val="1"/>
                <w:szCs w:val="1"/>
                <w:color w:val="auto"/>
              </w:rPr>
            </w:pPr>
          </w:p>
        </w:tc>
      </w:tr>
      <w:tr>
        <w:trPr>
          <w:trHeight w:val="191"/>
        </w:trPr>
        <w:tc>
          <w:tcPr>
            <w:tcW w:w="1860" w:type="dxa"/>
            <w:vAlign w:val="bottom"/>
            <w:shd w:val="clear" w:color="auto" w:fill="E8F0F8"/>
          </w:tcPr>
          <w:p>
            <w:pPr>
              <w:ind w:left="80"/>
              <w:spacing w:after="0"/>
              <w:rPr>
                <w:sz w:val="20"/>
                <w:szCs w:val="20"/>
                <w:color w:val="auto"/>
              </w:rPr>
            </w:pPr>
            <w:r>
              <w:rPr>
                <w:rFonts w:ascii="Arial" w:cs="Arial" w:eastAsia="Arial" w:hAnsi="Arial"/>
                <w:sz w:val="16"/>
                <w:szCs w:val="16"/>
                <w:color w:val="auto"/>
              </w:rPr>
              <w:t>Stock-</w:t>
            </w:r>
          </w:p>
        </w:tc>
        <w:tc>
          <w:tcPr>
            <w:tcW w:w="1060" w:type="dxa"/>
            <w:vAlign w:val="bottom"/>
            <w:vMerge w:val="restart"/>
            <w:shd w:val="clear" w:color="auto" w:fill="E8F0F8"/>
          </w:tcPr>
          <w:p>
            <w:pPr>
              <w:jc w:val="center"/>
              <w:spacing w:after="0"/>
              <w:rPr>
                <w:sz w:val="20"/>
                <w:szCs w:val="20"/>
                <w:color w:val="auto"/>
              </w:rPr>
            </w:pPr>
            <w:r>
              <w:rPr>
                <w:rFonts w:ascii="Arial" w:cs="Arial" w:eastAsia="Arial" w:hAnsi="Arial"/>
                <w:sz w:val="16"/>
                <w:szCs w:val="16"/>
                <w:color w:val="auto"/>
              </w:rPr>
              <w:t>60% / 30%</w:t>
            </w:r>
          </w:p>
        </w:tc>
        <w:tc>
          <w:tcPr>
            <w:tcW w:w="2680" w:type="dxa"/>
            <w:vAlign w:val="bottom"/>
            <w:shd w:val="clear" w:color="auto" w:fill="E8F0F8"/>
          </w:tcPr>
          <w:p>
            <w:pPr>
              <w:ind w:left="60"/>
              <w:spacing w:after="0"/>
              <w:rPr>
                <w:sz w:val="20"/>
                <w:szCs w:val="20"/>
                <w:color w:val="auto"/>
              </w:rPr>
            </w:pPr>
            <w:r>
              <w:rPr>
                <w:rFonts w:ascii="Arial" w:cs="Arial" w:eastAsia="Arial" w:hAnsi="Arial"/>
                <w:sz w:val="16"/>
                <w:szCs w:val="16"/>
                <w:color w:val="auto"/>
              </w:rPr>
              <w:t>Adjusted Non-GAAP diluted EPS</w:t>
            </w:r>
          </w:p>
        </w:tc>
        <w:tc>
          <w:tcPr>
            <w:tcW w:w="1240" w:type="dxa"/>
            <w:vAlign w:val="bottom"/>
            <w:shd w:val="clear" w:color="auto" w:fill="E8F0F8"/>
          </w:tcPr>
          <w:p>
            <w:pPr>
              <w:jc w:val="right"/>
              <w:ind w:right="83"/>
              <w:spacing w:after="0"/>
              <w:rPr>
                <w:sz w:val="20"/>
                <w:szCs w:val="20"/>
                <w:color w:val="auto"/>
              </w:rPr>
            </w:pPr>
            <w:r>
              <w:rPr>
                <w:rFonts w:ascii="Arial" w:cs="Arial" w:eastAsia="Arial" w:hAnsi="Arial"/>
                <w:sz w:val="16"/>
                <w:szCs w:val="16"/>
                <w:color w:val="auto"/>
              </w:rPr>
              <w:t>30%</w:t>
            </w:r>
          </w:p>
        </w:tc>
        <w:tc>
          <w:tcPr>
            <w:tcW w:w="1140" w:type="dxa"/>
            <w:vAlign w:val="bottom"/>
            <w:shd w:val="clear" w:color="auto" w:fill="E8F0F8"/>
          </w:tcPr>
          <w:p>
            <w:pPr>
              <w:jc w:val="center"/>
              <w:ind w:left="1"/>
              <w:spacing w:after="0"/>
              <w:rPr>
                <w:sz w:val="20"/>
                <w:szCs w:val="20"/>
                <w:color w:val="auto"/>
              </w:rPr>
            </w:pPr>
            <w:r>
              <w:rPr>
                <w:rFonts w:ascii="Arial" w:cs="Arial" w:eastAsia="Arial" w:hAnsi="Arial"/>
                <w:sz w:val="16"/>
                <w:szCs w:val="16"/>
                <w:color w:val="auto"/>
              </w:rPr>
              <w:t>2018-2020</w:t>
            </w:r>
          </w:p>
        </w:tc>
        <w:tc>
          <w:tcPr>
            <w:tcW w:w="3040" w:type="dxa"/>
            <w:vAlign w:val="bottom"/>
            <w:gridSpan w:val="3"/>
            <w:shd w:val="clear" w:color="auto" w:fill="E8F0F8"/>
          </w:tcPr>
          <w:p>
            <w:pPr>
              <w:ind w:left="300"/>
              <w:spacing w:after="0"/>
              <w:rPr>
                <w:sz w:val="20"/>
                <w:szCs w:val="20"/>
                <w:color w:val="auto"/>
              </w:rPr>
            </w:pPr>
            <w:r>
              <w:rPr>
                <w:rFonts w:ascii="Arial" w:cs="Arial" w:eastAsia="Arial" w:hAnsi="Arial"/>
                <w:sz w:val="16"/>
                <w:szCs w:val="16"/>
                <w:color w:val="auto"/>
              </w:rPr>
              <w:t>Specific goals are not disclosed for</w:t>
            </w:r>
          </w:p>
        </w:tc>
        <w:tc>
          <w:tcPr>
            <w:tcW w:w="0" w:type="dxa"/>
            <w:vAlign w:val="bottom"/>
          </w:tcPr>
          <w:p>
            <w:pPr>
              <w:spacing w:after="0"/>
              <w:rPr>
                <w:sz w:val="1"/>
                <w:szCs w:val="1"/>
                <w:color w:val="auto"/>
              </w:rPr>
            </w:pPr>
          </w:p>
        </w:tc>
      </w:tr>
      <w:tr>
        <w:trPr>
          <w:trHeight w:val="211"/>
        </w:trPr>
        <w:tc>
          <w:tcPr>
            <w:tcW w:w="1860" w:type="dxa"/>
            <w:vAlign w:val="bottom"/>
            <w:shd w:val="clear" w:color="auto" w:fill="E8F0F8"/>
          </w:tcPr>
          <w:p>
            <w:pPr>
              <w:ind w:left="80"/>
              <w:spacing w:after="0"/>
              <w:rPr>
                <w:sz w:val="20"/>
                <w:szCs w:val="20"/>
                <w:color w:val="auto"/>
              </w:rPr>
            </w:pPr>
            <w:r>
              <w:rPr>
                <w:rFonts w:ascii="Arial" w:cs="Arial" w:eastAsia="Arial" w:hAnsi="Arial"/>
                <w:sz w:val="16"/>
                <w:szCs w:val="16"/>
                <w:color w:val="auto"/>
              </w:rPr>
              <w:t>Settled: 60%</w:t>
            </w:r>
          </w:p>
        </w:tc>
        <w:tc>
          <w:tcPr>
            <w:tcW w:w="1060" w:type="dxa"/>
            <w:vAlign w:val="bottom"/>
            <w:vMerge w:val="continue"/>
            <w:shd w:val="clear" w:color="auto" w:fill="E8F0F8"/>
          </w:tcPr>
          <w:p>
            <w:pPr>
              <w:spacing w:after="0"/>
              <w:rPr>
                <w:sz w:val="18"/>
                <w:szCs w:val="18"/>
                <w:color w:val="auto"/>
              </w:rPr>
            </w:pPr>
          </w:p>
        </w:tc>
        <w:tc>
          <w:tcPr>
            <w:tcW w:w="2680" w:type="dxa"/>
            <w:vAlign w:val="bottom"/>
            <w:shd w:val="clear" w:color="auto" w:fill="E8F0F8"/>
          </w:tcPr>
          <w:p>
            <w:pPr>
              <w:ind w:left="60"/>
              <w:spacing w:after="0"/>
              <w:rPr>
                <w:sz w:val="20"/>
                <w:szCs w:val="20"/>
                <w:color w:val="auto"/>
              </w:rPr>
            </w:pPr>
            <w:r>
              <w:rPr>
                <w:rFonts w:ascii="Arial" w:cs="Arial" w:eastAsia="Arial" w:hAnsi="Arial"/>
                <w:sz w:val="16"/>
                <w:szCs w:val="16"/>
                <w:color w:val="auto"/>
              </w:rPr>
              <w:t>Pipeline Milestone Performance</w:t>
            </w:r>
          </w:p>
        </w:tc>
        <w:tc>
          <w:tcPr>
            <w:tcW w:w="1240" w:type="dxa"/>
            <w:vAlign w:val="bottom"/>
            <w:shd w:val="clear" w:color="auto" w:fill="E8F0F8"/>
          </w:tcPr>
          <w:p>
            <w:pPr>
              <w:jc w:val="right"/>
              <w:ind w:right="83"/>
              <w:spacing w:after="0"/>
              <w:rPr>
                <w:sz w:val="20"/>
                <w:szCs w:val="20"/>
                <w:color w:val="auto"/>
              </w:rPr>
            </w:pPr>
            <w:r>
              <w:rPr>
                <w:rFonts w:ascii="Arial" w:cs="Arial" w:eastAsia="Arial" w:hAnsi="Arial"/>
                <w:sz w:val="16"/>
                <w:szCs w:val="16"/>
                <w:color w:val="auto"/>
              </w:rPr>
              <w:t>30%</w:t>
            </w:r>
          </w:p>
        </w:tc>
        <w:tc>
          <w:tcPr>
            <w:tcW w:w="1140" w:type="dxa"/>
            <w:vAlign w:val="bottom"/>
            <w:shd w:val="clear" w:color="auto" w:fill="E8F0F8"/>
          </w:tcPr>
          <w:p>
            <w:pPr>
              <w:jc w:val="center"/>
              <w:ind w:left="1"/>
              <w:spacing w:after="0"/>
              <w:rPr>
                <w:sz w:val="20"/>
                <w:szCs w:val="20"/>
                <w:color w:val="auto"/>
              </w:rPr>
            </w:pPr>
            <w:r>
              <w:rPr>
                <w:rFonts w:ascii="Arial" w:cs="Arial" w:eastAsia="Arial" w:hAnsi="Arial"/>
                <w:sz w:val="16"/>
                <w:szCs w:val="16"/>
                <w:color w:val="auto"/>
              </w:rPr>
              <w:t>2018-2020</w:t>
            </w:r>
          </w:p>
        </w:tc>
        <w:tc>
          <w:tcPr>
            <w:tcW w:w="500" w:type="dxa"/>
            <w:vAlign w:val="bottom"/>
            <w:shd w:val="clear" w:color="auto" w:fill="E8F0F8"/>
          </w:tcPr>
          <w:p>
            <w:pPr>
              <w:spacing w:after="0"/>
              <w:rPr>
                <w:sz w:val="18"/>
                <w:szCs w:val="18"/>
                <w:color w:val="auto"/>
              </w:rPr>
            </w:pPr>
          </w:p>
        </w:tc>
        <w:tc>
          <w:tcPr>
            <w:tcW w:w="2540" w:type="dxa"/>
            <w:vAlign w:val="bottom"/>
            <w:gridSpan w:val="2"/>
            <w:shd w:val="clear" w:color="auto" w:fill="E8F0F8"/>
          </w:tcPr>
          <w:p>
            <w:pPr>
              <w:ind w:left="340"/>
              <w:spacing w:after="0"/>
              <w:rPr>
                <w:sz w:val="20"/>
                <w:szCs w:val="20"/>
                <w:color w:val="auto"/>
              </w:rPr>
            </w:pPr>
            <w:r>
              <w:rPr>
                <w:rFonts w:ascii="Arial" w:cs="Arial" w:eastAsia="Arial" w:hAnsi="Arial"/>
                <w:sz w:val="16"/>
                <w:szCs w:val="16"/>
                <w:color w:val="auto"/>
              </w:rPr>
              <w:t>competitive reasons</w:t>
            </w:r>
          </w:p>
        </w:tc>
        <w:tc>
          <w:tcPr>
            <w:tcW w:w="0" w:type="dxa"/>
            <w:vAlign w:val="bottom"/>
          </w:tcPr>
          <w:p>
            <w:pPr>
              <w:spacing w:after="0"/>
              <w:rPr>
                <w:sz w:val="1"/>
                <w:szCs w:val="1"/>
                <w:color w:val="auto"/>
              </w:rPr>
            </w:pPr>
          </w:p>
        </w:tc>
      </w:tr>
      <w:tr>
        <w:trPr>
          <w:trHeight w:val="194"/>
        </w:trPr>
        <w:tc>
          <w:tcPr>
            <w:tcW w:w="1860" w:type="dxa"/>
            <w:vAlign w:val="bottom"/>
            <w:shd w:val="clear" w:color="auto" w:fill="BAD3EA"/>
          </w:tcPr>
          <w:p>
            <w:pPr>
              <w:spacing w:after="0"/>
              <w:rPr>
                <w:sz w:val="16"/>
                <w:szCs w:val="16"/>
                <w:color w:val="auto"/>
              </w:rPr>
            </w:pPr>
          </w:p>
        </w:tc>
        <w:tc>
          <w:tcPr>
            <w:tcW w:w="1060" w:type="dxa"/>
            <w:vAlign w:val="bottom"/>
            <w:shd w:val="clear" w:color="auto" w:fill="BAD3EA"/>
          </w:tcPr>
          <w:p>
            <w:pPr>
              <w:spacing w:after="0"/>
              <w:rPr>
                <w:sz w:val="16"/>
                <w:szCs w:val="16"/>
                <w:color w:val="auto"/>
              </w:rPr>
            </w:pPr>
          </w:p>
        </w:tc>
        <w:tc>
          <w:tcPr>
            <w:tcW w:w="2680" w:type="dxa"/>
            <w:vAlign w:val="bottom"/>
            <w:shd w:val="clear" w:color="auto" w:fill="BAD3EA"/>
          </w:tcPr>
          <w:p>
            <w:pPr>
              <w:spacing w:after="0"/>
              <w:rPr>
                <w:sz w:val="16"/>
                <w:szCs w:val="16"/>
                <w:color w:val="auto"/>
              </w:rPr>
            </w:pPr>
          </w:p>
        </w:tc>
        <w:tc>
          <w:tcPr>
            <w:tcW w:w="1240" w:type="dxa"/>
            <w:vAlign w:val="bottom"/>
            <w:shd w:val="clear" w:color="auto" w:fill="BAD3EA"/>
          </w:tcPr>
          <w:p>
            <w:pPr>
              <w:spacing w:after="0"/>
              <w:rPr>
                <w:sz w:val="16"/>
                <w:szCs w:val="16"/>
                <w:color w:val="auto"/>
              </w:rPr>
            </w:pPr>
          </w:p>
        </w:tc>
        <w:tc>
          <w:tcPr>
            <w:tcW w:w="1140" w:type="dxa"/>
            <w:vAlign w:val="bottom"/>
            <w:shd w:val="clear" w:color="auto" w:fill="BAD3EA"/>
          </w:tcPr>
          <w:p>
            <w:pPr>
              <w:jc w:val="center"/>
              <w:spacing w:after="0"/>
              <w:rPr>
                <w:sz w:val="20"/>
                <w:szCs w:val="20"/>
                <w:color w:val="auto"/>
              </w:rPr>
            </w:pPr>
            <w:r>
              <w:rPr>
                <w:rFonts w:ascii="Arial" w:cs="Arial" w:eastAsia="Arial" w:hAnsi="Arial"/>
                <w:sz w:val="16"/>
                <w:szCs w:val="16"/>
                <w:color w:val="auto"/>
              </w:rPr>
              <w:t>2018</w:t>
            </w:r>
          </w:p>
        </w:tc>
        <w:tc>
          <w:tcPr>
            <w:tcW w:w="500" w:type="dxa"/>
            <w:vAlign w:val="bottom"/>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BAD3EA"/>
          </w:tcPr>
          <w:p>
            <w:pPr>
              <w:jc w:val="center"/>
              <w:ind w:right="501"/>
              <w:spacing w:after="0"/>
              <w:rPr>
                <w:sz w:val="20"/>
                <w:szCs w:val="20"/>
                <w:color w:val="auto"/>
              </w:rPr>
            </w:pPr>
            <w:r>
              <w:rPr>
                <w:rFonts w:ascii="Arial" w:cs="Arial" w:eastAsia="Arial" w:hAnsi="Arial"/>
                <w:sz w:val="16"/>
                <w:szCs w:val="16"/>
                <w:color w:val="auto"/>
              </w:rPr>
              <w:t>2.9B</w:t>
            </w:r>
          </w:p>
        </w:tc>
        <w:tc>
          <w:tcPr>
            <w:tcW w:w="1020" w:type="dxa"/>
            <w:vAlign w:val="bottom"/>
            <w:shd w:val="clear" w:color="auto" w:fill="BAD3EA"/>
          </w:tcPr>
          <w:p>
            <w:pPr>
              <w:jc w:val="center"/>
              <w:spacing w:after="0" w:line="194" w:lineRule="exact"/>
              <w:rPr>
                <w:sz w:val="20"/>
                <w:szCs w:val="20"/>
                <w:color w:val="auto"/>
              </w:rPr>
            </w:pPr>
            <w:r>
              <w:rPr>
                <w:rFonts w:ascii="Arial" w:cs="Arial" w:eastAsia="Arial" w:hAnsi="Arial"/>
                <w:sz w:val="14"/>
                <w:szCs w:val="14"/>
                <w:color w:val="auto"/>
              </w:rPr>
              <w:t>$ 4.0B</w:t>
            </w:r>
            <w:r>
              <w:rPr>
                <w:rFonts w:ascii="Arial" w:cs="Arial" w:eastAsia="Arial" w:hAnsi="Arial"/>
                <w:sz w:val="22"/>
                <w:szCs w:val="22"/>
                <w:color w:val="auto"/>
                <w:vertAlign w:val="superscript"/>
              </w:rPr>
              <w:t>(1)</w:t>
            </w:r>
          </w:p>
        </w:tc>
        <w:tc>
          <w:tcPr>
            <w:tcW w:w="0" w:type="dxa"/>
            <w:vAlign w:val="bottom"/>
          </w:tcPr>
          <w:p>
            <w:pPr>
              <w:spacing w:after="0"/>
              <w:rPr>
                <w:sz w:val="1"/>
                <w:szCs w:val="1"/>
                <w:color w:val="auto"/>
              </w:rPr>
            </w:pPr>
          </w:p>
        </w:tc>
      </w:tr>
      <w:tr>
        <w:trPr>
          <w:trHeight w:val="189"/>
        </w:trPr>
        <w:tc>
          <w:tcPr>
            <w:tcW w:w="1860" w:type="dxa"/>
            <w:vAlign w:val="bottom"/>
            <w:shd w:val="clear" w:color="auto" w:fill="BAD3EA"/>
          </w:tcPr>
          <w:p>
            <w:pPr>
              <w:spacing w:after="0"/>
              <w:rPr>
                <w:sz w:val="16"/>
                <w:szCs w:val="16"/>
                <w:color w:val="auto"/>
              </w:rPr>
            </w:pPr>
          </w:p>
        </w:tc>
        <w:tc>
          <w:tcPr>
            <w:tcW w:w="1060" w:type="dxa"/>
            <w:vAlign w:val="bottom"/>
            <w:shd w:val="clear" w:color="auto" w:fill="BAD3EA"/>
          </w:tcPr>
          <w:p>
            <w:pPr>
              <w:spacing w:after="0"/>
              <w:rPr>
                <w:sz w:val="16"/>
                <w:szCs w:val="16"/>
                <w:color w:val="auto"/>
              </w:rPr>
            </w:pPr>
          </w:p>
        </w:tc>
        <w:tc>
          <w:tcPr>
            <w:tcW w:w="2680" w:type="dxa"/>
            <w:vAlign w:val="bottom"/>
            <w:shd w:val="clear" w:color="auto" w:fill="BAD3EA"/>
          </w:tcPr>
          <w:p>
            <w:pPr>
              <w:spacing w:after="0"/>
              <w:rPr>
                <w:sz w:val="16"/>
                <w:szCs w:val="16"/>
                <w:color w:val="auto"/>
              </w:rPr>
            </w:pPr>
          </w:p>
        </w:tc>
        <w:tc>
          <w:tcPr>
            <w:tcW w:w="1240" w:type="dxa"/>
            <w:vAlign w:val="bottom"/>
            <w:shd w:val="clear" w:color="auto" w:fill="BAD3EA"/>
          </w:tcPr>
          <w:p>
            <w:pPr>
              <w:spacing w:after="0"/>
              <w:rPr>
                <w:sz w:val="16"/>
                <w:szCs w:val="16"/>
                <w:color w:val="auto"/>
              </w:rPr>
            </w:pPr>
          </w:p>
        </w:tc>
        <w:tc>
          <w:tcPr>
            <w:tcW w:w="1140" w:type="dxa"/>
            <w:vAlign w:val="bottom"/>
            <w:shd w:val="clear" w:color="auto" w:fill="BAD3EA"/>
          </w:tcPr>
          <w:p>
            <w:pPr>
              <w:jc w:val="center"/>
              <w:spacing w:after="0"/>
              <w:rPr>
                <w:sz w:val="20"/>
                <w:szCs w:val="20"/>
                <w:color w:val="auto"/>
              </w:rPr>
            </w:pPr>
            <w:r>
              <w:rPr>
                <w:rFonts w:ascii="Arial" w:cs="Arial" w:eastAsia="Arial" w:hAnsi="Arial"/>
                <w:sz w:val="16"/>
                <w:szCs w:val="16"/>
                <w:color w:val="auto"/>
              </w:rPr>
              <w:t>2019</w:t>
            </w:r>
          </w:p>
        </w:tc>
        <w:tc>
          <w:tcPr>
            <w:tcW w:w="500" w:type="dxa"/>
            <w:vAlign w:val="bottom"/>
            <w:shd w:val="clear" w:color="auto" w:fill="BAD3EA"/>
          </w:tcPr>
          <w:p>
            <w:pPr>
              <w:spacing w:after="0"/>
              <w:rPr>
                <w:sz w:val="16"/>
                <w:szCs w:val="16"/>
                <w:color w:val="auto"/>
              </w:rPr>
            </w:pPr>
          </w:p>
        </w:tc>
        <w:tc>
          <w:tcPr>
            <w:tcW w:w="1520" w:type="dxa"/>
            <w:vAlign w:val="bottom"/>
            <w:shd w:val="clear" w:color="auto" w:fill="BAD3EA"/>
          </w:tcPr>
          <w:p>
            <w:pPr>
              <w:jc w:val="center"/>
              <w:ind w:right="421"/>
              <w:spacing w:after="0"/>
              <w:rPr>
                <w:sz w:val="20"/>
                <w:szCs w:val="20"/>
                <w:color w:val="auto"/>
              </w:rPr>
            </w:pPr>
            <w:r>
              <w:rPr>
                <w:rFonts w:ascii="Arial" w:cs="Arial" w:eastAsia="Arial" w:hAnsi="Arial"/>
                <w:sz w:val="16"/>
                <w:szCs w:val="16"/>
                <w:color w:val="auto"/>
              </w:rPr>
              <w:t>Target set at</w:t>
            </w:r>
          </w:p>
        </w:tc>
        <w:tc>
          <w:tcPr>
            <w:tcW w:w="1020" w:type="dxa"/>
            <w:vAlign w:val="bottom"/>
            <w:shd w:val="clear" w:color="auto" w:fill="BAD3EA"/>
          </w:tcPr>
          <w:p>
            <w:pPr>
              <w:jc w:val="center"/>
              <w:spacing w:after="0"/>
              <w:rPr>
                <w:sz w:val="20"/>
                <w:szCs w:val="20"/>
                <w:color w:val="auto"/>
              </w:rPr>
            </w:pPr>
            <w:r>
              <w:rPr>
                <w:rFonts w:ascii="Arial" w:cs="Arial" w:eastAsia="Arial" w:hAnsi="Arial"/>
                <w:sz w:val="16"/>
                <w:szCs w:val="16"/>
                <w:color w:val="auto"/>
                <w:w w:val="99"/>
              </w:rPr>
              <w:t>TBD</w:t>
            </w:r>
          </w:p>
        </w:tc>
        <w:tc>
          <w:tcPr>
            <w:tcW w:w="0" w:type="dxa"/>
            <w:vAlign w:val="bottom"/>
          </w:tcPr>
          <w:p>
            <w:pPr>
              <w:spacing w:after="0"/>
              <w:rPr>
                <w:sz w:val="1"/>
                <w:szCs w:val="1"/>
                <w:color w:val="auto"/>
              </w:rPr>
            </w:pPr>
          </w:p>
        </w:tc>
      </w:tr>
      <w:tr>
        <w:trPr>
          <w:trHeight w:val="189"/>
        </w:trPr>
        <w:tc>
          <w:tcPr>
            <w:tcW w:w="1860" w:type="dxa"/>
            <w:vAlign w:val="bottom"/>
            <w:shd w:val="clear" w:color="auto" w:fill="BAD3EA"/>
          </w:tcPr>
          <w:p>
            <w:pPr>
              <w:spacing w:after="0"/>
              <w:rPr>
                <w:sz w:val="16"/>
                <w:szCs w:val="16"/>
                <w:color w:val="auto"/>
              </w:rPr>
            </w:pPr>
          </w:p>
        </w:tc>
        <w:tc>
          <w:tcPr>
            <w:tcW w:w="1060" w:type="dxa"/>
            <w:vAlign w:val="bottom"/>
            <w:shd w:val="clear" w:color="auto" w:fill="BAD3EA"/>
          </w:tcPr>
          <w:p>
            <w:pPr>
              <w:spacing w:after="0"/>
              <w:rPr>
                <w:sz w:val="16"/>
                <w:szCs w:val="16"/>
                <w:color w:val="auto"/>
              </w:rPr>
            </w:pPr>
          </w:p>
        </w:tc>
        <w:tc>
          <w:tcPr>
            <w:tcW w:w="2680" w:type="dxa"/>
            <w:vAlign w:val="bottom"/>
            <w:vMerge w:val="restart"/>
            <w:shd w:val="clear" w:color="auto" w:fill="BAD3EA"/>
          </w:tcPr>
          <w:p>
            <w:pPr>
              <w:ind w:left="60"/>
              <w:spacing w:after="0"/>
              <w:rPr>
                <w:sz w:val="20"/>
                <w:szCs w:val="20"/>
                <w:color w:val="auto"/>
              </w:rPr>
            </w:pPr>
            <w:r>
              <w:rPr>
                <w:rFonts w:ascii="Arial" w:cs="Arial" w:eastAsia="Arial" w:hAnsi="Arial"/>
                <w:sz w:val="16"/>
                <w:szCs w:val="16"/>
                <w:color w:val="auto"/>
              </w:rPr>
              <w:t>Adjusted Free Cash Flows</w:t>
            </w:r>
          </w:p>
        </w:tc>
        <w:tc>
          <w:tcPr>
            <w:tcW w:w="1240" w:type="dxa"/>
            <w:vAlign w:val="bottom"/>
            <w:vMerge w:val="restart"/>
            <w:shd w:val="clear" w:color="auto" w:fill="BAD3EA"/>
          </w:tcPr>
          <w:p>
            <w:pPr>
              <w:jc w:val="right"/>
              <w:ind w:right="183"/>
              <w:spacing w:after="0"/>
              <w:rPr>
                <w:sz w:val="20"/>
                <w:szCs w:val="20"/>
                <w:color w:val="auto"/>
              </w:rPr>
            </w:pPr>
            <w:r>
              <w:rPr>
                <w:rFonts w:ascii="Arial" w:cs="Arial" w:eastAsia="Arial" w:hAnsi="Arial"/>
                <w:sz w:val="16"/>
                <w:szCs w:val="16"/>
                <w:color w:val="auto"/>
              </w:rPr>
              <w:t>28%</w:t>
            </w:r>
          </w:p>
        </w:tc>
        <w:tc>
          <w:tcPr>
            <w:tcW w:w="1140" w:type="dxa"/>
            <w:vAlign w:val="bottom"/>
            <w:shd w:val="clear" w:color="auto" w:fill="BAD3EA"/>
          </w:tcPr>
          <w:p>
            <w:pPr>
              <w:spacing w:after="0"/>
              <w:rPr>
                <w:sz w:val="16"/>
                <w:szCs w:val="16"/>
                <w:color w:val="auto"/>
              </w:rPr>
            </w:pPr>
          </w:p>
        </w:tc>
        <w:tc>
          <w:tcPr>
            <w:tcW w:w="2020" w:type="dxa"/>
            <w:vAlign w:val="bottom"/>
            <w:gridSpan w:val="2"/>
            <w:shd w:val="clear" w:color="auto" w:fill="BAD3EA"/>
          </w:tcPr>
          <w:p>
            <w:pPr>
              <w:jc w:val="center"/>
              <w:spacing w:after="0"/>
              <w:rPr>
                <w:sz w:val="20"/>
                <w:szCs w:val="20"/>
                <w:color w:val="auto"/>
              </w:rPr>
            </w:pPr>
            <w:r>
              <w:rPr>
                <w:rFonts w:ascii="Arial" w:cs="Arial" w:eastAsia="Arial" w:hAnsi="Arial"/>
                <w:sz w:val="16"/>
                <w:szCs w:val="16"/>
                <w:color w:val="auto"/>
              </w:rPr>
              <w:t>beginning of 2019 Target</w:t>
            </w:r>
          </w:p>
        </w:tc>
        <w:tc>
          <w:tcPr>
            <w:tcW w:w="1020" w:type="dxa"/>
            <w:vAlign w:val="bottom"/>
            <w:shd w:val="clear" w:color="auto" w:fill="BAD3EA"/>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860" w:type="dxa"/>
            <w:vAlign w:val="bottom"/>
            <w:shd w:val="clear" w:color="auto" w:fill="BAD3EA"/>
          </w:tcPr>
          <w:p>
            <w:pPr>
              <w:spacing w:after="0"/>
              <w:rPr>
                <w:sz w:val="11"/>
                <w:szCs w:val="11"/>
                <w:color w:val="auto"/>
              </w:rPr>
            </w:pPr>
          </w:p>
        </w:tc>
        <w:tc>
          <w:tcPr>
            <w:tcW w:w="1060" w:type="dxa"/>
            <w:vAlign w:val="bottom"/>
            <w:shd w:val="clear" w:color="auto" w:fill="BAD3EA"/>
          </w:tcPr>
          <w:p>
            <w:pPr>
              <w:spacing w:after="0"/>
              <w:rPr>
                <w:sz w:val="11"/>
                <w:szCs w:val="11"/>
                <w:color w:val="auto"/>
              </w:rPr>
            </w:pPr>
          </w:p>
        </w:tc>
        <w:tc>
          <w:tcPr>
            <w:tcW w:w="2680" w:type="dxa"/>
            <w:vAlign w:val="bottom"/>
            <w:vMerge w:val="continue"/>
            <w:shd w:val="clear" w:color="auto" w:fill="BAD3EA"/>
          </w:tcPr>
          <w:p>
            <w:pPr>
              <w:spacing w:after="0"/>
              <w:rPr>
                <w:sz w:val="11"/>
                <w:szCs w:val="11"/>
                <w:color w:val="auto"/>
              </w:rPr>
            </w:pPr>
          </w:p>
        </w:tc>
        <w:tc>
          <w:tcPr>
            <w:tcW w:w="1240" w:type="dxa"/>
            <w:vAlign w:val="bottom"/>
            <w:vMerge w:val="continue"/>
            <w:shd w:val="clear" w:color="auto" w:fill="BAD3EA"/>
          </w:tcPr>
          <w:p>
            <w:pPr>
              <w:spacing w:after="0"/>
              <w:rPr>
                <w:sz w:val="11"/>
                <w:szCs w:val="11"/>
                <w:color w:val="auto"/>
              </w:rPr>
            </w:pPr>
          </w:p>
        </w:tc>
        <w:tc>
          <w:tcPr>
            <w:tcW w:w="1140" w:type="dxa"/>
            <w:vAlign w:val="bottom"/>
            <w:vMerge w:val="restart"/>
            <w:shd w:val="clear" w:color="auto" w:fill="BAD3EA"/>
          </w:tcPr>
          <w:p>
            <w:pPr>
              <w:jc w:val="center"/>
              <w:spacing w:after="0"/>
              <w:rPr>
                <w:sz w:val="20"/>
                <w:szCs w:val="20"/>
                <w:color w:val="auto"/>
              </w:rPr>
            </w:pPr>
            <w:r>
              <w:rPr>
                <w:rFonts w:ascii="Arial" w:cs="Arial" w:eastAsia="Arial" w:hAnsi="Arial"/>
                <w:sz w:val="16"/>
                <w:szCs w:val="16"/>
                <w:color w:val="auto"/>
              </w:rPr>
              <w:t>2020</w:t>
            </w:r>
          </w:p>
        </w:tc>
        <w:tc>
          <w:tcPr>
            <w:tcW w:w="500" w:type="dxa"/>
            <w:vAlign w:val="bottom"/>
            <w:shd w:val="clear" w:color="auto" w:fill="BAD3EA"/>
          </w:tcPr>
          <w:p>
            <w:pPr>
              <w:spacing w:after="0"/>
              <w:rPr>
                <w:sz w:val="11"/>
                <w:szCs w:val="11"/>
                <w:color w:val="auto"/>
              </w:rPr>
            </w:pPr>
          </w:p>
        </w:tc>
        <w:tc>
          <w:tcPr>
            <w:tcW w:w="1520" w:type="dxa"/>
            <w:vAlign w:val="bottom"/>
            <w:vMerge w:val="restart"/>
            <w:shd w:val="clear" w:color="auto" w:fill="BAD3EA"/>
          </w:tcPr>
          <w:p>
            <w:pPr>
              <w:jc w:val="center"/>
              <w:ind w:right="401"/>
              <w:spacing w:after="0"/>
              <w:rPr>
                <w:sz w:val="20"/>
                <w:szCs w:val="20"/>
                <w:color w:val="auto"/>
              </w:rPr>
            </w:pPr>
            <w:r>
              <w:rPr>
                <w:rFonts w:ascii="Arial" w:cs="Arial" w:eastAsia="Arial" w:hAnsi="Arial"/>
                <w:sz w:val="16"/>
                <w:szCs w:val="16"/>
                <w:color w:val="auto"/>
              </w:rPr>
              <w:t>set at</w:t>
            </w:r>
          </w:p>
        </w:tc>
        <w:tc>
          <w:tcPr>
            <w:tcW w:w="1020" w:type="dxa"/>
            <w:vAlign w:val="bottom"/>
            <w:vMerge w:val="restart"/>
            <w:shd w:val="clear" w:color="auto" w:fill="BAD3EA"/>
          </w:tcPr>
          <w:p>
            <w:pPr>
              <w:jc w:val="center"/>
              <w:spacing w:after="0"/>
              <w:rPr>
                <w:sz w:val="20"/>
                <w:szCs w:val="20"/>
                <w:color w:val="auto"/>
              </w:rPr>
            </w:pPr>
            <w:r>
              <w:rPr>
                <w:rFonts w:ascii="Arial" w:cs="Arial" w:eastAsia="Arial" w:hAnsi="Arial"/>
                <w:sz w:val="16"/>
                <w:szCs w:val="16"/>
                <w:color w:val="auto"/>
                <w:w w:val="99"/>
              </w:rPr>
              <w:t>TBD</w:t>
            </w:r>
          </w:p>
        </w:tc>
        <w:tc>
          <w:tcPr>
            <w:tcW w:w="0" w:type="dxa"/>
            <w:vAlign w:val="bottom"/>
          </w:tcPr>
          <w:p>
            <w:pPr>
              <w:spacing w:after="0"/>
              <w:rPr>
                <w:sz w:val="1"/>
                <w:szCs w:val="1"/>
                <w:color w:val="auto"/>
              </w:rPr>
            </w:pPr>
          </w:p>
        </w:tc>
      </w:tr>
      <w:tr>
        <w:trPr>
          <w:trHeight w:val="62"/>
        </w:trPr>
        <w:tc>
          <w:tcPr>
            <w:tcW w:w="1860" w:type="dxa"/>
            <w:vAlign w:val="bottom"/>
            <w:shd w:val="clear" w:color="auto" w:fill="BAD3EA"/>
          </w:tcPr>
          <w:p>
            <w:pPr>
              <w:spacing w:after="0"/>
              <w:rPr>
                <w:sz w:val="5"/>
                <w:szCs w:val="5"/>
                <w:color w:val="auto"/>
              </w:rPr>
            </w:pPr>
          </w:p>
        </w:tc>
        <w:tc>
          <w:tcPr>
            <w:tcW w:w="1060" w:type="dxa"/>
            <w:vAlign w:val="bottom"/>
            <w:shd w:val="clear" w:color="auto" w:fill="BAD3EA"/>
          </w:tcPr>
          <w:p>
            <w:pPr>
              <w:spacing w:after="0"/>
              <w:rPr>
                <w:sz w:val="5"/>
                <w:szCs w:val="5"/>
                <w:color w:val="auto"/>
              </w:rPr>
            </w:pPr>
          </w:p>
        </w:tc>
        <w:tc>
          <w:tcPr>
            <w:tcW w:w="2680" w:type="dxa"/>
            <w:vAlign w:val="bottom"/>
            <w:shd w:val="clear" w:color="auto" w:fill="BAD3EA"/>
          </w:tcPr>
          <w:p>
            <w:pPr>
              <w:spacing w:after="0"/>
              <w:rPr>
                <w:sz w:val="5"/>
                <w:szCs w:val="5"/>
                <w:color w:val="auto"/>
              </w:rPr>
            </w:pPr>
          </w:p>
        </w:tc>
        <w:tc>
          <w:tcPr>
            <w:tcW w:w="1240" w:type="dxa"/>
            <w:vAlign w:val="bottom"/>
            <w:shd w:val="clear" w:color="auto" w:fill="BAD3EA"/>
          </w:tcPr>
          <w:p>
            <w:pPr>
              <w:spacing w:after="0"/>
              <w:rPr>
                <w:sz w:val="5"/>
                <w:szCs w:val="5"/>
                <w:color w:val="auto"/>
              </w:rPr>
            </w:pPr>
          </w:p>
        </w:tc>
        <w:tc>
          <w:tcPr>
            <w:tcW w:w="1140" w:type="dxa"/>
            <w:vAlign w:val="bottom"/>
            <w:vMerge w:val="continue"/>
            <w:shd w:val="clear" w:color="auto" w:fill="BAD3EA"/>
          </w:tcPr>
          <w:p>
            <w:pPr>
              <w:spacing w:after="0"/>
              <w:rPr>
                <w:sz w:val="5"/>
                <w:szCs w:val="5"/>
                <w:color w:val="auto"/>
              </w:rPr>
            </w:pPr>
          </w:p>
        </w:tc>
        <w:tc>
          <w:tcPr>
            <w:tcW w:w="500" w:type="dxa"/>
            <w:vAlign w:val="bottom"/>
            <w:shd w:val="clear" w:color="auto" w:fill="BAD3EA"/>
          </w:tcPr>
          <w:p>
            <w:pPr>
              <w:spacing w:after="0"/>
              <w:rPr>
                <w:sz w:val="5"/>
                <w:szCs w:val="5"/>
                <w:color w:val="auto"/>
              </w:rPr>
            </w:pPr>
          </w:p>
        </w:tc>
        <w:tc>
          <w:tcPr>
            <w:tcW w:w="1520" w:type="dxa"/>
            <w:vAlign w:val="bottom"/>
            <w:vMerge w:val="continue"/>
            <w:shd w:val="clear" w:color="auto" w:fill="BAD3EA"/>
          </w:tcPr>
          <w:p>
            <w:pPr>
              <w:spacing w:after="0"/>
              <w:rPr>
                <w:sz w:val="5"/>
                <w:szCs w:val="5"/>
                <w:color w:val="auto"/>
              </w:rPr>
            </w:pPr>
          </w:p>
        </w:tc>
        <w:tc>
          <w:tcPr>
            <w:tcW w:w="1020" w:type="dxa"/>
            <w:vAlign w:val="bottom"/>
            <w:vMerge w:val="continue"/>
            <w:shd w:val="clear" w:color="auto" w:fill="BAD3EA"/>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860" w:type="dxa"/>
            <w:vAlign w:val="bottom"/>
            <w:vMerge w:val="restart"/>
            <w:shd w:val="clear" w:color="auto" w:fill="BAD3EA"/>
          </w:tcPr>
          <w:p>
            <w:pPr>
              <w:ind w:left="80"/>
              <w:spacing w:after="0"/>
              <w:rPr>
                <w:sz w:val="20"/>
                <w:szCs w:val="20"/>
                <w:color w:val="auto"/>
              </w:rPr>
            </w:pPr>
            <w:r>
              <w:rPr>
                <w:rFonts w:ascii="Arial" w:cs="Arial" w:eastAsia="Arial" w:hAnsi="Arial"/>
                <w:sz w:val="16"/>
                <w:szCs w:val="16"/>
                <w:color w:val="auto"/>
              </w:rPr>
              <w:t>Cash-</w:t>
            </w:r>
          </w:p>
        </w:tc>
        <w:tc>
          <w:tcPr>
            <w:tcW w:w="1060" w:type="dxa"/>
            <w:vAlign w:val="bottom"/>
            <w:shd w:val="clear" w:color="auto" w:fill="BAD3EA"/>
          </w:tcPr>
          <w:p>
            <w:pPr>
              <w:spacing w:after="0"/>
              <w:rPr>
                <w:sz w:val="5"/>
                <w:szCs w:val="5"/>
                <w:color w:val="auto"/>
              </w:rPr>
            </w:pPr>
          </w:p>
        </w:tc>
        <w:tc>
          <w:tcPr>
            <w:tcW w:w="2680" w:type="dxa"/>
            <w:vAlign w:val="bottom"/>
            <w:shd w:val="clear" w:color="auto" w:fill="BAD3EA"/>
          </w:tcPr>
          <w:p>
            <w:pPr>
              <w:spacing w:after="0"/>
              <w:rPr>
                <w:sz w:val="5"/>
                <w:szCs w:val="5"/>
                <w:color w:val="auto"/>
              </w:rPr>
            </w:pPr>
          </w:p>
        </w:tc>
        <w:tc>
          <w:tcPr>
            <w:tcW w:w="1240" w:type="dxa"/>
            <w:vAlign w:val="bottom"/>
            <w:shd w:val="clear" w:color="auto" w:fill="BAD3EA"/>
          </w:tcPr>
          <w:p>
            <w:pPr>
              <w:spacing w:after="0"/>
              <w:rPr>
                <w:sz w:val="5"/>
                <w:szCs w:val="5"/>
                <w:color w:val="auto"/>
              </w:rPr>
            </w:pPr>
          </w:p>
        </w:tc>
        <w:tc>
          <w:tcPr>
            <w:tcW w:w="1140" w:type="dxa"/>
            <w:vAlign w:val="bottom"/>
            <w:vMerge w:val="continue"/>
            <w:shd w:val="clear" w:color="auto" w:fill="BAD3EA"/>
          </w:tcPr>
          <w:p>
            <w:pPr>
              <w:spacing w:after="0"/>
              <w:rPr>
                <w:sz w:val="5"/>
                <w:szCs w:val="5"/>
                <w:color w:val="auto"/>
              </w:rPr>
            </w:pPr>
          </w:p>
        </w:tc>
        <w:tc>
          <w:tcPr>
            <w:tcW w:w="2020" w:type="dxa"/>
            <w:vAlign w:val="bottom"/>
            <w:gridSpan w:val="2"/>
            <w:vMerge w:val="restart"/>
            <w:shd w:val="clear" w:color="auto" w:fill="BAD3EA"/>
          </w:tcPr>
          <w:p>
            <w:pPr>
              <w:jc w:val="center"/>
              <w:spacing w:after="0"/>
              <w:rPr>
                <w:sz w:val="20"/>
                <w:szCs w:val="20"/>
                <w:color w:val="auto"/>
              </w:rPr>
            </w:pPr>
            <w:r>
              <w:rPr>
                <w:rFonts w:ascii="Arial" w:cs="Arial" w:eastAsia="Arial" w:hAnsi="Arial"/>
                <w:sz w:val="16"/>
                <w:szCs w:val="16"/>
                <w:color w:val="auto"/>
              </w:rPr>
              <w:t>beginning of 2020</w:t>
            </w:r>
          </w:p>
        </w:tc>
        <w:tc>
          <w:tcPr>
            <w:tcW w:w="1020" w:type="dxa"/>
            <w:vAlign w:val="bottom"/>
            <w:vMerge w:val="continue"/>
            <w:shd w:val="clear" w:color="auto" w:fill="BAD3EA"/>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860" w:type="dxa"/>
            <w:vAlign w:val="bottom"/>
            <w:vMerge w:val="continue"/>
            <w:shd w:val="clear" w:color="auto" w:fill="BAD3EA"/>
          </w:tcPr>
          <w:p>
            <w:pPr>
              <w:spacing w:after="0"/>
              <w:rPr>
                <w:sz w:val="11"/>
                <w:szCs w:val="11"/>
                <w:color w:val="auto"/>
              </w:rPr>
            </w:pPr>
          </w:p>
        </w:tc>
        <w:tc>
          <w:tcPr>
            <w:tcW w:w="1060" w:type="dxa"/>
            <w:vAlign w:val="bottom"/>
            <w:vMerge w:val="restart"/>
            <w:shd w:val="clear" w:color="auto" w:fill="BAD3EA"/>
          </w:tcPr>
          <w:p>
            <w:pPr>
              <w:jc w:val="center"/>
              <w:spacing w:after="0"/>
              <w:rPr>
                <w:sz w:val="20"/>
                <w:szCs w:val="20"/>
                <w:color w:val="auto"/>
              </w:rPr>
            </w:pPr>
            <w:r>
              <w:rPr>
                <w:rFonts w:ascii="Arial" w:cs="Arial" w:eastAsia="Arial" w:hAnsi="Arial"/>
                <w:sz w:val="16"/>
                <w:szCs w:val="16"/>
                <w:color w:val="auto"/>
              </w:rPr>
              <w:t>40% / 20%</w:t>
            </w:r>
          </w:p>
        </w:tc>
        <w:tc>
          <w:tcPr>
            <w:tcW w:w="2680" w:type="dxa"/>
            <w:vAlign w:val="bottom"/>
            <w:shd w:val="clear" w:color="auto" w:fill="BAD3EA"/>
          </w:tcPr>
          <w:p>
            <w:pPr>
              <w:spacing w:after="0"/>
              <w:rPr>
                <w:sz w:val="11"/>
                <w:szCs w:val="11"/>
                <w:color w:val="auto"/>
              </w:rPr>
            </w:pPr>
          </w:p>
        </w:tc>
        <w:tc>
          <w:tcPr>
            <w:tcW w:w="1240" w:type="dxa"/>
            <w:vAlign w:val="bottom"/>
            <w:shd w:val="clear" w:color="auto" w:fill="BAD3EA"/>
          </w:tcPr>
          <w:p>
            <w:pPr>
              <w:spacing w:after="0"/>
              <w:rPr>
                <w:sz w:val="11"/>
                <w:szCs w:val="11"/>
                <w:color w:val="auto"/>
              </w:rPr>
            </w:pPr>
          </w:p>
        </w:tc>
        <w:tc>
          <w:tcPr>
            <w:tcW w:w="1140" w:type="dxa"/>
            <w:vAlign w:val="bottom"/>
            <w:shd w:val="clear" w:color="auto" w:fill="BAD3EA"/>
          </w:tcPr>
          <w:p>
            <w:pPr>
              <w:spacing w:after="0"/>
              <w:rPr>
                <w:sz w:val="11"/>
                <w:szCs w:val="11"/>
                <w:color w:val="auto"/>
              </w:rPr>
            </w:pPr>
          </w:p>
        </w:tc>
        <w:tc>
          <w:tcPr>
            <w:tcW w:w="2020" w:type="dxa"/>
            <w:vAlign w:val="bottom"/>
            <w:gridSpan w:val="2"/>
            <w:vMerge w:val="continue"/>
            <w:shd w:val="clear" w:color="auto" w:fill="BAD3EA"/>
          </w:tcPr>
          <w:p>
            <w:pPr>
              <w:spacing w:after="0"/>
              <w:rPr>
                <w:sz w:val="11"/>
                <w:szCs w:val="11"/>
                <w:color w:val="auto"/>
              </w:rPr>
            </w:pPr>
          </w:p>
        </w:tc>
        <w:tc>
          <w:tcPr>
            <w:tcW w:w="1020" w:type="dxa"/>
            <w:vAlign w:val="bottom"/>
            <w:shd w:val="clear" w:color="auto" w:fill="BAD3EA"/>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1860" w:type="dxa"/>
            <w:vAlign w:val="bottom"/>
            <w:vMerge w:val="restart"/>
            <w:shd w:val="clear" w:color="auto" w:fill="BAD3EA"/>
          </w:tcPr>
          <w:p>
            <w:pPr>
              <w:ind w:left="80"/>
              <w:spacing w:after="0"/>
              <w:rPr>
                <w:sz w:val="20"/>
                <w:szCs w:val="20"/>
                <w:color w:val="auto"/>
              </w:rPr>
            </w:pPr>
            <w:r>
              <w:rPr>
                <w:rFonts w:ascii="Arial" w:cs="Arial" w:eastAsia="Arial" w:hAnsi="Arial"/>
                <w:sz w:val="16"/>
                <w:szCs w:val="16"/>
                <w:color w:val="auto"/>
              </w:rPr>
              <w:t>Settled: 40%</w:t>
            </w:r>
          </w:p>
        </w:tc>
        <w:tc>
          <w:tcPr>
            <w:tcW w:w="1060" w:type="dxa"/>
            <w:vAlign w:val="bottom"/>
            <w:vMerge w:val="continue"/>
            <w:shd w:val="clear" w:color="auto" w:fill="BAD3EA"/>
          </w:tcPr>
          <w:p>
            <w:pPr>
              <w:spacing w:after="0"/>
              <w:rPr>
                <w:sz w:val="8"/>
                <w:szCs w:val="8"/>
                <w:color w:val="auto"/>
              </w:rPr>
            </w:pPr>
          </w:p>
        </w:tc>
        <w:tc>
          <w:tcPr>
            <w:tcW w:w="2680" w:type="dxa"/>
            <w:vAlign w:val="bottom"/>
            <w:shd w:val="clear" w:color="auto" w:fill="BAD3EA"/>
          </w:tcPr>
          <w:p>
            <w:pPr>
              <w:spacing w:after="0"/>
              <w:rPr>
                <w:sz w:val="8"/>
                <w:szCs w:val="8"/>
                <w:color w:val="auto"/>
              </w:rPr>
            </w:pPr>
          </w:p>
        </w:tc>
        <w:tc>
          <w:tcPr>
            <w:tcW w:w="1240" w:type="dxa"/>
            <w:vAlign w:val="bottom"/>
            <w:shd w:val="clear" w:color="auto" w:fill="BAD3EA"/>
          </w:tcPr>
          <w:p>
            <w:pPr>
              <w:spacing w:after="0"/>
              <w:rPr>
                <w:sz w:val="8"/>
                <w:szCs w:val="8"/>
                <w:color w:val="auto"/>
              </w:rPr>
            </w:pPr>
          </w:p>
        </w:tc>
        <w:tc>
          <w:tcPr>
            <w:tcW w:w="1140" w:type="dxa"/>
            <w:vAlign w:val="bottom"/>
            <w:shd w:val="clear" w:color="auto" w:fill="BAD3EA"/>
          </w:tcPr>
          <w:p>
            <w:pPr>
              <w:spacing w:after="0"/>
              <w:rPr>
                <w:sz w:val="8"/>
                <w:szCs w:val="8"/>
                <w:color w:val="auto"/>
              </w:rPr>
            </w:pPr>
          </w:p>
        </w:tc>
        <w:tc>
          <w:tcPr>
            <w:tcW w:w="500" w:type="dxa"/>
            <w:vAlign w:val="bottom"/>
            <w:vMerge w:val="restart"/>
            <w:shd w:val="clear" w:color="auto" w:fill="BAD3EA"/>
          </w:tcPr>
          <w:p>
            <w:pPr>
              <w:ind w:left="300"/>
              <w:spacing w:after="0"/>
              <w:rPr>
                <w:sz w:val="20"/>
                <w:szCs w:val="20"/>
                <w:color w:val="auto"/>
              </w:rPr>
            </w:pPr>
            <w:r>
              <w:rPr>
                <w:rFonts w:ascii="Arial" w:cs="Arial" w:eastAsia="Arial" w:hAnsi="Arial"/>
                <w:sz w:val="16"/>
                <w:szCs w:val="16"/>
                <w:color w:val="auto"/>
              </w:rPr>
              <w:t>$</w:t>
            </w:r>
          </w:p>
        </w:tc>
        <w:tc>
          <w:tcPr>
            <w:tcW w:w="1520" w:type="dxa"/>
            <w:vAlign w:val="bottom"/>
            <w:vMerge w:val="restart"/>
            <w:shd w:val="clear" w:color="auto" w:fill="BAD3EA"/>
          </w:tcPr>
          <w:p>
            <w:pPr>
              <w:jc w:val="center"/>
              <w:ind w:right="501"/>
              <w:spacing w:after="0"/>
              <w:rPr>
                <w:sz w:val="20"/>
                <w:szCs w:val="20"/>
                <w:color w:val="auto"/>
              </w:rPr>
            </w:pPr>
            <w:r>
              <w:rPr>
                <w:rFonts w:ascii="Arial" w:cs="Arial" w:eastAsia="Arial" w:hAnsi="Arial"/>
                <w:sz w:val="16"/>
                <w:szCs w:val="16"/>
                <w:color w:val="auto"/>
              </w:rPr>
              <w:t>12.8B</w:t>
            </w:r>
          </w:p>
        </w:tc>
        <w:tc>
          <w:tcPr>
            <w:tcW w:w="1020" w:type="dxa"/>
            <w:vAlign w:val="bottom"/>
            <w:shd w:val="clear" w:color="auto" w:fill="BAD3EA"/>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860" w:type="dxa"/>
            <w:vAlign w:val="bottom"/>
            <w:vMerge w:val="continue"/>
            <w:shd w:val="clear" w:color="auto" w:fill="BAD3EA"/>
          </w:tcPr>
          <w:p>
            <w:pPr>
              <w:spacing w:after="0"/>
              <w:rPr>
                <w:sz w:val="7"/>
                <w:szCs w:val="7"/>
                <w:color w:val="auto"/>
              </w:rPr>
            </w:pPr>
          </w:p>
        </w:tc>
        <w:tc>
          <w:tcPr>
            <w:tcW w:w="1060" w:type="dxa"/>
            <w:vAlign w:val="bottom"/>
            <w:shd w:val="clear" w:color="auto" w:fill="BAD3EA"/>
          </w:tcPr>
          <w:p>
            <w:pPr>
              <w:spacing w:after="0"/>
              <w:rPr>
                <w:sz w:val="7"/>
                <w:szCs w:val="7"/>
                <w:color w:val="auto"/>
              </w:rPr>
            </w:pPr>
          </w:p>
        </w:tc>
        <w:tc>
          <w:tcPr>
            <w:tcW w:w="2680" w:type="dxa"/>
            <w:vAlign w:val="bottom"/>
            <w:shd w:val="clear" w:color="auto" w:fill="BAD3EA"/>
          </w:tcPr>
          <w:p>
            <w:pPr>
              <w:spacing w:after="0"/>
              <w:rPr>
                <w:sz w:val="7"/>
                <w:szCs w:val="7"/>
                <w:color w:val="auto"/>
              </w:rPr>
            </w:pPr>
          </w:p>
        </w:tc>
        <w:tc>
          <w:tcPr>
            <w:tcW w:w="1240" w:type="dxa"/>
            <w:vAlign w:val="bottom"/>
            <w:shd w:val="clear" w:color="auto" w:fill="BAD3EA"/>
          </w:tcPr>
          <w:p>
            <w:pPr>
              <w:spacing w:after="0"/>
              <w:rPr>
                <w:sz w:val="7"/>
                <w:szCs w:val="7"/>
                <w:color w:val="auto"/>
              </w:rPr>
            </w:pPr>
          </w:p>
        </w:tc>
        <w:tc>
          <w:tcPr>
            <w:tcW w:w="1140" w:type="dxa"/>
            <w:vAlign w:val="bottom"/>
            <w:vMerge w:val="restart"/>
            <w:shd w:val="clear" w:color="auto" w:fill="BAD3EA"/>
          </w:tcPr>
          <w:p>
            <w:pPr>
              <w:jc w:val="center"/>
              <w:spacing w:after="0"/>
              <w:rPr>
                <w:sz w:val="20"/>
                <w:szCs w:val="20"/>
                <w:color w:val="auto"/>
              </w:rPr>
            </w:pPr>
            <w:r>
              <w:rPr>
                <w:rFonts w:ascii="Arial" w:cs="Arial" w:eastAsia="Arial" w:hAnsi="Arial"/>
                <w:sz w:val="16"/>
                <w:szCs w:val="16"/>
                <w:color w:val="auto"/>
              </w:rPr>
              <w:t>2018</w:t>
            </w:r>
          </w:p>
        </w:tc>
        <w:tc>
          <w:tcPr>
            <w:tcW w:w="500" w:type="dxa"/>
            <w:vAlign w:val="bottom"/>
            <w:vMerge w:val="continue"/>
            <w:shd w:val="clear" w:color="auto" w:fill="BAD3EA"/>
          </w:tcPr>
          <w:p>
            <w:pPr>
              <w:spacing w:after="0"/>
              <w:rPr>
                <w:sz w:val="7"/>
                <w:szCs w:val="7"/>
                <w:color w:val="auto"/>
              </w:rPr>
            </w:pPr>
          </w:p>
        </w:tc>
        <w:tc>
          <w:tcPr>
            <w:tcW w:w="1520" w:type="dxa"/>
            <w:vAlign w:val="bottom"/>
            <w:vMerge w:val="continue"/>
            <w:shd w:val="clear" w:color="auto" w:fill="BAD3EA"/>
          </w:tcPr>
          <w:p>
            <w:pPr>
              <w:spacing w:after="0"/>
              <w:rPr>
                <w:sz w:val="7"/>
                <w:szCs w:val="7"/>
                <w:color w:val="auto"/>
              </w:rPr>
            </w:pPr>
          </w:p>
        </w:tc>
        <w:tc>
          <w:tcPr>
            <w:tcW w:w="1020" w:type="dxa"/>
            <w:vAlign w:val="bottom"/>
            <w:vMerge w:val="restart"/>
            <w:shd w:val="clear" w:color="auto" w:fill="BAD3EA"/>
          </w:tcPr>
          <w:p>
            <w:pPr>
              <w:jc w:val="center"/>
              <w:spacing w:after="0" w:line="197" w:lineRule="exact"/>
              <w:rPr>
                <w:sz w:val="20"/>
                <w:szCs w:val="20"/>
                <w:color w:val="auto"/>
              </w:rPr>
            </w:pPr>
            <w:r>
              <w:rPr>
                <w:rFonts w:ascii="Arial" w:cs="Arial" w:eastAsia="Arial" w:hAnsi="Arial"/>
                <w:sz w:val="14"/>
                <w:szCs w:val="14"/>
                <w:color w:val="auto"/>
              </w:rPr>
              <w:t>$ 13.4B</w:t>
            </w:r>
            <w:r>
              <w:rPr>
                <w:rFonts w:ascii="Arial" w:cs="Arial" w:eastAsia="Arial" w:hAnsi="Arial"/>
                <w:sz w:val="22"/>
                <w:szCs w:val="22"/>
                <w:color w:val="auto"/>
                <w:vertAlign w:val="superscript"/>
              </w:rPr>
              <w:t>(2)</w:t>
            </w:r>
          </w:p>
        </w:tc>
        <w:tc>
          <w:tcPr>
            <w:tcW w:w="0" w:type="dxa"/>
            <w:vAlign w:val="bottom"/>
          </w:tcPr>
          <w:p>
            <w:pPr>
              <w:spacing w:after="0"/>
              <w:rPr>
                <w:sz w:val="1"/>
                <w:szCs w:val="1"/>
                <w:color w:val="auto"/>
              </w:rPr>
            </w:pPr>
          </w:p>
        </w:tc>
      </w:tr>
      <w:tr>
        <w:trPr>
          <w:trHeight w:val="108"/>
        </w:trPr>
        <w:tc>
          <w:tcPr>
            <w:tcW w:w="1860" w:type="dxa"/>
            <w:vAlign w:val="bottom"/>
            <w:shd w:val="clear" w:color="auto" w:fill="BAD3EA"/>
          </w:tcPr>
          <w:p>
            <w:pPr>
              <w:spacing w:after="0"/>
              <w:rPr>
                <w:sz w:val="9"/>
                <w:szCs w:val="9"/>
                <w:color w:val="auto"/>
              </w:rPr>
            </w:pPr>
          </w:p>
        </w:tc>
        <w:tc>
          <w:tcPr>
            <w:tcW w:w="1060" w:type="dxa"/>
            <w:vAlign w:val="bottom"/>
            <w:shd w:val="clear" w:color="auto" w:fill="BAD3EA"/>
          </w:tcPr>
          <w:p>
            <w:pPr>
              <w:spacing w:after="0"/>
              <w:rPr>
                <w:sz w:val="9"/>
                <w:szCs w:val="9"/>
                <w:color w:val="auto"/>
              </w:rPr>
            </w:pPr>
          </w:p>
        </w:tc>
        <w:tc>
          <w:tcPr>
            <w:tcW w:w="2680" w:type="dxa"/>
            <w:vAlign w:val="bottom"/>
            <w:shd w:val="clear" w:color="auto" w:fill="BAD3EA"/>
          </w:tcPr>
          <w:p>
            <w:pPr>
              <w:spacing w:after="0"/>
              <w:rPr>
                <w:sz w:val="9"/>
                <w:szCs w:val="9"/>
                <w:color w:val="auto"/>
              </w:rPr>
            </w:pPr>
          </w:p>
        </w:tc>
        <w:tc>
          <w:tcPr>
            <w:tcW w:w="1240" w:type="dxa"/>
            <w:vAlign w:val="bottom"/>
            <w:shd w:val="clear" w:color="auto" w:fill="BAD3EA"/>
          </w:tcPr>
          <w:p>
            <w:pPr>
              <w:spacing w:after="0"/>
              <w:rPr>
                <w:sz w:val="9"/>
                <w:szCs w:val="9"/>
                <w:color w:val="auto"/>
              </w:rPr>
            </w:pPr>
          </w:p>
        </w:tc>
        <w:tc>
          <w:tcPr>
            <w:tcW w:w="1140" w:type="dxa"/>
            <w:vAlign w:val="bottom"/>
            <w:vMerge w:val="continue"/>
            <w:shd w:val="clear" w:color="auto" w:fill="BAD3EA"/>
          </w:tcPr>
          <w:p>
            <w:pPr>
              <w:spacing w:after="0"/>
              <w:rPr>
                <w:sz w:val="9"/>
                <w:szCs w:val="9"/>
                <w:color w:val="auto"/>
              </w:rPr>
            </w:pPr>
          </w:p>
        </w:tc>
        <w:tc>
          <w:tcPr>
            <w:tcW w:w="500" w:type="dxa"/>
            <w:vAlign w:val="bottom"/>
            <w:shd w:val="clear" w:color="auto" w:fill="BAD3EA"/>
          </w:tcPr>
          <w:p>
            <w:pPr>
              <w:spacing w:after="0"/>
              <w:rPr>
                <w:sz w:val="9"/>
                <w:szCs w:val="9"/>
                <w:color w:val="auto"/>
              </w:rPr>
            </w:pPr>
          </w:p>
        </w:tc>
        <w:tc>
          <w:tcPr>
            <w:tcW w:w="1520" w:type="dxa"/>
            <w:vAlign w:val="bottom"/>
            <w:vMerge w:val="restart"/>
            <w:shd w:val="clear" w:color="auto" w:fill="BAD3EA"/>
          </w:tcPr>
          <w:p>
            <w:pPr>
              <w:jc w:val="center"/>
              <w:ind w:right="421"/>
              <w:spacing w:after="0"/>
              <w:rPr>
                <w:sz w:val="20"/>
                <w:szCs w:val="20"/>
                <w:color w:val="auto"/>
              </w:rPr>
            </w:pPr>
            <w:r>
              <w:rPr>
                <w:rFonts w:ascii="Arial" w:cs="Arial" w:eastAsia="Arial" w:hAnsi="Arial"/>
                <w:sz w:val="16"/>
                <w:szCs w:val="16"/>
                <w:color w:val="auto"/>
              </w:rPr>
              <w:t>Target set at</w:t>
            </w:r>
          </w:p>
        </w:tc>
        <w:tc>
          <w:tcPr>
            <w:tcW w:w="1020" w:type="dxa"/>
            <w:vAlign w:val="bottom"/>
            <w:vMerge w:val="continue"/>
            <w:shd w:val="clear" w:color="auto" w:fill="BAD3EA"/>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860" w:type="dxa"/>
            <w:vAlign w:val="bottom"/>
            <w:shd w:val="clear" w:color="auto" w:fill="BAD3EA"/>
          </w:tcPr>
          <w:p>
            <w:pPr>
              <w:spacing w:after="0"/>
              <w:rPr>
                <w:sz w:val="7"/>
                <w:szCs w:val="7"/>
                <w:color w:val="auto"/>
              </w:rPr>
            </w:pPr>
          </w:p>
        </w:tc>
        <w:tc>
          <w:tcPr>
            <w:tcW w:w="1060" w:type="dxa"/>
            <w:vAlign w:val="bottom"/>
            <w:shd w:val="clear" w:color="auto" w:fill="BAD3EA"/>
          </w:tcPr>
          <w:p>
            <w:pPr>
              <w:spacing w:after="0"/>
              <w:rPr>
                <w:sz w:val="7"/>
                <w:szCs w:val="7"/>
                <w:color w:val="auto"/>
              </w:rPr>
            </w:pPr>
          </w:p>
        </w:tc>
        <w:tc>
          <w:tcPr>
            <w:tcW w:w="2680" w:type="dxa"/>
            <w:vAlign w:val="bottom"/>
            <w:shd w:val="clear" w:color="auto" w:fill="BAD3EA"/>
          </w:tcPr>
          <w:p>
            <w:pPr>
              <w:spacing w:after="0"/>
              <w:rPr>
                <w:sz w:val="7"/>
                <w:szCs w:val="7"/>
                <w:color w:val="auto"/>
              </w:rPr>
            </w:pPr>
          </w:p>
        </w:tc>
        <w:tc>
          <w:tcPr>
            <w:tcW w:w="1240" w:type="dxa"/>
            <w:vAlign w:val="bottom"/>
            <w:shd w:val="clear" w:color="auto" w:fill="BAD3EA"/>
          </w:tcPr>
          <w:p>
            <w:pPr>
              <w:spacing w:after="0"/>
              <w:rPr>
                <w:sz w:val="7"/>
                <w:szCs w:val="7"/>
                <w:color w:val="auto"/>
              </w:rPr>
            </w:pPr>
          </w:p>
        </w:tc>
        <w:tc>
          <w:tcPr>
            <w:tcW w:w="1140" w:type="dxa"/>
            <w:vAlign w:val="bottom"/>
            <w:vMerge w:val="restart"/>
            <w:shd w:val="clear" w:color="auto" w:fill="BAD3EA"/>
          </w:tcPr>
          <w:p>
            <w:pPr>
              <w:jc w:val="center"/>
              <w:spacing w:after="0"/>
              <w:rPr>
                <w:sz w:val="20"/>
                <w:szCs w:val="20"/>
                <w:color w:val="auto"/>
              </w:rPr>
            </w:pPr>
            <w:r>
              <w:rPr>
                <w:rFonts w:ascii="Arial" w:cs="Arial" w:eastAsia="Arial" w:hAnsi="Arial"/>
                <w:sz w:val="16"/>
                <w:szCs w:val="16"/>
                <w:color w:val="auto"/>
              </w:rPr>
              <w:t>2019</w:t>
            </w:r>
          </w:p>
        </w:tc>
        <w:tc>
          <w:tcPr>
            <w:tcW w:w="500" w:type="dxa"/>
            <w:vAlign w:val="bottom"/>
            <w:shd w:val="clear" w:color="auto" w:fill="BAD3EA"/>
          </w:tcPr>
          <w:p>
            <w:pPr>
              <w:spacing w:after="0"/>
              <w:rPr>
                <w:sz w:val="7"/>
                <w:szCs w:val="7"/>
                <w:color w:val="auto"/>
              </w:rPr>
            </w:pPr>
          </w:p>
        </w:tc>
        <w:tc>
          <w:tcPr>
            <w:tcW w:w="1520" w:type="dxa"/>
            <w:vAlign w:val="bottom"/>
            <w:vMerge w:val="continue"/>
            <w:shd w:val="clear" w:color="auto" w:fill="BAD3EA"/>
          </w:tcPr>
          <w:p>
            <w:pPr>
              <w:spacing w:after="0"/>
              <w:rPr>
                <w:sz w:val="7"/>
                <w:szCs w:val="7"/>
                <w:color w:val="auto"/>
              </w:rPr>
            </w:pPr>
          </w:p>
        </w:tc>
        <w:tc>
          <w:tcPr>
            <w:tcW w:w="1020" w:type="dxa"/>
            <w:vAlign w:val="bottom"/>
            <w:vMerge w:val="restart"/>
            <w:shd w:val="clear" w:color="auto" w:fill="BAD3EA"/>
          </w:tcPr>
          <w:p>
            <w:pPr>
              <w:jc w:val="center"/>
              <w:spacing w:after="0"/>
              <w:rPr>
                <w:sz w:val="20"/>
                <w:szCs w:val="20"/>
                <w:color w:val="auto"/>
              </w:rPr>
            </w:pPr>
            <w:r>
              <w:rPr>
                <w:rFonts w:ascii="Arial" w:cs="Arial" w:eastAsia="Arial" w:hAnsi="Arial"/>
                <w:sz w:val="16"/>
                <w:szCs w:val="16"/>
                <w:color w:val="auto"/>
                <w:w w:val="99"/>
              </w:rPr>
              <w:t>TBD</w:t>
            </w:r>
          </w:p>
        </w:tc>
        <w:tc>
          <w:tcPr>
            <w:tcW w:w="0" w:type="dxa"/>
            <w:vAlign w:val="bottom"/>
          </w:tcPr>
          <w:p>
            <w:pPr>
              <w:spacing w:after="0"/>
              <w:rPr>
                <w:sz w:val="1"/>
                <w:szCs w:val="1"/>
                <w:color w:val="auto"/>
              </w:rPr>
            </w:pPr>
          </w:p>
        </w:tc>
      </w:tr>
      <w:tr>
        <w:trPr>
          <w:trHeight w:val="114"/>
        </w:trPr>
        <w:tc>
          <w:tcPr>
            <w:tcW w:w="1860" w:type="dxa"/>
            <w:vAlign w:val="bottom"/>
            <w:shd w:val="clear" w:color="auto" w:fill="BAD3EA"/>
          </w:tcPr>
          <w:p>
            <w:pPr>
              <w:spacing w:after="0"/>
              <w:rPr>
                <w:sz w:val="9"/>
                <w:szCs w:val="9"/>
                <w:color w:val="auto"/>
              </w:rPr>
            </w:pPr>
          </w:p>
        </w:tc>
        <w:tc>
          <w:tcPr>
            <w:tcW w:w="1060" w:type="dxa"/>
            <w:vAlign w:val="bottom"/>
            <w:shd w:val="clear" w:color="auto" w:fill="BAD3EA"/>
          </w:tcPr>
          <w:p>
            <w:pPr>
              <w:spacing w:after="0"/>
              <w:rPr>
                <w:sz w:val="9"/>
                <w:szCs w:val="9"/>
                <w:color w:val="auto"/>
              </w:rPr>
            </w:pPr>
          </w:p>
        </w:tc>
        <w:tc>
          <w:tcPr>
            <w:tcW w:w="2680" w:type="dxa"/>
            <w:vAlign w:val="bottom"/>
            <w:vMerge w:val="restart"/>
            <w:shd w:val="clear" w:color="auto" w:fill="BAD3EA"/>
          </w:tcPr>
          <w:p>
            <w:pPr>
              <w:ind w:left="60"/>
              <w:spacing w:after="0"/>
              <w:rPr>
                <w:sz w:val="20"/>
                <w:szCs w:val="20"/>
                <w:color w:val="auto"/>
              </w:rPr>
            </w:pPr>
            <w:r>
              <w:rPr>
                <w:rFonts w:ascii="Arial" w:cs="Arial" w:eastAsia="Arial" w:hAnsi="Arial"/>
                <w:sz w:val="16"/>
                <w:szCs w:val="16"/>
                <w:color w:val="auto"/>
              </w:rPr>
              <w:t>Revenues</w:t>
            </w:r>
          </w:p>
        </w:tc>
        <w:tc>
          <w:tcPr>
            <w:tcW w:w="1240" w:type="dxa"/>
            <w:vAlign w:val="bottom"/>
            <w:vMerge w:val="restart"/>
            <w:shd w:val="clear" w:color="auto" w:fill="BAD3EA"/>
          </w:tcPr>
          <w:p>
            <w:pPr>
              <w:jc w:val="right"/>
              <w:ind w:right="183"/>
              <w:spacing w:after="0"/>
              <w:rPr>
                <w:sz w:val="20"/>
                <w:szCs w:val="20"/>
                <w:color w:val="auto"/>
              </w:rPr>
            </w:pPr>
            <w:r>
              <w:rPr>
                <w:rFonts w:ascii="Arial" w:cs="Arial" w:eastAsia="Arial" w:hAnsi="Arial"/>
                <w:sz w:val="16"/>
                <w:szCs w:val="16"/>
                <w:color w:val="auto"/>
              </w:rPr>
              <w:t>12%</w:t>
            </w:r>
          </w:p>
        </w:tc>
        <w:tc>
          <w:tcPr>
            <w:tcW w:w="1140" w:type="dxa"/>
            <w:vAlign w:val="bottom"/>
            <w:vMerge w:val="continue"/>
            <w:shd w:val="clear" w:color="auto" w:fill="BAD3EA"/>
          </w:tcPr>
          <w:p>
            <w:pPr>
              <w:spacing w:after="0"/>
              <w:rPr>
                <w:sz w:val="9"/>
                <w:szCs w:val="9"/>
                <w:color w:val="auto"/>
              </w:rPr>
            </w:pPr>
          </w:p>
        </w:tc>
        <w:tc>
          <w:tcPr>
            <w:tcW w:w="2020" w:type="dxa"/>
            <w:vAlign w:val="bottom"/>
            <w:gridSpan w:val="2"/>
            <w:vMerge w:val="restart"/>
            <w:shd w:val="clear" w:color="auto" w:fill="BAD3EA"/>
          </w:tcPr>
          <w:p>
            <w:pPr>
              <w:jc w:val="center"/>
              <w:spacing w:after="0"/>
              <w:rPr>
                <w:sz w:val="20"/>
                <w:szCs w:val="20"/>
                <w:color w:val="auto"/>
              </w:rPr>
            </w:pPr>
            <w:r>
              <w:rPr>
                <w:rFonts w:ascii="Arial" w:cs="Arial" w:eastAsia="Arial" w:hAnsi="Arial"/>
                <w:sz w:val="16"/>
                <w:szCs w:val="16"/>
                <w:color w:val="auto"/>
              </w:rPr>
              <w:t>beginning of 2019 Target</w:t>
            </w:r>
          </w:p>
        </w:tc>
        <w:tc>
          <w:tcPr>
            <w:tcW w:w="1020" w:type="dxa"/>
            <w:vAlign w:val="bottom"/>
            <w:vMerge w:val="continue"/>
            <w:shd w:val="clear" w:color="auto" w:fill="BAD3EA"/>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860" w:type="dxa"/>
            <w:vAlign w:val="bottom"/>
            <w:shd w:val="clear" w:color="auto" w:fill="BAD3EA"/>
          </w:tcPr>
          <w:p>
            <w:pPr>
              <w:spacing w:after="0"/>
              <w:rPr>
                <w:sz w:val="6"/>
                <w:szCs w:val="6"/>
                <w:color w:val="auto"/>
              </w:rPr>
            </w:pPr>
          </w:p>
        </w:tc>
        <w:tc>
          <w:tcPr>
            <w:tcW w:w="1060" w:type="dxa"/>
            <w:vAlign w:val="bottom"/>
            <w:shd w:val="clear" w:color="auto" w:fill="BAD3EA"/>
          </w:tcPr>
          <w:p>
            <w:pPr>
              <w:spacing w:after="0"/>
              <w:rPr>
                <w:sz w:val="6"/>
                <w:szCs w:val="6"/>
                <w:color w:val="auto"/>
              </w:rPr>
            </w:pPr>
          </w:p>
        </w:tc>
        <w:tc>
          <w:tcPr>
            <w:tcW w:w="2680" w:type="dxa"/>
            <w:vAlign w:val="bottom"/>
            <w:vMerge w:val="continue"/>
            <w:shd w:val="clear" w:color="auto" w:fill="BAD3EA"/>
          </w:tcPr>
          <w:p>
            <w:pPr>
              <w:spacing w:after="0"/>
              <w:rPr>
                <w:sz w:val="6"/>
                <w:szCs w:val="6"/>
                <w:color w:val="auto"/>
              </w:rPr>
            </w:pPr>
          </w:p>
        </w:tc>
        <w:tc>
          <w:tcPr>
            <w:tcW w:w="1240" w:type="dxa"/>
            <w:vAlign w:val="bottom"/>
            <w:vMerge w:val="continue"/>
            <w:shd w:val="clear" w:color="auto" w:fill="BAD3EA"/>
          </w:tcPr>
          <w:p>
            <w:pPr>
              <w:spacing w:after="0"/>
              <w:rPr>
                <w:sz w:val="6"/>
                <w:szCs w:val="6"/>
                <w:color w:val="auto"/>
              </w:rPr>
            </w:pPr>
          </w:p>
        </w:tc>
        <w:tc>
          <w:tcPr>
            <w:tcW w:w="1140" w:type="dxa"/>
            <w:vAlign w:val="bottom"/>
            <w:shd w:val="clear" w:color="auto" w:fill="BAD3EA"/>
          </w:tcPr>
          <w:p>
            <w:pPr>
              <w:spacing w:after="0"/>
              <w:rPr>
                <w:sz w:val="6"/>
                <w:szCs w:val="6"/>
                <w:color w:val="auto"/>
              </w:rPr>
            </w:pPr>
          </w:p>
        </w:tc>
        <w:tc>
          <w:tcPr>
            <w:tcW w:w="2020" w:type="dxa"/>
            <w:vAlign w:val="bottom"/>
            <w:gridSpan w:val="2"/>
            <w:vMerge w:val="continue"/>
            <w:shd w:val="clear" w:color="auto" w:fill="BAD3EA"/>
          </w:tcPr>
          <w:p>
            <w:pPr>
              <w:spacing w:after="0"/>
              <w:rPr>
                <w:sz w:val="6"/>
                <w:szCs w:val="6"/>
                <w:color w:val="auto"/>
              </w:rPr>
            </w:pPr>
          </w:p>
        </w:tc>
        <w:tc>
          <w:tcPr>
            <w:tcW w:w="1020" w:type="dxa"/>
            <w:vAlign w:val="bottom"/>
            <w:shd w:val="clear" w:color="auto" w:fill="BAD3EA"/>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860" w:type="dxa"/>
            <w:vAlign w:val="bottom"/>
            <w:shd w:val="clear" w:color="auto" w:fill="BAD3EA"/>
          </w:tcPr>
          <w:p>
            <w:pPr>
              <w:spacing w:after="0"/>
              <w:rPr>
                <w:sz w:val="9"/>
                <w:szCs w:val="9"/>
                <w:color w:val="auto"/>
              </w:rPr>
            </w:pPr>
          </w:p>
        </w:tc>
        <w:tc>
          <w:tcPr>
            <w:tcW w:w="1060" w:type="dxa"/>
            <w:vAlign w:val="bottom"/>
            <w:shd w:val="clear" w:color="auto" w:fill="BAD3EA"/>
          </w:tcPr>
          <w:p>
            <w:pPr>
              <w:spacing w:after="0"/>
              <w:rPr>
                <w:sz w:val="9"/>
                <w:szCs w:val="9"/>
                <w:color w:val="auto"/>
              </w:rPr>
            </w:pPr>
          </w:p>
        </w:tc>
        <w:tc>
          <w:tcPr>
            <w:tcW w:w="2680" w:type="dxa"/>
            <w:vAlign w:val="bottom"/>
            <w:vMerge w:val="continue"/>
            <w:shd w:val="clear" w:color="auto" w:fill="BAD3EA"/>
          </w:tcPr>
          <w:p>
            <w:pPr>
              <w:spacing w:after="0"/>
              <w:rPr>
                <w:sz w:val="9"/>
                <w:szCs w:val="9"/>
                <w:color w:val="auto"/>
              </w:rPr>
            </w:pPr>
          </w:p>
        </w:tc>
        <w:tc>
          <w:tcPr>
            <w:tcW w:w="1240" w:type="dxa"/>
            <w:vAlign w:val="bottom"/>
            <w:vMerge w:val="continue"/>
            <w:shd w:val="clear" w:color="auto" w:fill="BAD3EA"/>
          </w:tcPr>
          <w:p>
            <w:pPr>
              <w:spacing w:after="0"/>
              <w:rPr>
                <w:sz w:val="9"/>
                <w:szCs w:val="9"/>
                <w:color w:val="auto"/>
              </w:rPr>
            </w:pPr>
          </w:p>
        </w:tc>
        <w:tc>
          <w:tcPr>
            <w:tcW w:w="1140" w:type="dxa"/>
            <w:vAlign w:val="bottom"/>
            <w:shd w:val="clear" w:color="auto" w:fill="BAD3EA"/>
          </w:tcPr>
          <w:p>
            <w:pPr>
              <w:spacing w:after="0"/>
              <w:rPr>
                <w:sz w:val="9"/>
                <w:szCs w:val="9"/>
                <w:color w:val="auto"/>
              </w:rPr>
            </w:pPr>
          </w:p>
        </w:tc>
        <w:tc>
          <w:tcPr>
            <w:tcW w:w="500" w:type="dxa"/>
            <w:vAlign w:val="bottom"/>
            <w:shd w:val="clear" w:color="auto" w:fill="BAD3EA"/>
          </w:tcPr>
          <w:p>
            <w:pPr>
              <w:spacing w:after="0"/>
              <w:rPr>
                <w:sz w:val="9"/>
                <w:szCs w:val="9"/>
                <w:color w:val="auto"/>
              </w:rPr>
            </w:pPr>
          </w:p>
        </w:tc>
        <w:tc>
          <w:tcPr>
            <w:tcW w:w="1520" w:type="dxa"/>
            <w:vAlign w:val="bottom"/>
            <w:vMerge w:val="restart"/>
            <w:shd w:val="clear" w:color="auto" w:fill="BAD3EA"/>
          </w:tcPr>
          <w:p>
            <w:pPr>
              <w:jc w:val="center"/>
              <w:ind w:right="401"/>
              <w:spacing w:after="0"/>
              <w:rPr>
                <w:sz w:val="20"/>
                <w:szCs w:val="20"/>
                <w:color w:val="auto"/>
              </w:rPr>
            </w:pPr>
            <w:r>
              <w:rPr>
                <w:rFonts w:ascii="Arial" w:cs="Arial" w:eastAsia="Arial" w:hAnsi="Arial"/>
                <w:sz w:val="16"/>
                <w:szCs w:val="16"/>
                <w:color w:val="auto"/>
              </w:rPr>
              <w:t>set at</w:t>
            </w:r>
          </w:p>
        </w:tc>
        <w:tc>
          <w:tcPr>
            <w:tcW w:w="1020" w:type="dxa"/>
            <w:vAlign w:val="bottom"/>
            <w:shd w:val="clear" w:color="auto" w:fill="BAD3EA"/>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860" w:type="dxa"/>
            <w:vAlign w:val="bottom"/>
            <w:shd w:val="clear" w:color="auto" w:fill="BAD3EA"/>
          </w:tcPr>
          <w:p>
            <w:pPr>
              <w:spacing w:after="0"/>
              <w:rPr>
                <w:sz w:val="6"/>
                <w:szCs w:val="6"/>
                <w:color w:val="auto"/>
              </w:rPr>
            </w:pPr>
          </w:p>
        </w:tc>
        <w:tc>
          <w:tcPr>
            <w:tcW w:w="1060" w:type="dxa"/>
            <w:vAlign w:val="bottom"/>
            <w:shd w:val="clear" w:color="auto" w:fill="BAD3EA"/>
          </w:tcPr>
          <w:p>
            <w:pPr>
              <w:spacing w:after="0"/>
              <w:rPr>
                <w:sz w:val="6"/>
                <w:szCs w:val="6"/>
                <w:color w:val="auto"/>
              </w:rPr>
            </w:pPr>
          </w:p>
        </w:tc>
        <w:tc>
          <w:tcPr>
            <w:tcW w:w="2680" w:type="dxa"/>
            <w:vAlign w:val="bottom"/>
            <w:shd w:val="clear" w:color="auto" w:fill="BAD3EA"/>
          </w:tcPr>
          <w:p>
            <w:pPr>
              <w:spacing w:after="0"/>
              <w:rPr>
                <w:sz w:val="6"/>
                <w:szCs w:val="6"/>
                <w:color w:val="auto"/>
              </w:rPr>
            </w:pPr>
          </w:p>
        </w:tc>
        <w:tc>
          <w:tcPr>
            <w:tcW w:w="1240" w:type="dxa"/>
            <w:vAlign w:val="bottom"/>
            <w:shd w:val="clear" w:color="auto" w:fill="BAD3EA"/>
          </w:tcPr>
          <w:p>
            <w:pPr>
              <w:spacing w:after="0"/>
              <w:rPr>
                <w:sz w:val="6"/>
                <w:szCs w:val="6"/>
                <w:color w:val="auto"/>
              </w:rPr>
            </w:pPr>
          </w:p>
        </w:tc>
        <w:tc>
          <w:tcPr>
            <w:tcW w:w="1140" w:type="dxa"/>
            <w:vAlign w:val="bottom"/>
            <w:vMerge w:val="restart"/>
            <w:shd w:val="clear" w:color="auto" w:fill="BAD3EA"/>
          </w:tcPr>
          <w:p>
            <w:pPr>
              <w:jc w:val="center"/>
              <w:spacing w:after="0"/>
              <w:rPr>
                <w:sz w:val="20"/>
                <w:szCs w:val="20"/>
                <w:color w:val="auto"/>
              </w:rPr>
            </w:pPr>
            <w:r>
              <w:rPr>
                <w:rFonts w:ascii="Arial" w:cs="Arial" w:eastAsia="Arial" w:hAnsi="Arial"/>
                <w:sz w:val="16"/>
                <w:szCs w:val="16"/>
                <w:color w:val="auto"/>
              </w:rPr>
              <w:t>2020</w:t>
            </w:r>
          </w:p>
        </w:tc>
        <w:tc>
          <w:tcPr>
            <w:tcW w:w="500" w:type="dxa"/>
            <w:vAlign w:val="bottom"/>
            <w:shd w:val="clear" w:color="auto" w:fill="BAD3EA"/>
          </w:tcPr>
          <w:p>
            <w:pPr>
              <w:spacing w:after="0"/>
              <w:rPr>
                <w:sz w:val="6"/>
                <w:szCs w:val="6"/>
                <w:color w:val="auto"/>
              </w:rPr>
            </w:pPr>
          </w:p>
        </w:tc>
        <w:tc>
          <w:tcPr>
            <w:tcW w:w="1520" w:type="dxa"/>
            <w:vAlign w:val="bottom"/>
            <w:vMerge w:val="continue"/>
            <w:shd w:val="clear" w:color="auto" w:fill="BAD3EA"/>
          </w:tcPr>
          <w:p>
            <w:pPr>
              <w:spacing w:after="0"/>
              <w:rPr>
                <w:sz w:val="6"/>
                <w:szCs w:val="6"/>
                <w:color w:val="auto"/>
              </w:rPr>
            </w:pPr>
          </w:p>
        </w:tc>
        <w:tc>
          <w:tcPr>
            <w:tcW w:w="1020" w:type="dxa"/>
            <w:vAlign w:val="bottom"/>
            <w:vMerge w:val="restart"/>
            <w:shd w:val="clear" w:color="auto" w:fill="BAD3EA"/>
          </w:tcPr>
          <w:p>
            <w:pPr>
              <w:jc w:val="center"/>
              <w:spacing w:after="0"/>
              <w:rPr>
                <w:sz w:val="20"/>
                <w:szCs w:val="20"/>
                <w:color w:val="auto"/>
              </w:rPr>
            </w:pPr>
            <w:r>
              <w:rPr>
                <w:rFonts w:ascii="Arial" w:cs="Arial" w:eastAsia="Arial" w:hAnsi="Arial"/>
                <w:sz w:val="16"/>
                <w:szCs w:val="16"/>
                <w:color w:val="auto"/>
                <w:w w:val="99"/>
              </w:rPr>
              <w:t>TBD</w:t>
            </w:r>
          </w:p>
        </w:tc>
        <w:tc>
          <w:tcPr>
            <w:tcW w:w="0" w:type="dxa"/>
            <w:vAlign w:val="bottom"/>
          </w:tcPr>
          <w:p>
            <w:pPr>
              <w:spacing w:after="0"/>
              <w:rPr>
                <w:sz w:val="1"/>
                <w:szCs w:val="1"/>
                <w:color w:val="auto"/>
              </w:rPr>
            </w:pPr>
          </w:p>
        </w:tc>
      </w:tr>
      <w:tr>
        <w:trPr>
          <w:trHeight w:val="201"/>
        </w:trPr>
        <w:tc>
          <w:tcPr>
            <w:tcW w:w="1860" w:type="dxa"/>
            <w:vAlign w:val="bottom"/>
            <w:shd w:val="clear" w:color="auto" w:fill="BAD3EA"/>
          </w:tcPr>
          <w:p>
            <w:pPr>
              <w:spacing w:after="0"/>
              <w:rPr>
                <w:sz w:val="17"/>
                <w:szCs w:val="17"/>
                <w:color w:val="auto"/>
              </w:rPr>
            </w:pPr>
          </w:p>
        </w:tc>
        <w:tc>
          <w:tcPr>
            <w:tcW w:w="1060" w:type="dxa"/>
            <w:vAlign w:val="bottom"/>
            <w:shd w:val="clear" w:color="auto" w:fill="BAD3EA"/>
          </w:tcPr>
          <w:p>
            <w:pPr>
              <w:spacing w:after="0"/>
              <w:rPr>
                <w:sz w:val="17"/>
                <w:szCs w:val="17"/>
                <w:color w:val="auto"/>
              </w:rPr>
            </w:pPr>
          </w:p>
        </w:tc>
        <w:tc>
          <w:tcPr>
            <w:tcW w:w="2680" w:type="dxa"/>
            <w:vAlign w:val="bottom"/>
            <w:shd w:val="clear" w:color="auto" w:fill="BAD3EA"/>
          </w:tcPr>
          <w:p>
            <w:pPr>
              <w:spacing w:after="0"/>
              <w:rPr>
                <w:sz w:val="17"/>
                <w:szCs w:val="17"/>
                <w:color w:val="auto"/>
              </w:rPr>
            </w:pPr>
          </w:p>
        </w:tc>
        <w:tc>
          <w:tcPr>
            <w:tcW w:w="1240" w:type="dxa"/>
            <w:vAlign w:val="bottom"/>
            <w:shd w:val="clear" w:color="auto" w:fill="BAD3EA"/>
          </w:tcPr>
          <w:p>
            <w:pPr>
              <w:spacing w:after="0"/>
              <w:rPr>
                <w:sz w:val="17"/>
                <w:szCs w:val="17"/>
                <w:color w:val="auto"/>
              </w:rPr>
            </w:pPr>
          </w:p>
        </w:tc>
        <w:tc>
          <w:tcPr>
            <w:tcW w:w="1140" w:type="dxa"/>
            <w:vAlign w:val="bottom"/>
            <w:vMerge w:val="continue"/>
            <w:shd w:val="clear" w:color="auto" w:fill="BAD3EA"/>
          </w:tcPr>
          <w:p>
            <w:pPr>
              <w:spacing w:after="0"/>
              <w:rPr>
                <w:sz w:val="17"/>
                <w:szCs w:val="17"/>
                <w:color w:val="auto"/>
              </w:rPr>
            </w:pPr>
          </w:p>
        </w:tc>
        <w:tc>
          <w:tcPr>
            <w:tcW w:w="2020" w:type="dxa"/>
            <w:vAlign w:val="bottom"/>
            <w:gridSpan w:val="2"/>
            <w:shd w:val="clear" w:color="auto" w:fill="BAD3EA"/>
          </w:tcPr>
          <w:p>
            <w:pPr>
              <w:jc w:val="center"/>
              <w:spacing w:after="0"/>
              <w:rPr>
                <w:sz w:val="20"/>
                <w:szCs w:val="20"/>
                <w:color w:val="auto"/>
              </w:rPr>
            </w:pPr>
            <w:r>
              <w:rPr>
                <w:rFonts w:ascii="Arial" w:cs="Arial" w:eastAsia="Arial" w:hAnsi="Arial"/>
                <w:sz w:val="16"/>
                <w:szCs w:val="16"/>
                <w:color w:val="auto"/>
              </w:rPr>
              <w:t>beginning of 2020</w:t>
            </w:r>
          </w:p>
        </w:tc>
        <w:tc>
          <w:tcPr>
            <w:tcW w:w="1020" w:type="dxa"/>
            <w:vAlign w:val="bottom"/>
            <w:vMerge w:val="continue"/>
            <w:shd w:val="clear" w:color="auto" w:fill="BAD3EA"/>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-1482725</wp:posOffset>
            </wp:positionV>
            <wp:extent cx="581469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Notes to the 2018 PSU Awards Table</w:t>
      </w:r>
    </w:p>
    <w:p>
      <w:pPr>
        <w:spacing w:after="0" w:line="137" w:lineRule="exact"/>
        <w:rPr>
          <w:sz w:val="20"/>
          <w:szCs w:val="20"/>
          <w:color w:val="auto"/>
        </w:rPr>
      </w:pPr>
    </w:p>
    <w:p>
      <w:pPr>
        <w:ind w:left="420" w:right="160" w:hanging="216"/>
        <w:spacing w:after="0" w:line="247" w:lineRule="auto"/>
        <w:tabs>
          <w:tab w:leader="none" w:pos="42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This financial measure was based on our Non-GAAP free cash flows, as adjusted to add back $256 million to reflect the cash impact of additional research and development expense recognized in 2018 resulting from the 2018 Ionis Agreement, $16 million to neutralize the unfavorable cash impact of the worldwide withdrawal of ZINBRYTA and $33 million related to higher than originally contemplated stock repurchases in 2018, partially offset by the subtraction of $235 million to reflect tax payments made in connection with tax reform, as these charges were not originally contemplated at the time these performance goals were determined.</w:t>
      </w:r>
    </w:p>
    <w:p>
      <w:pPr>
        <w:spacing w:after="0" w:line="107" w:lineRule="exact"/>
        <w:rPr>
          <w:rFonts w:ascii="Arial" w:cs="Arial" w:eastAsia="Arial" w:hAnsi="Arial"/>
          <w:sz w:val="14"/>
          <w:szCs w:val="14"/>
          <w:color w:val="auto"/>
        </w:rPr>
      </w:pPr>
    </w:p>
    <w:p>
      <w:pPr>
        <w:ind w:left="420" w:hanging="216"/>
        <w:spacing w:after="0"/>
        <w:tabs>
          <w:tab w:leader="none" w:pos="42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This financial measure was based on our publicly reported revenues of $13.5 billion, as adjusted to neutralize the effects of foreign exchange rate fluctuations.</w:t>
      </w:r>
    </w:p>
    <w:p>
      <w:pPr>
        <w:sectPr>
          <w:pgSz w:w="11900" w:h="16838" w:orient="portrait"/>
          <w:cols w:equalWidth="0" w:num="1">
            <w:col w:w="11240"/>
          </w:cols>
          <w:pgMar w:left="240" w:top="459" w:right="419" w:bottom="1440" w:gutter="0" w:footer="0" w:header="0"/>
        </w:sectPr>
      </w:pPr>
    </w:p>
    <w:p>
      <w:pPr>
        <w:spacing w:after="0" w:line="174" w:lineRule="exact"/>
        <w:rPr>
          <w:sz w:val="20"/>
          <w:szCs w:val="20"/>
          <w:color w:val="auto"/>
        </w:rPr>
      </w:pPr>
    </w:p>
    <w:p>
      <w:pPr>
        <w:ind w:left="200"/>
        <w:spacing w:after="0" w:line="250" w:lineRule="auto"/>
        <w:rPr>
          <w:sz w:val="20"/>
          <w:szCs w:val="20"/>
          <w:color w:val="auto"/>
        </w:rPr>
      </w:pPr>
      <w:r>
        <w:rPr>
          <w:rFonts w:ascii="Arial" w:cs="Arial" w:eastAsia="Arial" w:hAnsi="Arial"/>
          <w:sz w:val="16"/>
          <w:szCs w:val="16"/>
          <w:color w:val="auto"/>
        </w:rPr>
        <w:t>The 2018 Stock-Settled PSUs metrics were approved by our C&amp;MD Committee with equal weighting assigned to each metric. The two metrics selected were the achievement of a cumulative three-year adjusted Non-GAAP diluted EPS and pipeline milestone performance, in each case, for the three-year period of 2018 through 2020.</w:t>
      </w:r>
    </w:p>
    <w:p>
      <w:pPr>
        <w:spacing w:after="0" w:line="109" w:lineRule="exact"/>
        <w:rPr>
          <w:sz w:val="20"/>
          <w:szCs w:val="20"/>
          <w:color w:val="auto"/>
        </w:rPr>
      </w:pPr>
    </w:p>
    <w:p>
      <w:pPr>
        <w:ind w:left="460" w:right="60" w:hanging="256"/>
        <w:spacing w:after="0" w:line="250" w:lineRule="auto"/>
        <w:tabs>
          <w:tab w:leader="none" w:pos="460" w:val="left"/>
        </w:tabs>
        <w:numPr>
          <w:ilvl w:val="0"/>
          <w:numId w:val="121"/>
        </w:numPr>
        <w:rPr>
          <w:rFonts w:ascii="Arial" w:cs="Arial" w:eastAsia="Arial" w:hAnsi="Arial"/>
          <w:sz w:val="16"/>
          <w:szCs w:val="16"/>
          <w:color w:val="1A6DBB"/>
        </w:rPr>
      </w:pPr>
      <w:r>
        <w:rPr>
          <w:rFonts w:ascii="Arial" w:cs="Arial" w:eastAsia="Arial" w:hAnsi="Arial"/>
          <w:sz w:val="16"/>
          <w:szCs w:val="16"/>
          <w:color w:val="auto"/>
        </w:rPr>
        <w:t>Adjusted Non-GAAP diluted EPS measured at the end of three-year performance period was selected to reinforce the importance of achieving long-term financial and operational performance. Our C&amp;MD Committee believes that adjusted Non-GAAP diluted EPS is a transparent, operations-based measure.</w:t>
      </w:r>
    </w:p>
    <w:p>
      <w:pPr>
        <w:spacing w:after="0" w:line="108" w:lineRule="exact"/>
        <w:rPr>
          <w:rFonts w:ascii="Arial" w:cs="Arial" w:eastAsia="Arial" w:hAnsi="Arial"/>
          <w:sz w:val="16"/>
          <w:szCs w:val="16"/>
          <w:color w:val="1A6DBB"/>
        </w:rPr>
      </w:pPr>
    </w:p>
    <w:p>
      <w:pPr>
        <w:ind w:left="460" w:right="180" w:hanging="256"/>
        <w:spacing w:after="0" w:line="253" w:lineRule="auto"/>
        <w:tabs>
          <w:tab w:leader="none" w:pos="460" w:val="left"/>
        </w:tabs>
        <w:numPr>
          <w:ilvl w:val="0"/>
          <w:numId w:val="121"/>
        </w:numPr>
        <w:rPr>
          <w:rFonts w:ascii="Arial" w:cs="Arial" w:eastAsia="Arial" w:hAnsi="Arial"/>
          <w:sz w:val="16"/>
          <w:szCs w:val="16"/>
          <w:color w:val="1A6DBB"/>
        </w:rPr>
      </w:pPr>
      <w:r>
        <w:rPr>
          <w:rFonts w:ascii="Arial" w:cs="Arial" w:eastAsia="Arial" w:hAnsi="Arial"/>
          <w:sz w:val="16"/>
          <w:szCs w:val="16"/>
          <w:color w:val="auto"/>
        </w:rPr>
        <w:t>Pipeline milestone performance over the three-year period of 2018 through 2020 was selected to drive our long-term strategic direction and stockholder value creation through our pipeline progress.</w:t>
      </w:r>
    </w:p>
    <w:p>
      <w:pPr>
        <w:spacing w:after="0" w:line="93" w:lineRule="exact"/>
        <w:rPr>
          <w:sz w:val="20"/>
          <w:szCs w:val="20"/>
          <w:color w:val="auto"/>
        </w:rPr>
      </w:pPr>
    </w:p>
    <w:p>
      <w:pPr>
        <w:ind w:left="200" w:right="300"/>
        <w:spacing w:after="0" w:line="253" w:lineRule="auto"/>
        <w:rPr>
          <w:sz w:val="20"/>
          <w:szCs w:val="20"/>
          <w:color w:val="auto"/>
        </w:rPr>
      </w:pPr>
      <w:r>
        <w:rPr>
          <w:rFonts w:ascii="Arial" w:cs="Arial" w:eastAsia="Arial" w:hAnsi="Arial"/>
          <w:sz w:val="16"/>
          <w:szCs w:val="16"/>
          <w:color w:val="auto"/>
        </w:rPr>
        <w:t>The 2018 Cash-Settled PSUs financial metrics are adjusted free cash flows and revenues. At the beginning of each year during the performance period for our 2018 PSU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178435</wp:posOffset>
            </wp:positionV>
            <wp:extent cx="685800" cy="15430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our C&amp;MD Committee will approve the targets for each of these financial metrics for such year. Our C&amp;MD Committee decided that because of the nature of our business, in which operating metrics can potentially be impacted positively or negatively by events outside of the control of executives, the design of the PSU program would be based, in part, on the use of three one-year financial goals.</w:t>
      </w:r>
    </w:p>
    <w:p>
      <w:pPr>
        <w:spacing w:after="0" w:line="111" w:lineRule="exact"/>
        <w:rPr>
          <w:sz w:val="20"/>
          <w:szCs w:val="20"/>
          <w:color w:val="auto"/>
        </w:rPr>
      </w:pPr>
    </w:p>
    <w:p>
      <w:pPr>
        <w:ind w:left="260" w:right="180" w:hanging="256"/>
        <w:spacing w:after="0" w:line="248" w:lineRule="auto"/>
        <w:tabs>
          <w:tab w:leader="none" w:pos="260" w:val="left"/>
        </w:tabs>
        <w:numPr>
          <w:ilvl w:val="0"/>
          <w:numId w:val="122"/>
        </w:numPr>
        <w:rPr>
          <w:rFonts w:ascii="Arial" w:cs="Arial" w:eastAsia="Arial" w:hAnsi="Arial"/>
          <w:sz w:val="16"/>
          <w:szCs w:val="16"/>
          <w:color w:val="1A6DBB"/>
        </w:rPr>
      </w:pPr>
      <w:r>
        <w:rPr>
          <w:rFonts w:ascii="Arial" w:cs="Arial" w:eastAsia="Arial" w:hAnsi="Arial"/>
          <w:sz w:val="16"/>
          <w:szCs w:val="16"/>
          <w:color w:val="auto"/>
        </w:rPr>
        <w:t>Our C&amp;MD Committee views free cash flow as a critical measure to align the interests of management with those of our stockholders as it reflects the net cash flows available to the Company to pursue opportunities that enhance stockholder value. As such, a cash flow performance goal encourages management to optimize capital expenditures, invest prudently in high return projects and optimize working capital.</w:t>
      </w:r>
    </w:p>
    <w:p>
      <w:pPr>
        <w:spacing w:after="0" w:line="114" w:lineRule="exact"/>
        <w:rPr>
          <w:rFonts w:ascii="Arial" w:cs="Arial" w:eastAsia="Arial" w:hAnsi="Arial"/>
          <w:sz w:val="16"/>
          <w:szCs w:val="16"/>
          <w:color w:val="1A6DBB"/>
        </w:rPr>
      </w:pPr>
    </w:p>
    <w:p>
      <w:pPr>
        <w:ind w:left="260" w:right="460" w:hanging="256"/>
        <w:spacing w:after="0" w:line="253" w:lineRule="auto"/>
        <w:tabs>
          <w:tab w:leader="none" w:pos="260" w:val="left"/>
        </w:tabs>
        <w:numPr>
          <w:ilvl w:val="0"/>
          <w:numId w:val="122"/>
        </w:numPr>
        <w:rPr>
          <w:rFonts w:ascii="Arial" w:cs="Arial" w:eastAsia="Arial" w:hAnsi="Arial"/>
          <w:sz w:val="16"/>
          <w:szCs w:val="16"/>
          <w:color w:val="1A6DBB"/>
        </w:rPr>
      </w:pPr>
      <w:r>
        <w:rPr>
          <w:rFonts w:ascii="Arial" w:cs="Arial" w:eastAsia="Arial" w:hAnsi="Arial"/>
          <w:sz w:val="16"/>
          <w:szCs w:val="16"/>
          <w:color w:val="auto"/>
        </w:rPr>
        <w:t>We selected revenues as a performance measure to reinforce the importance of achieving and exceeding our revenue goal and to provide further incentive to achieve such goal.</w:t>
      </w:r>
    </w:p>
    <w:p>
      <w:pPr>
        <w:spacing w:after="0" w:line="308" w:lineRule="exact"/>
        <w:rPr>
          <w:sz w:val="20"/>
          <w:szCs w:val="20"/>
          <w:color w:val="auto"/>
        </w:rPr>
      </w:pPr>
    </w:p>
    <w:p>
      <w:pPr>
        <w:sectPr>
          <w:pgSz w:w="11900" w:h="16838" w:orient="portrait"/>
          <w:cols w:equalWidth="0" w:num="2">
            <w:col w:w="5480" w:space="340"/>
            <w:col w:w="5420"/>
          </w:cols>
          <w:pgMar w:left="240" w:top="459" w:right="419" w:bottom="1440" w:gutter="0" w:footer="0" w:header="0"/>
          <w:type w:val="continuous"/>
        </w:sectPr>
      </w:pPr>
    </w:p>
    <w:p>
      <w:pPr>
        <w:spacing w:after="0" w:line="123"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-62865</wp:posOffset>
            </wp:positionV>
            <wp:extent cx="102870" cy="946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7" w:lineRule="exact"/>
        <w:rPr>
          <w:sz w:val="20"/>
          <w:szCs w:val="20"/>
          <w:color w:val="auto"/>
        </w:rPr>
      </w:pPr>
    </w:p>
    <w:p>
      <w:pPr>
        <w:ind w:left="460"/>
        <w:spacing w:after="0"/>
        <w:rPr>
          <w:sz w:val="20"/>
          <w:szCs w:val="20"/>
          <w:color w:val="auto"/>
        </w:rPr>
      </w:pPr>
      <w:r>
        <w:rPr>
          <w:rFonts w:ascii="Arial" w:cs="Arial" w:eastAsia="Arial" w:hAnsi="Arial"/>
          <w:sz w:val="88"/>
          <w:szCs w:val="88"/>
          <w:color w:val="1A6DBB"/>
        </w:rPr>
        <w:t xml:space="preserve">5 </w:t>
      </w:r>
      <w:r>
        <w:rPr>
          <w:rFonts w:ascii="Arial" w:cs="Arial" w:eastAsia="Arial" w:hAnsi="Arial"/>
          <w:sz w:val="40"/>
          <w:szCs w:val="40"/>
          <w:color w:val="1A6DBB"/>
        </w:rPr>
        <w:t>Executive Compensation Matters</w:t>
      </w:r>
      <w:r>
        <w:rPr>
          <w:rFonts w:ascii="Arial" w:cs="Arial" w:eastAsia="Arial" w:hAnsi="Arial"/>
          <w:sz w:val="88"/>
          <w:szCs w:val="88"/>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81" w:lineRule="exact"/>
        <w:rPr>
          <w:sz w:val="20"/>
          <w:szCs w:val="20"/>
          <w:color w:val="auto"/>
        </w:rPr>
      </w:pPr>
    </w:p>
    <w:p>
      <w:pPr>
        <w:ind w:left="220" w:right="20"/>
        <w:spacing w:after="0" w:line="249" w:lineRule="auto"/>
        <w:rPr>
          <w:sz w:val="20"/>
          <w:szCs w:val="20"/>
          <w:color w:val="auto"/>
        </w:rPr>
      </w:pPr>
      <w:r>
        <w:rPr>
          <w:rFonts w:ascii="Arial" w:cs="Arial" w:eastAsia="Arial" w:hAnsi="Arial"/>
          <w:sz w:val="16"/>
          <w:szCs w:val="16"/>
          <w:color w:val="auto"/>
        </w:rPr>
        <w:t>In order to further motivate our executives to drive the organization toward the achievement of these goals, we provide for a maximum payout of 200% for our 2018 PSU awards. Participants may ultimately earn between 0% and 200% of the target number of PSUs granted based on the degree of actual performance goal achievement, generally subject to continued service with the Company.</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427F3D"/>
        </w:rPr>
        <w:t>2018 MSUs</w:t>
      </w:r>
    </w:p>
    <w:p>
      <w:pPr>
        <w:spacing w:after="0" w:line="129" w:lineRule="exact"/>
        <w:rPr>
          <w:sz w:val="20"/>
          <w:szCs w:val="20"/>
          <w:color w:val="auto"/>
        </w:rPr>
      </w:pPr>
    </w:p>
    <w:p>
      <w:pPr>
        <w:ind w:left="220"/>
        <w:spacing w:after="0" w:line="248" w:lineRule="auto"/>
        <w:rPr>
          <w:sz w:val="20"/>
          <w:szCs w:val="20"/>
          <w:color w:val="auto"/>
        </w:rPr>
      </w:pPr>
      <w:r>
        <w:rPr>
          <w:rFonts w:ascii="Arial" w:cs="Arial" w:eastAsia="Arial" w:hAnsi="Arial"/>
          <w:sz w:val="16"/>
          <w:szCs w:val="16"/>
          <w:color w:val="auto"/>
        </w:rPr>
        <w:t>MSUs comprised 50% of our executives’ target LTI for 2018. MSUs are performance-based RSUs that are earned based on our common stock price performance from the date of grant to each of the three annual vesting dates. On each vesting date, the performance multiplier is derived based on the stock price growth measured from the grant date to such vesting date using the average closing stock price for the 30 calendar days following and including the grant date and 30 calendar days prior to and including such vesting date for MSUs granted in 2018.</w:t>
      </w:r>
    </w:p>
    <w:p>
      <w:pPr>
        <w:spacing w:after="0" w:line="100" w:lineRule="exact"/>
        <w:rPr>
          <w:sz w:val="20"/>
          <w:szCs w:val="20"/>
          <w:color w:val="auto"/>
        </w:rPr>
      </w:pPr>
    </w:p>
    <w:p>
      <w:pPr>
        <w:ind w:left="220" w:right="80"/>
        <w:spacing w:after="0" w:line="248" w:lineRule="auto"/>
        <w:rPr>
          <w:sz w:val="20"/>
          <w:szCs w:val="20"/>
          <w:color w:val="auto"/>
        </w:rPr>
      </w:pPr>
      <w:r>
        <w:rPr>
          <w:rFonts w:ascii="Arial" w:cs="Arial" w:eastAsia="Arial" w:hAnsi="Arial"/>
          <w:sz w:val="16"/>
          <w:szCs w:val="16"/>
          <w:color w:val="auto"/>
        </w:rPr>
        <w:t>Participants may ultimately earn between 0% and 200% of the target number of MSUs awarded based on actual stock performance. The maximum payout percentage of MSUs granted in 2018 is consistent with those granted in 2017 (200%). Once the performance multiplier is determined, it is applied to the target number of MSUs granted to each executive and can increase or decrease the overall number of MSUs earned based on stock price performance.</w:t>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MSU Illustration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79375</wp:posOffset>
            </wp:positionV>
            <wp:extent cx="2855595" cy="124333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855595"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line="249" w:lineRule="auto"/>
        <w:rPr>
          <w:sz w:val="20"/>
          <w:szCs w:val="20"/>
          <w:color w:val="auto"/>
        </w:rPr>
      </w:pPr>
      <w:r>
        <w:rPr>
          <w:rFonts w:ascii="Arial" w:cs="Arial" w:eastAsia="Arial" w:hAnsi="Arial"/>
          <w:sz w:val="16"/>
          <w:szCs w:val="16"/>
          <w:color w:val="auto"/>
        </w:rPr>
        <w:t>The three-year service vesting period ties executive compensation directly to our common stock price performance, as both the MSUs earned and the value actually received in respect of MSUs are dependent on the performance of our common stock over the vesting period. On each vesting date, the earned MSUs are settled in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713740</wp:posOffset>
            </wp:positionV>
            <wp:extent cx="685800" cy="15430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The following table shows the vesting date, performance period and performance multiplier applied for MSUs vesting in 2018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40" w:type="dxa"/>
            <w:vAlign w:val="bottom"/>
            <w:shd w:val="clear" w:color="auto" w:fill="1A6DBB"/>
          </w:tcPr>
          <w:p>
            <w:pPr>
              <w:spacing w:after="0"/>
              <w:rPr>
                <w:sz w:val="15"/>
                <w:szCs w:val="15"/>
                <w:color w:val="auto"/>
              </w:rPr>
            </w:pPr>
          </w:p>
        </w:tc>
        <w:tc>
          <w:tcPr>
            <w:tcW w:w="80" w:type="dxa"/>
            <w:vAlign w:val="bottom"/>
            <w:shd w:val="clear" w:color="auto" w:fill="1A6DBB"/>
          </w:tcPr>
          <w:p>
            <w:pPr>
              <w:spacing w:after="0"/>
              <w:rPr>
                <w:sz w:val="15"/>
                <w:szCs w:val="15"/>
                <w:color w:val="auto"/>
              </w:rPr>
            </w:pPr>
          </w:p>
        </w:tc>
        <w:tc>
          <w:tcPr>
            <w:tcW w:w="56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Vesting</w:t>
            </w:r>
          </w:p>
        </w:tc>
        <w:tc>
          <w:tcPr>
            <w:tcW w:w="960" w:type="dxa"/>
            <w:vAlign w:val="bottom"/>
            <w:shd w:val="clear" w:color="auto" w:fill="1A6DBB"/>
          </w:tcPr>
          <w:p>
            <w:pPr>
              <w:jc w:val="right"/>
              <w:ind w:right="2"/>
              <w:spacing w:after="0"/>
              <w:rPr>
                <w:sz w:val="20"/>
                <w:szCs w:val="20"/>
                <w:color w:val="auto"/>
              </w:rPr>
            </w:pPr>
            <w:r>
              <w:rPr>
                <w:rFonts w:ascii="Arial" w:cs="Arial" w:eastAsia="Arial" w:hAnsi="Arial"/>
                <w:sz w:val="14"/>
                <w:szCs w:val="14"/>
                <w:color w:val="FFFFFF"/>
              </w:rPr>
              <w:t>Performance</w:t>
            </w:r>
          </w:p>
        </w:tc>
        <w:tc>
          <w:tcPr>
            <w:tcW w:w="960" w:type="dxa"/>
            <w:vAlign w:val="bottom"/>
            <w:shd w:val="clear" w:color="auto" w:fill="1A6DBB"/>
          </w:tcPr>
          <w:p>
            <w:pPr>
              <w:jc w:val="right"/>
              <w:spacing w:after="0"/>
              <w:rPr>
                <w:sz w:val="20"/>
                <w:szCs w:val="20"/>
                <w:color w:val="auto"/>
              </w:rPr>
            </w:pPr>
            <w:r>
              <w:rPr>
                <w:rFonts w:ascii="Arial" w:cs="Arial" w:eastAsia="Arial" w:hAnsi="Arial"/>
                <w:sz w:val="14"/>
                <w:szCs w:val="14"/>
                <w:color w:val="FFFFFF"/>
              </w:rPr>
              <w:t>Performance</w:t>
            </w:r>
          </w:p>
        </w:tc>
        <w:tc>
          <w:tcPr>
            <w:tcW w:w="0" w:type="dxa"/>
            <w:vAlign w:val="bottom"/>
          </w:tcPr>
          <w:p>
            <w:pPr>
              <w:spacing w:after="0"/>
              <w:rPr>
                <w:sz w:val="1"/>
                <w:szCs w:val="1"/>
                <w:color w:val="auto"/>
              </w:rPr>
            </w:pPr>
          </w:p>
        </w:tc>
      </w:tr>
      <w:tr>
        <w:trPr>
          <w:trHeight w:val="171"/>
        </w:trPr>
        <w:tc>
          <w:tcPr>
            <w:tcW w:w="2840" w:type="dxa"/>
            <w:vAlign w:val="bottom"/>
            <w:shd w:val="clear" w:color="auto" w:fill="1A6DBB"/>
          </w:tcPr>
          <w:p>
            <w:pPr>
              <w:ind w:left="80"/>
              <w:spacing w:after="0"/>
              <w:rPr>
                <w:sz w:val="20"/>
                <w:szCs w:val="20"/>
                <w:color w:val="auto"/>
              </w:rPr>
            </w:pPr>
            <w:r>
              <w:rPr>
                <w:rFonts w:ascii="Arial" w:cs="Arial" w:eastAsia="Arial" w:hAnsi="Arial"/>
                <w:sz w:val="14"/>
                <w:szCs w:val="14"/>
                <w:color w:val="FFFFFF"/>
              </w:rPr>
              <w:t>Grant Date</w:t>
            </w:r>
          </w:p>
        </w:tc>
        <w:tc>
          <w:tcPr>
            <w:tcW w:w="80" w:type="dxa"/>
            <w:vAlign w:val="bottom"/>
            <w:shd w:val="clear" w:color="auto" w:fill="1A6DBB"/>
          </w:tcPr>
          <w:p>
            <w:pPr>
              <w:spacing w:after="0"/>
              <w:rPr>
                <w:sz w:val="14"/>
                <w:szCs w:val="14"/>
                <w:color w:val="auto"/>
              </w:rPr>
            </w:pPr>
          </w:p>
        </w:tc>
        <w:tc>
          <w:tcPr>
            <w:tcW w:w="56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Date</w:t>
            </w:r>
          </w:p>
        </w:tc>
        <w:tc>
          <w:tcPr>
            <w:tcW w:w="960" w:type="dxa"/>
            <w:vAlign w:val="bottom"/>
            <w:shd w:val="clear" w:color="auto" w:fill="1A6DBB"/>
          </w:tcPr>
          <w:p>
            <w:pPr>
              <w:jc w:val="right"/>
              <w:ind w:right="222"/>
              <w:spacing w:after="0"/>
              <w:rPr>
                <w:sz w:val="20"/>
                <w:szCs w:val="20"/>
                <w:color w:val="auto"/>
              </w:rPr>
            </w:pPr>
            <w:r>
              <w:rPr>
                <w:rFonts w:ascii="Arial" w:cs="Arial" w:eastAsia="Arial" w:hAnsi="Arial"/>
                <w:sz w:val="14"/>
                <w:szCs w:val="14"/>
                <w:color w:val="FFFFFF"/>
              </w:rPr>
              <w:t>Period</w:t>
            </w:r>
          </w:p>
        </w:tc>
        <w:tc>
          <w:tcPr>
            <w:tcW w:w="960" w:type="dxa"/>
            <w:vAlign w:val="bottom"/>
            <w:shd w:val="clear" w:color="auto" w:fill="1A6DBB"/>
          </w:tcPr>
          <w:p>
            <w:pPr>
              <w:jc w:val="right"/>
              <w:ind w:right="102"/>
              <w:spacing w:after="0"/>
              <w:rPr>
                <w:sz w:val="20"/>
                <w:szCs w:val="20"/>
                <w:color w:val="auto"/>
              </w:rPr>
            </w:pPr>
            <w:r>
              <w:rPr>
                <w:rFonts w:ascii="Arial" w:cs="Arial" w:eastAsia="Arial" w:hAnsi="Arial"/>
                <w:sz w:val="14"/>
                <w:szCs w:val="14"/>
                <w:color w:val="FFFFFF"/>
              </w:rPr>
              <w:t>Multiplier</w:t>
            </w:r>
          </w:p>
        </w:tc>
        <w:tc>
          <w:tcPr>
            <w:tcW w:w="0" w:type="dxa"/>
            <w:vAlign w:val="bottom"/>
          </w:tcPr>
          <w:p>
            <w:pPr>
              <w:spacing w:after="0"/>
              <w:rPr>
                <w:sz w:val="1"/>
                <w:szCs w:val="1"/>
                <w:color w:val="auto"/>
              </w:rPr>
            </w:pPr>
          </w:p>
        </w:tc>
      </w:tr>
      <w:tr>
        <w:trPr>
          <w:trHeight w:val="216"/>
        </w:trPr>
        <w:tc>
          <w:tcPr>
            <w:tcW w:w="2840" w:type="dxa"/>
            <w:vAlign w:val="bottom"/>
            <w:shd w:val="clear" w:color="auto" w:fill="E8F0F8"/>
          </w:tcPr>
          <w:p>
            <w:pPr>
              <w:ind w:left="100"/>
              <w:spacing w:after="0"/>
              <w:rPr>
                <w:sz w:val="20"/>
                <w:szCs w:val="20"/>
                <w:color w:val="auto"/>
              </w:rPr>
            </w:pPr>
            <w:r>
              <w:rPr>
                <w:rFonts w:ascii="Arial" w:cs="Arial" w:eastAsia="Arial" w:hAnsi="Arial"/>
                <w:sz w:val="16"/>
                <w:szCs w:val="16"/>
                <w:color w:val="auto"/>
              </w:rPr>
              <w:t>2/2018</w:t>
            </w:r>
          </w:p>
        </w:tc>
        <w:tc>
          <w:tcPr>
            <w:tcW w:w="640" w:type="dxa"/>
            <w:vAlign w:val="bottom"/>
            <w:gridSpan w:val="2"/>
            <w:shd w:val="clear" w:color="auto" w:fill="E8F0F8"/>
          </w:tcPr>
          <w:p>
            <w:pPr>
              <w:jc w:val="center"/>
              <w:spacing w:after="0"/>
              <w:rPr>
                <w:sz w:val="20"/>
                <w:szCs w:val="20"/>
                <w:color w:val="auto"/>
              </w:rPr>
            </w:pPr>
            <w:r>
              <w:rPr>
                <w:rFonts w:ascii="Arial" w:cs="Arial" w:eastAsia="Arial" w:hAnsi="Arial"/>
                <w:sz w:val="16"/>
                <w:szCs w:val="16"/>
                <w:color w:val="auto"/>
              </w:rPr>
              <w:t>2/2019</w:t>
            </w:r>
          </w:p>
        </w:tc>
        <w:tc>
          <w:tcPr>
            <w:tcW w:w="960" w:type="dxa"/>
            <w:vAlign w:val="bottom"/>
            <w:shd w:val="clear" w:color="auto" w:fill="E8F0F8"/>
          </w:tcPr>
          <w:p>
            <w:pPr>
              <w:jc w:val="right"/>
              <w:ind w:right="2"/>
              <w:spacing w:after="0"/>
              <w:rPr>
                <w:sz w:val="20"/>
                <w:szCs w:val="20"/>
                <w:color w:val="auto"/>
              </w:rPr>
            </w:pPr>
            <w:r>
              <w:rPr>
                <w:rFonts w:ascii="Arial" w:cs="Arial" w:eastAsia="Arial" w:hAnsi="Arial"/>
                <w:sz w:val="16"/>
                <w:szCs w:val="16"/>
                <w:color w:val="auto"/>
              </w:rPr>
              <w:t>1 year</w:t>
            </w:r>
          </w:p>
        </w:tc>
        <w:tc>
          <w:tcPr>
            <w:tcW w:w="960" w:type="dxa"/>
            <w:vAlign w:val="bottom"/>
            <w:shd w:val="clear" w:color="auto" w:fill="E8F0F8"/>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6"/>
        </w:trPr>
        <w:tc>
          <w:tcPr>
            <w:tcW w:w="2840" w:type="dxa"/>
            <w:vAlign w:val="bottom"/>
            <w:vMerge w:val="restart"/>
            <w:shd w:val="clear" w:color="auto" w:fill="BAD3EA"/>
          </w:tcPr>
          <w:p>
            <w:pPr>
              <w:ind w:left="100"/>
              <w:spacing w:after="0"/>
              <w:rPr>
                <w:sz w:val="20"/>
                <w:szCs w:val="20"/>
                <w:color w:val="auto"/>
              </w:rPr>
            </w:pPr>
            <w:r>
              <w:rPr>
                <w:rFonts w:ascii="Arial" w:cs="Arial" w:eastAsia="Arial" w:hAnsi="Arial"/>
                <w:sz w:val="16"/>
                <w:szCs w:val="16"/>
                <w:color w:val="auto"/>
              </w:rPr>
              <w:t>2/2017</w:t>
            </w:r>
          </w:p>
        </w:tc>
        <w:tc>
          <w:tcPr>
            <w:tcW w:w="80" w:type="dxa"/>
            <w:vAlign w:val="bottom"/>
            <w:shd w:val="clear" w:color="auto" w:fill="BAD3EA"/>
          </w:tcPr>
          <w:p>
            <w:pPr>
              <w:spacing w:after="0"/>
              <w:rPr>
                <w:sz w:val="18"/>
                <w:szCs w:val="18"/>
                <w:color w:val="auto"/>
              </w:rPr>
            </w:pPr>
          </w:p>
        </w:tc>
        <w:tc>
          <w:tcPr>
            <w:tcW w:w="560" w:type="dxa"/>
            <w:vAlign w:val="bottom"/>
            <w:shd w:val="clear" w:color="auto" w:fill="BAD3EA"/>
          </w:tcPr>
          <w:p>
            <w:pPr>
              <w:jc w:val="center"/>
              <w:spacing w:after="0"/>
              <w:rPr>
                <w:sz w:val="20"/>
                <w:szCs w:val="20"/>
                <w:color w:val="auto"/>
              </w:rPr>
            </w:pPr>
            <w:r>
              <w:rPr>
                <w:rFonts w:ascii="Arial" w:cs="Arial" w:eastAsia="Arial" w:hAnsi="Arial"/>
                <w:sz w:val="16"/>
                <w:szCs w:val="16"/>
                <w:color w:val="auto"/>
              </w:rPr>
              <w:t>2/2019</w:t>
            </w:r>
          </w:p>
        </w:tc>
        <w:tc>
          <w:tcPr>
            <w:tcW w:w="960" w:type="dxa"/>
            <w:vAlign w:val="bottom"/>
            <w:shd w:val="clear" w:color="auto" w:fill="BAD3EA"/>
          </w:tcPr>
          <w:p>
            <w:pPr>
              <w:jc w:val="right"/>
              <w:ind w:right="2"/>
              <w:spacing w:after="0"/>
              <w:rPr>
                <w:sz w:val="20"/>
                <w:szCs w:val="20"/>
                <w:color w:val="auto"/>
              </w:rPr>
            </w:pPr>
            <w:r>
              <w:rPr>
                <w:rFonts w:ascii="Arial" w:cs="Arial" w:eastAsia="Arial" w:hAnsi="Arial"/>
                <w:sz w:val="16"/>
                <w:szCs w:val="16"/>
                <w:color w:val="auto"/>
              </w:rPr>
              <w:t>2 years</w:t>
            </w:r>
          </w:p>
        </w:tc>
        <w:tc>
          <w:tcPr>
            <w:tcW w:w="960" w:type="dxa"/>
            <w:vAlign w:val="bottom"/>
            <w:shd w:val="clear" w:color="auto" w:fill="BAD3EA"/>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02"/>
        </w:trPr>
        <w:tc>
          <w:tcPr>
            <w:tcW w:w="2840" w:type="dxa"/>
            <w:vAlign w:val="bottom"/>
            <w:vMerge w:val="continue"/>
            <w:shd w:val="clear" w:color="auto" w:fill="BAD3EA"/>
          </w:tcPr>
          <w:p>
            <w:pPr>
              <w:spacing w:after="0"/>
              <w:rPr>
                <w:sz w:val="8"/>
                <w:szCs w:val="8"/>
                <w:color w:val="auto"/>
              </w:rPr>
            </w:pPr>
          </w:p>
        </w:tc>
        <w:tc>
          <w:tcPr>
            <w:tcW w:w="80" w:type="dxa"/>
            <w:vAlign w:val="bottom"/>
            <w:shd w:val="clear" w:color="auto" w:fill="BAD3EA"/>
          </w:tcPr>
          <w:p>
            <w:pPr>
              <w:spacing w:after="0"/>
              <w:rPr>
                <w:sz w:val="8"/>
                <w:szCs w:val="8"/>
                <w:color w:val="auto"/>
              </w:rPr>
            </w:pPr>
          </w:p>
        </w:tc>
        <w:tc>
          <w:tcPr>
            <w:tcW w:w="560" w:type="dxa"/>
            <w:vAlign w:val="bottom"/>
            <w:vMerge w:val="restart"/>
            <w:shd w:val="clear" w:color="auto" w:fill="BAD3EA"/>
          </w:tcPr>
          <w:p>
            <w:pPr>
              <w:jc w:val="center"/>
              <w:spacing w:after="0"/>
              <w:rPr>
                <w:sz w:val="20"/>
                <w:szCs w:val="20"/>
                <w:color w:val="auto"/>
              </w:rPr>
            </w:pPr>
            <w:r>
              <w:rPr>
                <w:rFonts w:ascii="Arial" w:cs="Arial" w:eastAsia="Arial" w:hAnsi="Arial"/>
                <w:sz w:val="16"/>
                <w:szCs w:val="16"/>
                <w:color w:val="auto"/>
              </w:rPr>
              <w:t>2/2018</w:t>
            </w:r>
          </w:p>
        </w:tc>
        <w:tc>
          <w:tcPr>
            <w:tcW w:w="960" w:type="dxa"/>
            <w:vAlign w:val="bottom"/>
            <w:vMerge w:val="restart"/>
            <w:shd w:val="clear" w:color="auto" w:fill="BAD3EA"/>
          </w:tcPr>
          <w:p>
            <w:pPr>
              <w:jc w:val="right"/>
              <w:ind w:right="2"/>
              <w:spacing w:after="0"/>
              <w:rPr>
                <w:sz w:val="20"/>
                <w:szCs w:val="20"/>
                <w:color w:val="auto"/>
              </w:rPr>
            </w:pPr>
            <w:r>
              <w:rPr>
                <w:rFonts w:ascii="Arial" w:cs="Arial" w:eastAsia="Arial" w:hAnsi="Arial"/>
                <w:sz w:val="16"/>
                <w:szCs w:val="16"/>
                <w:color w:val="auto"/>
              </w:rPr>
              <w:t>1 year</w:t>
            </w:r>
          </w:p>
        </w:tc>
        <w:tc>
          <w:tcPr>
            <w:tcW w:w="960" w:type="dxa"/>
            <w:vAlign w:val="bottom"/>
            <w:vMerge w:val="restart"/>
            <w:shd w:val="clear" w:color="auto" w:fill="BAD3EA"/>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87"/>
        </w:trPr>
        <w:tc>
          <w:tcPr>
            <w:tcW w:w="2840" w:type="dxa"/>
            <w:vAlign w:val="bottom"/>
            <w:shd w:val="clear" w:color="auto" w:fill="BAD3EA"/>
          </w:tcPr>
          <w:p>
            <w:pPr>
              <w:spacing w:after="0"/>
              <w:rPr>
                <w:sz w:val="7"/>
                <w:szCs w:val="7"/>
                <w:color w:val="auto"/>
              </w:rPr>
            </w:pPr>
          </w:p>
        </w:tc>
        <w:tc>
          <w:tcPr>
            <w:tcW w:w="80" w:type="dxa"/>
            <w:vAlign w:val="bottom"/>
            <w:shd w:val="clear" w:color="auto" w:fill="BAD3EA"/>
          </w:tcPr>
          <w:p>
            <w:pPr>
              <w:spacing w:after="0"/>
              <w:rPr>
                <w:sz w:val="7"/>
                <w:szCs w:val="7"/>
                <w:color w:val="auto"/>
              </w:rPr>
            </w:pPr>
          </w:p>
        </w:tc>
        <w:tc>
          <w:tcPr>
            <w:tcW w:w="560" w:type="dxa"/>
            <w:vAlign w:val="bottom"/>
            <w:vMerge w:val="continue"/>
            <w:shd w:val="clear" w:color="auto" w:fill="BAD3EA"/>
          </w:tcPr>
          <w:p>
            <w:pPr>
              <w:spacing w:after="0"/>
              <w:rPr>
                <w:sz w:val="7"/>
                <w:szCs w:val="7"/>
                <w:color w:val="auto"/>
              </w:rPr>
            </w:pPr>
          </w:p>
        </w:tc>
        <w:tc>
          <w:tcPr>
            <w:tcW w:w="960" w:type="dxa"/>
            <w:vAlign w:val="bottom"/>
            <w:vMerge w:val="continue"/>
            <w:shd w:val="clear" w:color="auto" w:fill="BAD3EA"/>
          </w:tcPr>
          <w:p>
            <w:pPr>
              <w:spacing w:after="0"/>
              <w:rPr>
                <w:sz w:val="7"/>
                <w:szCs w:val="7"/>
                <w:color w:val="auto"/>
              </w:rPr>
            </w:pPr>
          </w:p>
        </w:tc>
        <w:tc>
          <w:tcPr>
            <w:tcW w:w="960" w:type="dxa"/>
            <w:vAlign w:val="bottom"/>
            <w:vMerge w:val="continue"/>
            <w:shd w:val="clear" w:color="auto" w:fill="BAD3EA"/>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40" w:type="dxa"/>
            <w:vAlign w:val="bottom"/>
            <w:vMerge w:val="restart"/>
            <w:shd w:val="clear" w:color="auto" w:fill="E8F0F8"/>
          </w:tcPr>
          <w:p>
            <w:pPr>
              <w:ind w:left="100"/>
              <w:spacing w:after="0"/>
              <w:rPr>
                <w:sz w:val="20"/>
                <w:szCs w:val="20"/>
                <w:color w:val="auto"/>
              </w:rPr>
            </w:pPr>
            <w:r>
              <w:rPr>
                <w:rFonts w:ascii="Arial" w:cs="Arial" w:eastAsia="Arial" w:hAnsi="Arial"/>
                <w:sz w:val="16"/>
                <w:szCs w:val="16"/>
                <w:color w:val="auto"/>
              </w:rPr>
              <w:t>2/2016</w:t>
            </w:r>
          </w:p>
        </w:tc>
        <w:tc>
          <w:tcPr>
            <w:tcW w:w="80" w:type="dxa"/>
            <w:vAlign w:val="bottom"/>
            <w:shd w:val="clear" w:color="auto" w:fill="E8F0F8"/>
          </w:tcPr>
          <w:p>
            <w:pPr>
              <w:spacing w:after="0"/>
              <w:rPr>
                <w:sz w:val="18"/>
                <w:szCs w:val="18"/>
                <w:color w:val="auto"/>
              </w:rPr>
            </w:pPr>
          </w:p>
        </w:tc>
        <w:tc>
          <w:tcPr>
            <w:tcW w:w="560" w:type="dxa"/>
            <w:vAlign w:val="bottom"/>
            <w:shd w:val="clear" w:color="auto" w:fill="E8F0F8"/>
          </w:tcPr>
          <w:p>
            <w:pPr>
              <w:jc w:val="center"/>
              <w:spacing w:after="0"/>
              <w:rPr>
                <w:sz w:val="20"/>
                <w:szCs w:val="20"/>
                <w:color w:val="auto"/>
              </w:rPr>
            </w:pPr>
            <w:r>
              <w:rPr>
                <w:rFonts w:ascii="Arial" w:cs="Arial" w:eastAsia="Arial" w:hAnsi="Arial"/>
                <w:sz w:val="16"/>
                <w:szCs w:val="16"/>
                <w:color w:val="auto"/>
              </w:rPr>
              <w:t>2/2019</w:t>
            </w:r>
          </w:p>
        </w:tc>
        <w:tc>
          <w:tcPr>
            <w:tcW w:w="960" w:type="dxa"/>
            <w:vAlign w:val="bottom"/>
            <w:shd w:val="clear" w:color="auto" w:fill="E8F0F8"/>
          </w:tcPr>
          <w:p>
            <w:pPr>
              <w:jc w:val="right"/>
              <w:ind w:right="2"/>
              <w:spacing w:after="0"/>
              <w:rPr>
                <w:sz w:val="20"/>
                <w:szCs w:val="20"/>
                <w:color w:val="auto"/>
              </w:rPr>
            </w:pPr>
            <w:r>
              <w:rPr>
                <w:rFonts w:ascii="Arial" w:cs="Arial" w:eastAsia="Arial" w:hAnsi="Arial"/>
                <w:sz w:val="16"/>
                <w:szCs w:val="16"/>
                <w:color w:val="auto"/>
              </w:rPr>
              <w:t>3 years</w:t>
            </w:r>
          </w:p>
        </w:tc>
        <w:tc>
          <w:tcPr>
            <w:tcW w:w="960" w:type="dxa"/>
            <w:vAlign w:val="bottom"/>
            <w:shd w:val="clear" w:color="auto" w:fill="E8F0F8"/>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102"/>
        </w:trPr>
        <w:tc>
          <w:tcPr>
            <w:tcW w:w="2840" w:type="dxa"/>
            <w:vAlign w:val="bottom"/>
            <w:vMerge w:val="continue"/>
            <w:shd w:val="clear" w:color="auto" w:fill="E8F0F8"/>
          </w:tcPr>
          <w:p>
            <w:pPr>
              <w:spacing w:after="0"/>
              <w:rPr>
                <w:sz w:val="8"/>
                <w:szCs w:val="8"/>
                <w:color w:val="auto"/>
              </w:rPr>
            </w:pPr>
          </w:p>
        </w:tc>
        <w:tc>
          <w:tcPr>
            <w:tcW w:w="80" w:type="dxa"/>
            <w:vAlign w:val="bottom"/>
            <w:shd w:val="clear" w:color="auto" w:fill="E8F0F8"/>
          </w:tcPr>
          <w:p>
            <w:pPr>
              <w:spacing w:after="0"/>
              <w:rPr>
                <w:sz w:val="8"/>
                <w:szCs w:val="8"/>
                <w:color w:val="auto"/>
              </w:rPr>
            </w:pPr>
          </w:p>
        </w:tc>
        <w:tc>
          <w:tcPr>
            <w:tcW w:w="560" w:type="dxa"/>
            <w:vAlign w:val="bottom"/>
            <w:vMerge w:val="restart"/>
            <w:shd w:val="clear" w:color="auto" w:fill="E8F0F8"/>
          </w:tcPr>
          <w:p>
            <w:pPr>
              <w:jc w:val="center"/>
              <w:spacing w:after="0"/>
              <w:rPr>
                <w:sz w:val="20"/>
                <w:szCs w:val="20"/>
                <w:color w:val="auto"/>
              </w:rPr>
            </w:pPr>
            <w:r>
              <w:rPr>
                <w:rFonts w:ascii="Arial" w:cs="Arial" w:eastAsia="Arial" w:hAnsi="Arial"/>
                <w:sz w:val="16"/>
                <w:szCs w:val="16"/>
                <w:color w:val="auto"/>
              </w:rPr>
              <w:t>2/2018</w:t>
            </w:r>
          </w:p>
        </w:tc>
        <w:tc>
          <w:tcPr>
            <w:tcW w:w="960" w:type="dxa"/>
            <w:vAlign w:val="bottom"/>
            <w:vMerge w:val="restart"/>
            <w:shd w:val="clear" w:color="auto" w:fill="E8F0F8"/>
          </w:tcPr>
          <w:p>
            <w:pPr>
              <w:jc w:val="right"/>
              <w:ind w:right="2"/>
              <w:spacing w:after="0"/>
              <w:rPr>
                <w:sz w:val="20"/>
                <w:szCs w:val="20"/>
                <w:color w:val="auto"/>
              </w:rPr>
            </w:pPr>
            <w:r>
              <w:rPr>
                <w:rFonts w:ascii="Arial" w:cs="Arial" w:eastAsia="Arial" w:hAnsi="Arial"/>
                <w:sz w:val="16"/>
                <w:szCs w:val="16"/>
                <w:color w:val="auto"/>
              </w:rPr>
              <w:t>2 years</w:t>
            </w:r>
          </w:p>
        </w:tc>
        <w:tc>
          <w:tcPr>
            <w:tcW w:w="960" w:type="dxa"/>
            <w:vAlign w:val="bottom"/>
            <w:vMerge w:val="restart"/>
            <w:shd w:val="clear" w:color="auto" w:fill="E8F0F8"/>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87"/>
        </w:trPr>
        <w:tc>
          <w:tcPr>
            <w:tcW w:w="2840" w:type="dxa"/>
            <w:vAlign w:val="bottom"/>
            <w:shd w:val="clear" w:color="auto" w:fill="E8F0F8"/>
          </w:tcPr>
          <w:p>
            <w:pPr>
              <w:spacing w:after="0"/>
              <w:rPr>
                <w:sz w:val="7"/>
                <w:szCs w:val="7"/>
                <w:color w:val="auto"/>
              </w:rPr>
            </w:pPr>
          </w:p>
        </w:tc>
        <w:tc>
          <w:tcPr>
            <w:tcW w:w="80" w:type="dxa"/>
            <w:vAlign w:val="bottom"/>
            <w:shd w:val="clear" w:color="auto" w:fill="E8F0F8"/>
          </w:tcPr>
          <w:p>
            <w:pPr>
              <w:spacing w:after="0"/>
              <w:rPr>
                <w:sz w:val="7"/>
                <w:szCs w:val="7"/>
                <w:color w:val="auto"/>
              </w:rPr>
            </w:pPr>
          </w:p>
        </w:tc>
        <w:tc>
          <w:tcPr>
            <w:tcW w:w="560" w:type="dxa"/>
            <w:vAlign w:val="bottom"/>
            <w:vMerge w:val="continue"/>
            <w:shd w:val="clear" w:color="auto" w:fill="E8F0F8"/>
          </w:tcPr>
          <w:p>
            <w:pPr>
              <w:spacing w:after="0"/>
              <w:rPr>
                <w:sz w:val="7"/>
                <w:szCs w:val="7"/>
                <w:color w:val="auto"/>
              </w:rPr>
            </w:pPr>
          </w:p>
        </w:tc>
        <w:tc>
          <w:tcPr>
            <w:tcW w:w="960" w:type="dxa"/>
            <w:vAlign w:val="bottom"/>
            <w:vMerge w:val="continue"/>
            <w:shd w:val="clear" w:color="auto" w:fill="E8F0F8"/>
          </w:tcPr>
          <w:p>
            <w:pPr>
              <w:spacing w:after="0"/>
              <w:rPr>
                <w:sz w:val="7"/>
                <w:szCs w:val="7"/>
                <w:color w:val="auto"/>
              </w:rPr>
            </w:pPr>
          </w:p>
        </w:tc>
        <w:tc>
          <w:tcPr>
            <w:tcW w:w="960" w:type="dxa"/>
            <w:vAlign w:val="bottom"/>
            <w:vMerge w:val="continue"/>
            <w:shd w:val="clear" w:color="auto" w:fill="E8F0F8"/>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427F3D"/>
        </w:rPr>
        <w:t>2018 One-Time Transition Awards</w:t>
      </w:r>
    </w:p>
    <w:p>
      <w:pPr>
        <w:spacing w:after="0" w:line="129"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As part of our 2018 LTI program change and transition plan, our C&amp;MD Committee decided to grant one-time transition awards in the form of time-based RSUs in February 2018 to certain executive officers, excluding Messrs. Vounatsos and Capello, which vest over a two-year period, with 33% vesting on the first anniversary of the grant date and 67% vesting on the second anniversary of the grant date. These awards were intended to help mitigate the impact on executives’ compensation and cash flow disruption due to the program changes, including the change to the three-year cliff vesting schedule applied to the PSU awards discussed above compared to the annual installment vesting over three years that applied to the CSPUs that we previously granted.</w:t>
      </w:r>
    </w:p>
    <w:p>
      <w:pPr>
        <w:spacing w:after="0" w:line="97"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In 2018 the one-time transition awards of RSUs for our NEOs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00" w:type="dxa"/>
            <w:vAlign w:val="bottom"/>
            <w:shd w:val="clear" w:color="auto" w:fill="1A6DBB"/>
          </w:tcPr>
          <w:p>
            <w:pPr>
              <w:spacing w:after="0"/>
              <w:rPr>
                <w:sz w:val="15"/>
                <w:szCs w:val="15"/>
                <w:color w:val="auto"/>
              </w:rPr>
            </w:pPr>
          </w:p>
        </w:tc>
        <w:tc>
          <w:tcPr>
            <w:tcW w:w="420" w:type="dxa"/>
            <w:vAlign w:val="bottom"/>
            <w:shd w:val="clear" w:color="auto" w:fill="1A6DBB"/>
          </w:tcPr>
          <w:p>
            <w:pPr>
              <w:spacing w:after="0"/>
              <w:rPr>
                <w:sz w:val="15"/>
                <w:szCs w:val="15"/>
                <w:color w:val="auto"/>
              </w:rPr>
            </w:pPr>
          </w:p>
        </w:tc>
        <w:tc>
          <w:tcPr>
            <w:tcW w:w="980" w:type="dxa"/>
            <w:vAlign w:val="bottom"/>
            <w:shd w:val="clear" w:color="auto" w:fill="1A6DBB"/>
          </w:tcPr>
          <w:p>
            <w:pPr>
              <w:jc w:val="center"/>
              <w:ind w:right="142"/>
              <w:spacing w:after="0"/>
              <w:rPr>
                <w:sz w:val="20"/>
                <w:szCs w:val="20"/>
                <w:color w:val="auto"/>
              </w:rPr>
            </w:pPr>
            <w:r>
              <w:rPr>
                <w:rFonts w:ascii="Arial" w:cs="Arial" w:eastAsia="Arial" w:hAnsi="Arial"/>
                <w:sz w:val="14"/>
                <w:szCs w:val="14"/>
                <w:color w:val="FFFFFF"/>
              </w:rPr>
              <w:t>Grant</w:t>
            </w:r>
          </w:p>
        </w:tc>
      </w:tr>
      <w:tr>
        <w:trPr>
          <w:trHeight w:val="191"/>
        </w:trPr>
        <w:tc>
          <w:tcPr>
            <w:tcW w:w="4000" w:type="dxa"/>
            <w:vAlign w:val="bottom"/>
            <w:tcBorders>
              <w:bottom w:val="single" w:sz="8" w:color="1A6DBB"/>
            </w:tcBorders>
            <w:shd w:val="clear" w:color="auto" w:fill="1A6DBB"/>
          </w:tcPr>
          <w:p>
            <w:pPr>
              <w:ind w:left="80"/>
              <w:spacing w:after="0"/>
              <w:rPr>
                <w:sz w:val="20"/>
                <w:szCs w:val="20"/>
                <w:color w:val="auto"/>
              </w:rPr>
            </w:pPr>
            <w:r>
              <w:rPr>
                <w:rFonts w:ascii="Arial" w:cs="Arial" w:eastAsia="Arial" w:hAnsi="Arial"/>
                <w:sz w:val="14"/>
                <w:szCs w:val="14"/>
                <w:color w:val="FFFFFF"/>
              </w:rPr>
              <w:t>Name</w:t>
            </w:r>
          </w:p>
        </w:tc>
        <w:tc>
          <w:tcPr>
            <w:tcW w:w="420" w:type="dxa"/>
            <w:vAlign w:val="bottom"/>
            <w:tcBorders>
              <w:bottom w:val="single" w:sz="8" w:color="1A6DBB"/>
            </w:tcBorders>
            <w:shd w:val="clear" w:color="auto" w:fill="1A6DBB"/>
          </w:tcPr>
          <w:p>
            <w:pPr>
              <w:spacing w:after="0"/>
              <w:rPr>
                <w:sz w:val="16"/>
                <w:szCs w:val="16"/>
                <w:color w:val="auto"/>
              </w:rPr>
            </w:pPr>
          </w:p>
        </w:tc>
        <w:tc>
          <w:tcPr>
            <w:tcW w:w="980" w:type="dxa"/>
            <w:vAlign w:val="bottom"/>
            <w:tcBorders>
              <w:bottom w:val="single" w:sz="8" w:color="1A6DBB"/>
            </w:tcBorders>
            <w:shd w:val="clear" w:color="auto" w:fill="1A6DBB"/>
          </w:tcPr>
          <w:p>
            <w:pPr>
              <w:jc w:val="center"/>
              <w:ind w:right="162"/>
              <w:spacing w:after="0"/>
              <w:rPr>
                <w:sz w:val="20"/>
                <w:szCs w:val="20"/>
                <w:color w:val="auto"/>
              </w:rPr>
            </w:pPr>
            <w:r>
              <w:rPr>
                <w:rFonts w:ascii="Arial" w:cs="Arial" w:eastAsia="Arial" w:hAnsi="Arial"/>
                <w:sz w:val="14"/>
                <w:szCs w:val="14"/>
                <w:color w:val="FFFFFF"/>
              </w:rPr>
              <w:t>Date Value</w:t>
            </w:r>
          </w:p>
        </w:tc>
      </w:tr>
      <w:tr>
        <w:trPr>
          <w:trHeight w:val="237"/>
        </w:trPr>
        <w:tc>
          <w:tcPr>
            <w:tcW w:w="4000" w:type="dxa"/>
            <w:vAlign w:val="bottom"/>
            <w:tcBorders>
              <w:bottom w:val="single" w:sz="8" w:color="E8F0F8"/>
            </w:tcBorders>
            <w:shd w:val="clear" w:color="auto" w:fill="E8F0F8"/>
          </w:tcPr>
          <w:p>
            <w:pPr>
              <w:ind w:left="100"/>
              <w:spacing w:after="0"/>
              <w:rPr>
                <w:sz w:val="20"/>
                <w:szCs w:val="20"/>
                <w:color w:val="auto"/>
              </w:rPr>
            </w:pPr>
            <w:r>
              <w:rPr>
                <w:rFonts w:ascii="Arial" w:cs="Arial" w:eastAsia="Arial" w:hAnsi="Arial"/>
                <w:sz w:val="16"/>
                <w:szCs w:val="16"/>
                <w:color w:val="auto"/>
              </w:rPr>
              <w:t>M. Vounatsos</w:t>
            </w:r>
          </w:p>
        </w:tc>
        <w:tc>
          <w:tcPr>
            <w:tcW w:w="420" w:type="dxa"/>
            <w:vAlign w:val="bottom"/>
            <w:tcBorders>
              <w:bottom w:val="single" w:sz="8" w:color="E8F0F8"/>
            </w:tcBorders>
            <w:shd w:val="clear" w:color="auto" w:fill="E8F0F8"/>
          </w:tcPr>
          <w:p>
            <w:pPr>
              <w:spacing w:after="0"/>
              <w:rPr>
                <w:sz w:val="20"/>
                <w:szCs w:val="20"/>
                <w:color w:val="auto"/>
              </w:rPr>
            </w:pPr>
          </w:p>
        </w:tc>
        <w:tc>
          <w:tcPr>
            <w:tcW w:w="980" w:type="dxa"/>
            <w:vAlign w:val="bottom"/>
            <w:tcBorders>
              <w:bottom w:val="single" w:sz="8" w:color="E8F0F8"/>
            </w:tcBorders>
            <w:shd w:val="clear" w:color="auto" w:fill="E8F0F8"/>
          </w:tcPr>
          <w:p>
            <w:pPr>
              <w:jc w:val="center"/>
              <w:ind w:right="162"/>
              <w:spacing w:after="0"/>
              <w:rPr>
                <w:sz w:val="20"/>
                <w:szCs w:val="20"/>
                <w:color w:val="auto"/>
              </w:rPr>
            </w:pPr>
            <w:r>
              <w:rPr>
                <w:rFonts w:ascii="Arial" w:cs="Arial" w:eastAsia="Arial" w:hAnsi="Arial"/>
                <w:sz w:val="16"/>
                <w:szCs w:val="16"/>
                <w:color w:val="auto"/>
                <w:w w:val="98"/>
              </w:rPr>
              <w:t>n/a</w:t>
            </w:r>
          </w:p>
        </w:tc>
      </w:tr>
      <w:tr>
        <w:trPr>
          <w:trHeight w:val="237"/>
        </w:trPr>
        <w:tc>
          <w:tcPr>
            <w:tcW w:w="4000" w:type="dxa"/>
            <w:vAlign w:val="bottom"/>
            <w:tcBorders>
              <w:bottom w:val="single" w:sz="8" w:color="BAD3EA"/>
            </w:tcBorders>
            <w:shd w:val="clear" w:color="auto" w:fill="BAD3EA"/>
          </w:tcPr>
          <w:p>
            <w:pPr>
              <w:ind w:left="100"/>
              <w:spacing w:after="0"/>
              <w:rPr>
                <w:sz w:val="20"/>
                <w:szCs w:val="20"/>
                <w:color w:val="auto"/>
              </w:rPr>
            </w:pPr>
            <w:r>
              <w:rPr>
                <w:rFonts w:ascii="Arial" w:cs="Arial" w:eastAsia="Arial" w:hAnsi="Arial"/>
                <w:sz w:val="16"/>
                <w:szCs w:val="16"/>
                <w:color w:val="auto"/>
              </w:rPr>
              <w:t>J. Capello</w:t>
            </w:r>
          </w:p>
        </w:tc>
        <w:tc>
          <w:tcPr>
            <w:tcW w:w="420" w:type="dxa"/>
            <w:vAlign w:val="bottom"/>
            <w:tcBorders>
              <w:bottom w:val="single" w:sz="8" w:color="BAD3EA"/>
            </w:tcBorders>
            <w:shd w:val="clear" w:color="auto" w:fill="BAD3EA"/>
          </w:tcPr>
          <w:p>
            <w:pPr>
              <w:spacing w:after="0"/>
              <w:rPr>
                <w:sz w:val="20"/>
                <w:szCs w:val="20"/>
                <w:color w:val="auto"/>
              </w:rPr>
            </w:pPr>
          </w:p>
        </w:tc>
        <w:tc>
          <w:tcPr>
            <w:tcW w:w="980" w:type="dxa"/>
            <w:vAlign w:val="bottom"/>
            <w:tcBorders>
              <w:bottom w:val="single" w:sz="8" w:color="BAD3EA"/>
            </w:tcBorders>
            <w:shd w:val="clear" w:color="auto" w:fill="BAD3EA"/>
          </w:tcPr>
          <w:p>
            <w:pPr>
              <w:jc w:val="center"/>
              <w:ind w:right="162"/>
              <w:spacing w:after="0"/>
              <w:rPr>
                <w:sz w:val="20"/>
                <w:szCs w:val="20"/>
                <w:color w:val="auto"/>
              </w:rPr>
            </w:pPr>
            <w:r>
              <w:rPr>
                <w:rFonts w:ascii="Arial" w:cs="Arial" w:eastAsia="Arial" w:hAnsi="Arial"/>
                <w:sz w:val="16"/>
                <w:szCs w:val="16"/>
                <w:color w:val="auto"/>
                <w:w w:val="98"/>
              </w:rPr>
              <w:t>n/a</w:t>
            </w:r>
          </w:p>
        </w:tc>
      </w:tr>
      <w:tr>
        <w:trPr>
          <w:trHeight w:val="237"/>
        </w:trPr>
        <w:tc>
          <w:tcPr>
            <w:tcW w:w="4000" w:type="dxa"/>
            <w:vAlign w:val="bottom"/>
            <w:tcBorders>
              <w:bottom w:val="single" w:sz="8" w:color="E8F0F8"/>
            </w:tcBorders>
            <w:shd w:val="clear" w:color="auto" w:fill="E8F0F8"/>
          </w:tcPr>
          <w:p>
            <w:pPr>
              <w:ind w:left="100"/>
              <w:spacing w:after="0"/>
              <w:rPr>
                <w:sz w:val="20"/>
                <w:szCs w:val="20"/>
                <w:color w:val="auto"/>
              </w:rPr>
            </w:pPr>
            <w:r>
              <w:rPr>
                <w:rFonts w:ascii="Arial" w:cs="Arial" w:eastAsia="Arial" w:hAnsi="Arial"/>
                <w:sz w:val="16"/>
                <w:szCs w:val="16"/>
                <w:color w:val="auto"/>
              </w:rPr>
              <w:t>M. Ehlers</w:t>
            </w:r>
          </w:p>
        </w:tc>
        <w:tc>
          <w:tcPr>
            <w:tcW w:w="42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8F0F8"/>
            </w:tcBorders>
            <w:shd w:val="clear" w:color="auto" w:fill="E8F0F8"/>
          </w:tcPr>
          <w:p>
            <w:pPr>
              <w:jc w:val="right"/>
              <w:ind w:right="22"/>
              <w:spacing w:after="0"/>
              <w:rPr>
                <w:sz w:val="20"/>
                <w:szCs w:val="20"/>
                <w:color w:val="auto"/>
              </w:rPr>
            </w:pPr>
            <w:r>
              <w:rPr>
                <w:rFonts w:ascii="Arial" w:cs="Arial" w:eastAsia="Arial" w:hAnsi="Arial"/>
                <w:sz w:val="16"/>
                <w:szCs w:val="16"/>
                <w:color w:val="auto"/>
              </w:rPr>
              <w:t>1,500,000</w:t>
            </w:r>
          </w:p>
        </w:tc>
      </w:tr>
      <w:tr>
        <w:trPr>
          <w:trHeight w:val="237"/>
        </w:trPr>
        <w:tc>
          <w:tcPr>
            <w:tcW w:w="4000" w:type="dxa"/>
            <w:vAlign w:val="bottom"/>
            <w:tcBorders>
              <w:bottom w:val="single" w:sz="8" w:color="BAD3EA"/>
            </w:tcBorders>
            <w:shd w:val="clear" w:color="auto" w:fill="BAD3EA"/>
          </w:tcPr>
          <w:p>
            <w:pPr>
              <w:ind w:left="100"/>
              <w:spacing w:after="0"/>
              <w:rPr>
                <w:sz w:val="20"/>
                <w:szCs w:val="20"/>
                <w:color w:val="auto"/>
              </w:rPr>
            </w:pPr>
            <w:r>
              <w:rPr>
                <w:rFonts w:ascii="Arial" w:cs="Arial" w:eastAsia="Arial" w:hAnsi="Arial"/>
                <w:sz w:val="16"/>
                <w:szCs w:val="16"/>
                <w:color w:val="auto"/>
              </w:rPr>
              <w:t>S. Alexander</w:t>
            </w:r>
          </w:p>
        </w:tc>
        <w:tc>
          <w:tcPr>
            <w:tcW w:w="42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BAD3EA"/>
            </w:tcBorders>
            <w:shd w:val="clear" w:color="auto" w:fill="BAD3EA"/>
          </w:tcPr>
          <w:p>
            <w:pPr>
              <w:jc w:val="right"/>
              <w:ind w:right="22"/>
              <w:spacing w:after="0"/>
              <w:rPr>
                <w:sz w:val="20"/>
                <w:szCs w:val="20"/>
                <w:color w:val="auto"/>
              </w:rPr>
            </w:pPr>
            <w:r>
              <w:rPr>
                <w:rFonts w:ascii="Arial" w:cs="Arial" w:eastAsia="Arial" w:hAnsi="Arial"/>
                <w:sz w:val="16"/>
                <w:szCs w:val="16"/>
                <w:color w:val="auto"/>
              </w:rPr>
              <w:t>1,280,000</w:t>
            </w:r>
          </w:p>
        </w:tc>
      </w:tr>
      <w:tr>
        <w:trPr>
          <w:trHeight w:val="216"/>
        </w:trPr>
        <w:tc>
          <w:tcPr>
            <w:tcW w:w="4000" w:type="dxa"/>
            <w:vAlign w:val="bottom"/>
            <w:tcBorders>
              <w:bottom w:val="single" w:sz="8" w:color="auto"/>
            </w:tcBorders>
            <w:shd w:val="clear" w:color="auto" w:fill="E8F0F8"/>
          </w:tcPr>
          <w:p>
            <w:pPr>
              <w:ind w:left="100"/>
              <w:spacing w:after="0"/>
              <w:rPr>
                <w:sz w:val="20"/>
                <w:szCs w:val="20"/>
                <w:color w:val="auto"/>
              </w:rPr>
            </w:pPr>
            <w:r>
              <w:rPr>
                <w:rFonts w:ascii="Arial" w:cs="Arial" w:eastAsia="Arial" w:hAnsi="Arial"/>
                <w:sz w:val="16"/>
                <w:szCs w:val="16"/>
                <w:color w:val="auto"/>
              </w:rPr>
              <w:t>P. McKenzie</w:t>
            </w:r>
          </w:p>
        </w:tc>
        <w:tc>
          <w:tcPr>
            <w:tcW w:w="42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8F0F8"/>
          </w:tcPr>
          <w:p>
            <w:pPr>
              <w:jc w:val="right"/>
              <w:ind w:right="22"/>
              <w:spacing w:after="0"/>
              <w:rPr>
                <w:sz w:val="20"/>
                <w:szCs w:val="20"/>
                <w:color w:val="auto"/>
              </w:rPr>
            </w:pPr>
            <w:r>
              <w:rPr>
                <w:rFonts w:ascii="Arial" w:cs="Arial" w:eastAsia="Arial" w:hAnsi="Arial"/>
                <w:sz w:val="16"/>
                <w:szCs w:val="16"/>
                <w:color w:val="auto"/>
              </w:rPr>
              <w:t>1,200,000</w:t>
            </w:r>
          </w:p>
        </w:tc>
      </w:tr>
      <w:tr>
        <w:trPr>
          <w:trHeight w:val="21"/>
        </w:trPr>
        <w:tc>
          <w:tcPr>
            <w:tcW w:w="4000" w:type="dxa"/>
            <w:vAlign w:val="bottom"/>
            <w:shd w:val="clear" w:color="auto" w:fill="E8F0F8"/>
          </w:tcPr>
          <w:p>
            <w:pPr>
              <w:spacing w:after="0" w:line="20" w:lineRule="exact"/>
              <w:rPr>
                <w:sz w:val="1"/>
                <w:szCs w:val="1"/>
                <w:color w:val="auto"/>
              </w:rPr>
            </w:pPr>
          </w:p>
        </w:tc>
        <w:tc>
          <w:tcPr>
            <w:tcW w:w="420" w:type="dxa"/>
            <w:vAlign w:val="bottom"/>
            <w:shd w:val="clear" w:color="auto" w:fill="E8F0F8"/>
          </w:tcPr>
          <w:p>
            <w:pPr>
              <w:spacing w:after="0" w:line="20" w:lineRule="exact"/>
              <w:rPr>
                <w:sz w:val="1"/>
                <w:szCs w:val="1"/>
                <w:color w:val="auto"/>
              </w:rPr>
            </w:pPr>
          </w:p>
        </w:tc>
        <w:tc>
          <w:tcPr>
            <w:tcW w:w="980" w:type="dxa"/>
            <w:vAlign w:val="bottom"/>
            <w:shd w:val="clear" w:color="auto" w:fill="E8F0F8"/>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1A6DBB"/>
        </w:rPr>
        <w:t>Retirement Plans</w:t>
      </w:r>
    </w:p>
    <w:p>
      <w:pPr>
        <w:spacing w:after="0" w:line="12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We maintain a Supplemental Savings Plan (SSP), which is a non-qualified deferred compensation plan covering our executive officers and other eligible employees in the U.S. We offer the SSP as part of the retirement savings component of our benefits program. We designed the SSP to be competitive with the non-qualified deferred compensation plans offered by companies in our peer group at that time. Details of the SSP are discussed under the heading “2018 Non-Qualified Deferred Compensation” below.</w:t>
      </w:r>
    </w:p>
    <w:p>
      <w:pPr>
        <w:spacing w:after="0" w:line="200" w:lineRule="exact"/>
        <w:rPr>
          <w:sz w:val="20"/>
          <w:szCs w:val="20"/>
          <w:color w:val="auto"/>
        </w:rPr>
      </w:pPr>
    </w:p>
    <w:p>
      <w:pPr>
        <w:sectPr>
          <w:pgSz w:w="11900" w:h="16838" w:orient="portrait"/>
          <w:cols w:equalWidth="0" w:num="2">
            <w:col w:w="5480" w:space="340"/>
            <w:col w:w="5400"/>
          </w:cols>
          <w:pgMar w:left="240" w:top="459" w:right="439" w:bottom="1440" w:gutter="0" w:footer="0" w:header="0"/>
          <w:type w:val="continuous"/>
        </w:sectPr>
      </w:pPr>
    </w:p>
    <w:p>
      <w:pPr>
        <w:spacing w:after="0" w:line="117"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-62865</wp:posOffset>
            </wp:positionV>
            <wp:extent cx="102870" cy="946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7" w:lineRule="exact"/>
        <w:rPr>
          <w:sz w:val="20"/>
          <w:szCs w:val="20"/>
          <w:color w:val="auto"/>
        </w:rPr>
      </w:pPr>
    </w:p>
    <w:p>
      <w:pPr>
        <w:ind w:left="460"/>
        <w:spacing w:after="0"/>
        <w:rPr>
          <w:sz w:val="20"/>
          <w:szCs w:val="20"/>
          <w:color w:val="auto"/>
        </w:rPr>
      </w:pPr>
      <w:r>
        <w:rPr>
          <w:rFonts w:ascii="Arial" w:cs="Arial" w:eastAsia="Arial" w:hAnsi="Arial"/>
          <w:sz w:val="88"/>
          <w:szCs w:val="88"/>
          <w:color w:val="1A6DBB"/>
        </w:rPr>
        <w:t xml:space="preserve">5 </w:t>
      </w:r>
      <w:r>
        <w:rPr>
          <w:rFonts w:ascii="Arial" w:cs="Arial" w:eastAsia="Arial" w:hAnsi="Arial"/>
          <w:sz w:val="40"/>
          <w:szCs w:val="40"/>
          <w:color w:val="1A6DBB"/>
        </w:rPr>
        <w:t>Executive Compensation Matters</w:t>
      </w:r>
      <w:r>
        <w:rPr>
          <w:rFonts w:ascii="Arial" w:cs="Arial" w:eastAsia="Arial" w:hAnsi="Arial"/>
          <w:sz w:val="88"/>
          <w:szCs w:val="88"/>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1A6DBB"/>
        </w:rPr>
        <w:t>Other Benefits</w:t>
      </w:r>
    </w:p>
    <w:p>
      <w:pPr>
        <w:spacing w:after="0" w:line="128" w:lineRule="exact"/>
        <w:rPr>
          <w:sz w:val="20"/>
          <w:szCs w:val="20"/>
          <w:color w:val="auto"/>
        </w:rPr>
      </w:pPr>
    </w:p>
    <w:p>
      <w:pPr>
        <w:ind w:left="200" w:right="100"/>
        <w:spacing w:after="0" w:line="251" w:lineRule="auto"/>
        <w:rPr>
          <w:sz w:val="20"/>
          <w:szCs w:val="20"/>
          <w:color w:val="auto"/>
        </w:rPr>
      </w:pPr>
      <w:r>
        <w:rPr>
          <w:rFonts w:ascii="Arial" w:cs="Arial" w:eastAsia="Arial" w:hAnsi="Arial"/>
          <w:sz w:val="16"/>
          <w:szCs w:val="16"/>
          <w:color w:val="auto"/>
        </w:rPr>
        <w:t>In addition to eligibility for the benefit programs generally provided to all employees, such as our employee stock purchase plan, 401(k) plan and medical, dental, vision, life and disability insurance, we provide certain supplemental benefits to our executives. These benefits include:</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1A6DBB"/>
        </w:rPr>
        <w:t>Life Insurance</w:t>
      </w:r>
    </w:p>
    <w:p>
      <w:pPr>
        <w:spacing w:after="0" w:line="133" w:lineRule="exact"/>
        <w:rPr>
          <w:sz w:val="20"/>
          <w:szCs w:val="20"/>
          <w:color w:val="auto"/>
        </w:rPr>
      </w:pPr>
    </w:p>
    <w:p>
      <w:pPr>
        <w:ind w:left="200" w:right="120"/>
        <w:spacing w:after="0" w:line="247" w:lineRule="auto"/>
        <w:rPr>
          <w:sz w:val="20"/>
          <w:szCs w:val="20"/>
          <w:color w:val="auto"/>
        </w:rPr>
      </w:pPr>
      <w:r>
        <w:rPr>
          <w:rFonts w:ascii="Arial" w:cs="Arial" w:eastAsia="Arial" w:hAnsi="Arial"/>
          <w:sz w:val="16"/>
          <w:szCs w:val="16"/>
          <w:color w:val="auto"/>
        </w:rPr>
        <w:t>All of our U.S. executives, including our NEOs, receive Company-paid term life insurance equal to three times their annual base salary, up to a maximum benefit amount. In 2018 the maximum benefit amount for the CEO was $1.5 million and was $2.25 million for the other NEOs. Employees who are not executives receive Company-paid term life insurance equal to two times their annual base salary. The additional value of Company-provided life insurance for our executive officers reflects competitive practices and is consistent with our philosophy to provide appropriate levels of financial security for our employees based on their positions within the Company. The cost of Company-paid life insurance in excess of a $50,000 insurance level is taxable income to U.S. employees and is not grossed up by the Company.</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1A6DBB"/>
        </w:rPr>
        <w:t>Executive Physicals, Tax Preparation, Financial and Estate Planning</w:t>
      </w:r>
    </w:p>
    <w:p>
      <w:pPr>
        <w:spacing w:after="0" w:line="133" w:lineRule="exact"/>
        <w:rPr>
          <w:sz w:val="20"/>
          <w:szCs w:val="20"/>
          <w:color w:val="auto"/>
        </w:rPr>
      </w:pPr>
    </w:p>
    <w:p>
      <w:pPr>
        <w:ind w:left="200"/>
        <w:spacing w:after="0" w:line="249" w:lineRule="auto"/>
        <w:rPr>
          <w:sz w:val="20"/>
          <w:szCs w:val="20"/>
          <w:color w:val="auto"/>
        </w:rPr>
      </w:pPr>
      <w:r>
        <w:rPr>
          <w:rFonts w:ascii="Arial" w:cs="Arial" w:eastAsia="Arial" w:hAnsi="Arial"/>
          <w:sz w:val="16"/>
          <w:szCs w:val="16"/>
          <w:color w:val="auto"/>
        </w:rPr>
        <w:t>Our executive officers, other than our CEO, are eligible for reimbursement of expenses incurred for tax preparation and financial and estate planning services, as well as the purchase of tax preparation and financial planning software, subject to annual expense limits of $7,500 for Executive Vice Presidents. Such reimbursements are taxable income to our executives and are not grossed up.</w:t>
      </w:r>
    </w:p>
    <w:p>
      <w:pPr>
        <w:spacing w:after="0" w:line="97" w:lineRule="exact"/>
        <w:rPr>
          <w:sz w:val="20"/>
          <w:szCs w:val="20"/>
          <w:color w:val="auto"/>
        </w:rPr>
      </w:pPr>
    </w:p>
    <w:p>
      <w:pPr>
        <w:ind w:left="200" w:right="40"/>
        <w:spacing w:after="0" w:line="250" w:lineRule="auto"/>
        <w:rPr>
          <w:sz w:val="20"/>
          <w:szCs w:val="20"/>
          <w:color w:val="auto"/>
        </w:rPr>
      </w:pPr>
      <w:r>
        <w:rPr>
          <w:rFonts w:ascii="Arial" w:cs="Arial" w:eastAsia="Arial" w:hAnsi="Arial"/>
          <w:sz w:val="16"/>
          <w:szCs w:val="16"/>
          <w:color w:val="auto"/>
        </w:rPr>
        <w:t>All of our executive officers, including our CEO, are eligible for reimbursement for the cost of their executive physicals, subject to the annual expense limits noted above of $7,500 for our Executive Vice Presidents and CEO. This benefit provides our executives with additional flexibility to proactively manage their health and wellness.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1A6DBB"/>
        </w:rPr>
        <w:t>Relocation Expenses</w:t>
      </w:r>
    </w:p>
    <w:p>
      <w:pPr>
        <w:spacing w:after="0" w:line="133" w:lineRule="exact"/>
        <w:rPr>
          <w:sz w:val="20"/>
          <w:szCs w:val="20"/>
          <w:color w:val="auto"/>
        </w:rPr>
      </w:pPr>
    </w:p>
    <w:p>
      <w:pPr>
        <w:ind w:left="200" w:right="80"/>
        <w:spacing w:after="0" w:line="260" w:lineRule="auto"/>
        <w:rPr>
          <w:sz w:val="20"/>
          <w:szCs w:val="20"/>
          <w:color w:val="auto"/>
        </w:rPr>
      </w:pPr>
      <w:r>
        <w:rPr>
          <w:rFonts w:ascii="Arial" w:cs="Arial" w:eastAsia="Arial" w:hAnsi="Arial"/>
          <w:sz w:val="16"/>
          <w:szCs w:val="16"/>
          <w:color w:val="auto"/>
        </w:rPr>
        <w:t>Under our Executive Relocation Policy, we will, in certain circumstances, provide relocation benefits when employees first join us.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1A6DBB"/>
        </w:rPr>
        <w:t>Post-Termination Compensation and Benefits</w:t>
      </w:r>
    </w:p>
    <w:p>
      <w:pPr>
        <w:spacing w:after="0" w:line="128" w:lineRule="exact"/>
        <w:rPr>
          <w:sz w:val="20"/>
          <w:szCs w:val="20"/>
          <w:color w:val="auto"/>
        </w:rPr>
      </w:pPr>
    </w:p>
    <w:p>
      <w:pPr>
        <w:ind w:left="200" w:right="140"/>
        <w:spacing w:after="0" w:line="260" w:lineRule="auto"/>
        <w:rPr>
          <w:sz w:val="20"/>
          <w:szCs w:val="20"/>
          <w:color w:val="auto"/>
        </w:rPr>
      </w:pPr>
      <w:r>
        <w:rPr>
          <w:rFonts w:ascii="Arial" w:cs="Arial" w:eastAsia="Arial" w:hAnsi="Arial"/>
          <w:sz w:val="16"/>
          <w:szCs w:val="16"/>
          <w:color w:val="auto"/>
        </w:rPr>
        <w:t>We provide severance benefits to all of our executive officers if they are terminated without cause or in certain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165735</wp:posOffset>
            </wp:positionV>
            <wp:extent cx="685800" cy="15430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circumstances. The terms of these arrangements and the amounts payable under them are described below for each NEO under the heading “Potential Payments Upon Termination or Change in Control.” We provide these benefits because we believe that severance protection is necessary to help our executives maintain their focus on the best interests of the Company when providing advice to the Company and when making strategic decisions about a potential corporate transaction or change in control, and further encourages effective leadership in the closing and integration of significant transactions affecting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1A6DBB"/>
        </w:rPr>
        <w:t>Stock Ownership Guidelines</w:t>
      </w:r>
    </w:p>
    <w:p>
      <w:pPr>
        <w:spacing w:after="0" w:line="128" w:lineRule="exact"/>
        <w:rPr>
          <w:sz w:val="20"/>
          <w:szCs w:val="20"/>
          <w:color w:val="auto"/>
        </w:rPr>
      </w:pPr>
    </w:p>
    <w:p>
      <w:pPr>
        <w:ind w:right="360"/>
        <w:spacing w:after="0" w:line="251" w:lineRule="auto"/>
        <w:rPr>
          <w:sz w:val="20"/>
          <w:szCs w:val="20"/>
          <w:color w:val="auto"/>
        </w:rPr>
      </w:pPr>
      <w:r>
        <w:rPr>
          <w:rFonts w:ascii="Arial" w:cs="Arial" w:eastAsia="Arial" w:hAnsi="Arial"/>
          <w:sz w:val="16"/>
          <w:szCs w:val="16"/>
          <w:color w:val="auto"/>
        </w:rPr>
        <w:t>We maintain stock ownership guidelines for our executive officers to strengthen and reinforce the link our compensation programs create between our executives and our stockholders. A summary of our stock ownership guidelines is set forth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60" w:type="dxa"/>
            <w:vAlign w:val="bottom"/>
            <w:shd w:val="clear" w:color="auto" w:fill="1A6DBB"/>
          </w:tcPr>
          <w:p>
            <w:pPr>
              <w:spacing w:after="0"/>
              <w:rPr>
                <w:sz w:val="15"/>
                <w:szCs w:val="15"/>
                <w:color w:val="auto"/>
              </w:rPr>
            </w:pPr>
          </w:p>
        </w:tc>
        <w:tc>
          <w:tcPr>
            <w:tcW w:w="1740" w:type="dxa"/>
            <w:vAlign w:val="bottom"/>
            <w:shd w:val="clear" w:color="auto" w:fill="1A6DBB"/>
          </w:tcPr>
          <w:p>
            <w:pPr>
              <w:jc w:val="center"/>
              <w:ind w:left="183"/>
              <w:spacing w:after="0"/>
              <w:rPr>
                <w:sz w:val="20"/>
                <w:szCs w:val="20"/>
                <w:color w:val="auto"/>
              </w:rPr>
            </w:pPr>
            <w:r>
              <w:rPr>
                <w:rFonts w:ascii="Arial" w:cs="Arial" w:eastAsia="Arial" w:hAnsi="Arial"/>
                <w:sz w:val="14"/>
                <w:szCs w:val="14"/>
                <w:color w:val="FFFFFF"/>
              </w:rPr>
              <w:t>Number of Shares</w:t>
            </w:r>
          </w:p>
        </w:tc>
      </w:tr>
      <w:tr>
        <w:trPr>
          <w:trHeight w:val="171"/>
        </w:trPr>
        <w:tc>
          <w:tcPr>
            <w:tcW w:w="3660" w:type="dxa"/>
            <w:vAlign w:val="bottom"/>
            <w:shd w:val="clear" w:color="auto" w:fill="1A6DBB"/>
          </w:tcPr>
          <w:p>
            <w:pPr>
              <w:ind w:left="80"/>
              <w:spacing w:after="0"/>
              <w:rPr>
                <w:sz w:val="20"/>
                <w:szCs w:val="20"/>
                <w:color w:val="auto"/>
              </w:rPr>
            </w:pPr>
            <w:r>
              <w:rPr>
                <w:rFonts w:ascii="Arial" w:cs="Arial" w:eastAsia="Arial" w:hAnsi="Arial"/>
                <w:sz w:val="14"/>
                <w:szCs w:val="14"/>
                <w:color w:val="FFFFFF"/>
              </w:rPr>
              <w:t>Level</w:t>
            </w:r>
          </w:p>
        </w:tc>
        <w:tc>
          <w:tcPr>
            <w:tcW w:w="1740" w:type="dxa"/>
            <w:vAlign w:val="bottom"/>
            <w:shd w:val="clear" w:color="auto" w:fill="1A6DBB"/>
          </w:tcPr>
          <w:p>
            <w:pPr>
              <w:jc w:val="center"/>
              <w:ind w:left="183"/>
              <w:spacing w:after="0"/>
              <w:rPr>
                <w:sz w:val="20"/>
                <w:szCs w:val="20"/>
                <w:color w:val="auto"/>
              </w:rPr>
            </w:pPr>
            <w:r>
              <w:rPr>
                <w:rFonts w:ascii="Arial" w:cs="Arial" w:eastAsia="Arial" w:hAnsi="Arial"/>
                <w:sz w:val="14"/>
                <w:szCs w:val="14"/>
                <w:color w:val="FFFFFF"/>
              </w:rPr>
              <w:t>Equal in Value to:</w:t>
            </w:r>
          </w:p>
        </w:tc>
      </w:tr>
      <w:tr>
        <w:trPr>
          <w:trHeight w:val="237"/>
        </w:trPr>
        <w:tc>
          <w:tcPr>
            <w:tcW w:w="3660" w:type="dxa"/>
            <w:vAlign w:val="bottom"/>
            <w:tcBorders>
              <w:bottom w:val="single" w:sz="8" w:color="E8F0F8"/>
            </w:tcBorders>
            <w:shd w:val="clear" w:color="auto" w:fill="E8F0F8"/>
          </w:tcPr>
          <w:p>
            <w:pPr>
              <w:ind w:left="100"/>
              <w:spacing w:after="0"/>
              <w:rPr>
                <w:sz w:val="20"/>
                <w:szCs w:val="20"/>
                <w:color w:val="auto"/>
              </w:rPr>
            </w:pPr>
            <w:r>
              <w:rPr>
                <w:rFonts w:ascii="Arial" w:cs="Arial" w:eastAsia="Arial" w:hAnsi="Arial"/>
                <w:sz w:val="16"/>
                <w:szCs w:val="16"/>
                <w:color w:val="auto"/>
              </w:rPr>
              <w:t>CEO</w:t>
            </w:r>
          </w:p>
        </w:tc>
        <w:tc>
          <w:tcPr>
            <w:tcW w:w="1740" w:type="dxa"/>
            <w:vAlign w:val="bottom"/>
            <w:tcBorders>
              <w:bottom w:val="single" w:sz="8" w:color="E8F0F8"/>
            </w:tcBorders>
            <w:shd w:val="clear" w:color="auto" w:fill="E8F0F8"/>
          </w:tcPr>
          <w:p>
            <w:pPr>
              <w:jc w:val="center"/>
              <w:ind w:left="183"/>
              <w:spacing w:after="0"/>
              <w:rPr>
                <w:sz w:val="20"/>
                <w:szCs w:val="20"/>
                <w:color w:val="auto"/>
              </w:rPr>
            </w:pPr>
            <w:r>
              <w:rPr>
                <w:rFonts w:ascii="Arial" w:cs="Arial" w:eastAsia="Arial" w:hAnsi="Arial"/>
                <w:sz w:val="16"/>
                <w:szCs w:val="16"/>
                <w:color w:val="auto"/>
              </w:rPr>
              <w:t>6x base salary</w:t>
            </w:r>
          </w:p>
        </w:tc>
      </w:tr>
      <w:tr>
        <w:trPr>
          <w:trHeight w:val="216"/>
        </w:trPr>
        <w:tc>
          <w:tcPr>
            <w:tcW w:w="3660" w:type="dxa"/>
            <w:vAlign w:val="bottom"/>
            <w:tcBorders>
              <w:bottom w:val="single" w:sz="8" w:color="auto"/>
            </w:tcBorders>
            <w:shd w:val="clear" w:color="auto" w:fill="BAD3EA"/>
          </w:tcPr>
          <w:p>
            <w:pPr>
              <w:ind w:left="100"/>
              <w:spacing w:after="0"/>
              <w:rPr>
                <w:sz w:val="20"/>
                <w:szCs w:val="20"/>
                <w:color w:val="auto"/>
              </w:rPr>
            </w:pPr>
            <w:r>
              <w:rPr>
                <w:rFonts w:ascii="Arial" w:cs="Arial" w:eastAsia="Arial" w:hAnsi="Arial"/>
                <w:sz w:val="16"/>
                <w:szCs w:val="16"/>
                <w:color w:val="auto"/>
              </w:rPr>
              <w:t>Executive Vice Presidents</w:t>
            </w:r>
          </w:p>
        </w:tc>
        <w:tc>
          <w:tcPr>
            <w:tcW w:w="1740" w:type="dxa"/>
            <w:vAlign w:val="bottom"/>
            <w:tcBorders>
              <w:bottom w:val="single" w:sz="8" w:color="auto"/>
            </w:tcBorders>
            <w:shd w:val="clear" w:color="auto" w:fill="BAD3EA"/>
          </w:tcPr>
          <w:p>
            <w:pPr>
              <w:jc w:val="center"/>
              <w:ind w:left="183"/>
              <w:spacing w:after="0"/>
              <w:rPr>
                <w:sz w:val="20"/>
                <w:szCs w:val="20"/>
                <w:color w:val="auto"/>
              </w:rPr>
            </w:pPr>
            <w:r>
              <w:rPr>
                <w:rFonts w:ascii="Arial" w:cs="Arial" w:eastAsia="Arial" w:hAnsi="Arial"/>
                <w:sz w:val="16"/>
                <w:szCs w:val="16"/>
                <w:color w:val="auto"/>
              </w:rPr>
              <w:t>3x base salary</w:t>
            </w:r>
          </w:p>
        </w:tc>
      </w:tr>
      <w:tr>
        <w:trPr>
          <w:trHeight w:val="21"/>
        </w:trPr>
        <w:tc>
          <w:tcPr>
            <w:tcW w:w="3660" w:type="dxa"/>
            <w:vAlign w:val="bottom"/>
            <w:shd w:val="clear" w:color="auto" w:fill="BAD3EA"/>
          </w:tcPr>
          <w:p>
            <w:pPr>
              <w:spacing w:after="0" w:line="20" w:lineRule="exact"/>
              <w:rPr>
                <w:sz w:val="1"/>
                <w:szCs w:val="1"/>
                <w:color w:val="auto"/>
              </w:rPr>
            </w:pPr>
          </w:p>
        </w:tc>
        <w:tc>
          <w:tcPr>
            <w:tcW w:w="1740" w:type="dxa"/>
            <w:vAlign w:val="bottom"/>
            <w:shd w:val="clear" w:color="auto" w:fill="BAD3EA"/>
          </w:tcPr>
          <w:p>
            <w:pPr>
              <w:spacing w:after="0" w:line="20" w:lineRule="exact"/>
              <w:rPr>
                <w:sz w:val="1"/>
                <w:szCs w:val="1"/>
                <w:color w:val="auto"/>
              </w:rPr>
            </w:pPr>
          </w:p>
        </w:tc>
      </w:tr>
    </w:tbl>
    <w:p>
      <w:pPr>
        <w:spacing w:after="0" w:line="110"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Executive officers have five years from their initial appointment to meet the requirement. In the event the requirement is not met within that time, 100% of vested shares received in respect of LTI awards are required to be held until the requirement is satisfied. Only stock owned outright or otherwise vested or earned performance-based shares is credited toward the stock ownership requirement. Shares underlying unvested or unearned performance-based shares are not included in the calculation. All of our executive officers currently meet the stock ownership requirement or are still within the five-year period to meet such requirement.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1A6DBB"/>
        </w:rPr>
        <w:t>Recoupment of Compensation</w:t>
      </w:r>
    </w:p>
    <w:p>
      <w:pPr>
        <w:spacing w:after="0" w:line="128"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We may recover compensation from our employees, including our executive officers, who engage in detrimental or competitive activity. Detrimental activity includes any action or failure to act that constitutes financial malfeasance that is materially injurious to the Company, violates our Code of Conduct (Values in Action), results in a restatement of our earnings or financial results or results in a violation or breach of law or contract. Competitive activity includes any action or failure to act that violates non-disclosure, non-competition and/or non-solicitation agreements. Our 2008 Performance-Based Management Incentive Plan</w:t>
      </w:r>
    </w:p>
    <w:p>
      <w:pPr>
        <w:spacing w:after="0" w:line="319" w:lineRule="exact"/>
        <w:rPr>
          <w:sz w:val="20"/>
          <w:szCs w:val="20"/>
          <w:color w:val="auto"/>
        </w:rPr>
      </w:pPr>
    </w:p>
    <w:p>
      <w:pPr>
        <w:sectPr>
          <w:pgSz w:w="11900" w:h="16838" w:orient="portrait"/>
          <w:cols w:equalWidth="0" w:num="2">
            <w:col w:w="5460" w:space="360"/>
            <w:col w:w="5400"/>
          </w:cols>
          <w:pgMar w:left="240" w:top="459" w:right="439" w:bottom="1440" w:gutter="0" w:footer="0" w:header="0"/>
          <w:type w:val="continuous"/>
        </w:sectPr>
      </w:pPr>
    </w:p>
    <w:p>
      <w:pPr>
        <w:spacing w:after="0" w:line="104"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-62865</wp:posOffset>
            </wp:positionV>
            <wp:extent cx="102870" cy="946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ind w:left="460"/>
        <w:spacing w:after="0" w:line="180" w:lineRule="auto"/>
        <w:rPr>
          <w:sz w:val="20"/>
          <w:szCs w:val="20"/>
          <w:color w:val="auto"/>
        </w:rPr>
      </w:pPr>
      <w:r>
        <w:rPr>
          <w:rFonts w:ascii="Arial" w:cs="Arial" w:eastAsia="Arial" w:hAnsi="Arial"/>
          <w:sz w:val="172"/>
          <w:szCs w:val="172"/>
          <w:color w:val="1A6DBB"/>
          <w:vertAlign w:val="subscript"/>
        </w:rPr>
        <w:t>5</w:t>
      </w:r>
      <w:r>
        <w:rPr>
          <w:rFonts w:ascii="Arial" w:cs="Arial" w:eastAsia="Arial" w:hAnsi="Arial"/>
          <w:sz w:val="40"/>
          <w:szCs w:val="40"/>
          <w:color w:val="1A6DBB"/>
        </w:rPr>
        <w:t xml:space="preserve"> Executive Compensation Matters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-718185</wp:posOffset>
            </wp:positionV>
            <wp:extent cx="6997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-23495</wp:posOffset>
            </wp:positionV>
            <wp:extent cx="6997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6" w:lineRule="exact"/>
        <w:rPr>
          <w:sz w:val="20"/>
          <w:szCs w:val="20"/>
          <w:color w:val="auto"/>
        </w:rPr>
      </w:pPr>
    </w:p>
    <w:p>
      <w:pPr>
        <w:ind w:left="220"/>
        <w:spacing w:after="0" w:line="248" w:lineRule="auto"/>
        <w:rPr>
          <w:sz w:val="20"/>
          <w:szCs w:val="20"/>
          <w:color w:val="auto"/>
        </w:rPr>
      </w:pPr>
      <w:r>
        <w:rPr>
          <w:rFonts w:ascii="Arial" w:cs="Arial" w:eastAsia="Arial" w:hAnsi="Arial"/>
          <w:sz w:val="16"/>
          <w:szCs w:val="16"/>
          <w:color w:val="auto"/>
        </w:rPr>
        <w:t>allows for the forfeiture and/or repayment of cash-based awards and our 2008 Omnibus Equity Plan and our 2017 Omnibus Equity Plan each allow for the cancellation of LTI awards in these circumstances as well as the forfeiture of stock or cash acquired upon vesting or sale of LTI awards. In addition, cash sign-on bonuses paid to our NEOs may be subject to repayment if the NEO voluntarily resigns from the Company or if his or her employment is terminated by the Company in certain circumstances.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1A6DBB"/>
        </w:rPr>
        <w:t>Insider Trading, Hedging and Pledging Policy Prohibitions</w:t>
      </w:r>
    </w:p>
    <w:p>
      <w:pPr>
        <w:spacing w:after="0" w:line="128" w:lineRule="exact"/>
        <w:rPr>
          <w:sz w:val="20"/>
          <w:szCs w:val="20"/>
          <w:color w:val="auto"/>
        </w:rPr>
      </w:pPr>
    </w:p>
    <w:p>
      <w:pPr>
        <w:ind w:left="220"/>
        <w:spacing w:after="0" w:line="249" w:lineRule="auto"/>
        <w:rPr>
          <w:sz w:val="20"/>
          <w:szCs w:val="20"/>
          <w:color w:val="auto"/>
        </w:rPr>
      </w:pPr>
      <w:r>
        <w:rPr>
          <w:rFonts w:ascii="Arial" w:cs="Arial" w:eastAsia="Arial" w:hAnsi="Arial"/>
          <w:sz w:val="16"/>
          <w:szCs w:val="16"/>
          <w:color w:val="auto"/>
        </w:rPr>
        <w:t>We maintain a Global Insider Trading and Information Policy that prohibits our employees and directors from, among other things, engaging in hedging or derivative transactions with respect to the Company’s equity securities, purchasing Company stock on margin, pledging Company securities as collateral for a loan or engaging in short sales of the Company’s securities.</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1A6DBB"/>
        </w:rPr>
        <w:t>Tax-Deductibility of Compensation</w:t>
      </w:r>
    </w:p>
    <w:p>
      <w:pPr>
        <w:spacing w:after="0" w:line="128" w:lineRule="exact"/>
        <w:rPr>
          <w:sz w:val="20"/>
          <w:szCs w:val="20"/>
          <w:color w:val="auto"/>
        </w:rPr>
      </w:pPr>
    </w:p>
    <w:p>
      <w:pPr>
        <w:ind w:left="220" w:right="60"/>
        <w:spacing w:after="0" w:line="250" w:lineRule="auto"/>
        <w:rPr>
          <w:sz w:val="20"/>
          <w:szCs w:val="20"/>
          <w:color w:val="auto"/>
        </w:rPr>
      </w:pPr>
      <w:r>
        <w:rPr>
          <w:rFonts w:ascii="Arial" w:cs="Arial" w:eastAsia="Arial" w:hAnsi="Arial"/>
          <w:sz w:val="16"/>
          <w:szCs w:val="16"/>
          <w:color w:val="auto"/>
        </w:rPr>
        <w:t>Section 162(m) of the Internal Revenue Code generally limits the amount a company may deduct for compensation in excess of $1 million paid to certain “covered employees,” subject to certain transition relief applicable to certain arrangements in place as of November 2, 2017, and not materially modified after such date.</w:t>
      </w:r>
    </w:p>
    <w:p>
      <w:pPr>
        <w:spacing w:after="0" w:line="95" w:lineRule="exact"/>
        <w:rPr>
          <w:sz w:val="20"/>
          <w:szCs w:val="20"/>
          <w:color w:val="auto"/>
        </w:rPr>
      </w:pPr>
    </w:p>
    <w:p>
      <w:pPr>
        <w:ind w:left="220" w:right="160"/>
        <w:spacing w:after="0" w:line="253" w:lineRule="auto"/>
        <w:rPr>
          <w:sz w:val="20"/>
          <w:szCs w:val="20"/>
          <w:color w:val="auto"/>
        </w:rPr>
      </w:pPr>
      <w:r>
        <w:rPr>
          <w:rFonts w:ascii="Arial" w:cs="Arial" w:eastAsia="Arial" w:hAnsi="Arial"/>
          <w:sz w:val="16"/>
          <w:szCs w:val="16"/>
          <w:color w:val="auto"/>
        </w:rPr>
        <w:t>Our C&amp;MD Committee regularly reviews the provisions of our plans and programs, works with its independent compensation consultant and reviews and considers,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212725</wp:posOffset>
            </wp:positionV>
            <wp:extent cx="685800" cy="15430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among other things, the tax deductibility of compensation payments. Our C&amp;MD Committee, however, believes that compensation programs that attract, retain and reward executive talent and achievement are necessary for our success and, therefore, are in the best interests of the Company and our stockholders and that, in establishing the cash and equity incentive compensation programs for the Company’s executive officers, the potential deductibility of the compensation payable under such programs should only be one of a number of relevant factors taken into consideration. Consequently, our C&amp;MD Committee may pay or provide, and has paid or provided, compensation that is not tax deductible in whole or in part.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1A6DBB"/>
        </w:rPr>
        <w:t>Compensation Committee Report</w:t>
      </w:r>
    </w:p>
    <w:p>
      <w:pPr>
        <w:spacing w:after="0" w:line="128"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 Compensation and Management Development Committee furnishes the following report:</w:t>
      </w:r>
    </w:p>
    <w:p>
      <w:pPr>
        <w:spacing w:after="0" w:line="88"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The Compensation and Management Development Committee has reviewed and discussed the Compensation Discussion and Analysis with Biogen management. Based on this review and discussion, the Compensation and Management Development Committee recommended to the Board of Directors that the Compensation Discussion and Analysis be included in this Proxy Statement.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Submitted by,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Robert W. Pangia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Richard C. Mulligan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Eric K. Rowinsky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Lynn Schenk</w:t>
      </w:r>
    </w:p>
    <w:p>
      <w:pPr>
        <w:spacing w:after="0" w:line="200"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130"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-62865</wp:posOffset>
            </wp:positionV>
            <wp:extent cx="102870" cy="9461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123"/>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1A6DBB"/>
        </w:rPr>
        <w:t>Summary Compensation Table</w:t>
      </w:r>
    </w:p>
    <w:p>
      <w:pPr>
        <w:spacing w:after="0" w:line="128" w:lineRule="exact"/>
        <w:rPr>
          <w:sz w:val="20"/>
          <w:szCs w:val="20"/>
          <w:color w:val="auto"/>
        </w:rPr>
      </w:pPr>
    </w:p>
    <w:p>
      <w:pPr>
        <w:ind w:left="200" w:right="560"/>
        <w:spacing w:after="0" w:line="260" w:lineRule="auto"/>
        <w:rPr>
          <w:sz w:val="20"/>
          <w:szCs w:val="20"/>
          <w:color w:val="auto"/>
        </w:rPr>
      </w:pPr>
      <w:r>
        <w:rPr>
          <w:rFonts w:ascii="Arial" w:cs="Arial" w:eastAsia="Arial" w:hAnsi="Arial"/>
          <w:sz w:val="16"/>
          <w:szCs w:val="16"/>
          <w:color w:val="auto"/>
        </w:rPr>
        <w:t>The following table shows the compensation paid to or earned by our NEOs during the years ended December 31, 2018, December 31, 2017, and December 31, 2016, for the year(s) in which they were a named executive officer.</w:t>
      </w:r>
    </w:p>
    <w:p>
      <w:pPr>
        <w:spacing w:after="0" w:line="221" w:lineRule="exact"/>
        <w:rPr>
          <w:sz w:val="20"/>
          <w:szCs w:val="20"/>
          <w:color w:val="auto"/>
        </w:rPr>
      </w:pPr>
    </w:p>
    <w:tbl>
      <w:tblPr>
        <w:tblLayout w:type="fixed"/>
        <w:tblInd w:w="220" w:type="dxa"/>
        <w:tblCellMar>
          <w:top w:w="0" w:type="dxa"/>
          <w:left w:w="0" w:type="dxa"/>
          <w:bottom w:w="0" w:type="dxa"/>
          <w:right w:w="0" w:type="dxa"/>
        </w:tblCellMar>
      </w:tblPr>
      <w:tr>
        <w:trPr>
          <w:trHeight w:val="180"/>
        </w:trPr>
        <w:tc>
          <w:tcPr>
            <w:tcW w:w="2620" w:type="dxa"/>
            <w:vAlign w:val="bottom"/>
            <w:shd w:val="clear" w:color="auto" w:fill="1A6DBB"/>
          </w:tcPr>
          <w:p>
            <w:pPr>
              <w:spacing w:after="0"/>
              <w:rPr>
                <w:sz w:val="15"/>
                <w:szCs w:val="15"/>
                <w:color w:val="auto"/>
              </w:rPr>
            </w:pPr>
          </w:p>
        </w:tc>
        <w:tc>
          <w:tcPr>
            <w:tcW w:w="700" w:type="dxa"/>
            <w:vAlign w:val="bottom"/>
            <w:shd w:val="clear" w:color="auto" w:fill="1A6DBB"/>
          </w:tcPr>
          <w:p>
            <w:pPr>
              <w:spacing w:after="0"/>
              <w:rPr>
                <w:sz w:val="15"/>
                <w:szCs w:val="15"/>
                <w:color w:val="auto"/>
              </w:rPr>
            </w:pPr>
          </w:p>
        </w:tc>
        <w:tc>
          <w:tcPr>
            <w:tcW w:w="260" w:type="dxa"/>
            <w:vAlign w:val="bottom"/>
            <w:shd w:val="clear" w:color="auto" w:fill="1A6DBB"/>
          </w:tcPr>
          <w:p>
            <w:pPr>
              <w:spacing w:after="0"/>
              <w:rPr>
                <w:sz w:val="15"/>
                <w:szCs w:val="15"/>
                <w:color w:val="auto"/>
              </w:rPr>
            </w:pPr>
          </w:p>
        </w:tc>
        <w:tc>
          <w:tcPr>
            <w:tcW w:w="820" w:type="dxa"/>
            <w:vAlign w:val="bottom"/>
            <w:shd w:val="clear" w:color="auto" w:fill="1A6DBB"/>
          </w:tcPr>
          <w:p>
            <w:pPr>
              <w:spacing w:after="0"/>
              <w:rPr>
                <w:sz w:val="15"/>
                <w:szCs w:val="15"/>
                <w:color w:val="auto"/>
              </w:rPr>
            </w:pPr>
          </w:p>
        </w:tc>
        <w:tc>
          <w:tcPr>
            <w:tcW w:w="260" w:type="dxa"/>
            <w:vAlign w:val="bottom"/>
            <w:shd w:val="clear" w:color="auto" w:fill="1A6DBB"/>
          </w:tcPr>
          <w:p>
            <w:pPr>
              <w:spacing w:after="0"/>
              <w:rPr>
                <w:sz w:val="15"/>
                <w:szCs w:val="15"/>
                <w:color w:val="auto"/>
              </w:rPr>
            </w:pPr>
          </w:p>
        </w:tc>
        <w:tc>
          <w:tcPr>
            <w:tcW w:w="820" w:type="dxa"/>
            <w:vAlign w:val="bottom"/>
            <w:shd w:val="clear" w:color="auto" w:fill="1A6DBB"/>
          </w:tcPr>
          <w:p>
            <w:pPr>
              <w:spacing w:after="0"/>
              <w:rPr>
                <w:sz w:val="15"/>
                <w:szCs w:val="15"/>
                <w:color w:val="auto"/>
              </w:rPr>
            </w:pPr>
          </w:p>
        </w:tc>
        <w:tc>
          <w:tcPr>
            <w:tcW w:w="260" w:type="dxa"/>
            <w:vAlign w:val="bottom"/>
            <w:shd w:val="clear" w:color="auto" w:fill="1A6DBB"/>
          </w:tcPr>
          <w:p>
            <w:pPr>
              <w:spacing w:after="0"/>
              <w:rPr>
                <w:sz w:val="15"/>
                <w:szCs w:val="15"/>
                <w:color w:val="auto"/>
              </w:rPr>
            </w:pPr>
          </w:p>
        </w:tc>
        <w:tc>
          <w:tcPr>
            <w:tcW w:w="820" w:type="dxa"/>
            <w:vAlign w:val="bottom"/>
            <w:shd w:val="clear" w:color="auto" w:fill="1A6DBB"/>
          </w:tcPr>
          <w:p>
            <w:pPr>
              <w:spacing w:after="0"/>
              <w:rPr>
                <w:sz w:val="15"/>
                <w:szCs w:val="15"/>
                <w:color w:val="auto"/>
              </w:rPr>
            </w:pPr>
          </w:p>
        </w:tc>
        <w:tc>
          <w:tcPr>
            <w:tcW w:w="440" w:type="dxa"/>
            <w:vAlign w:val="bottom"/>
            <w:shd w:val="clear" w:color="auto" w:fill="1A6DBB"/>
          </w:tcPr>
          <w:p>
            <w:pPr>
              <w:spacing w:after="0"/>
              <w:rPr>
                <w:sz w:val="15"/>
                <w:szCs w:val="15"/>
                <w:color w:val="auto"/>
              </w:rPr>
            </w:pPr>
          </w:p>
        </w:tc>
        <w:tc>
          <w:tcPr>
            <w:tcW w:w="760" w:type="dxa"/>
            <w:vAlign w:val="bottom"/>
            <w:shd w:val="clear" w:color="auto" w:fill="1A6DBB"/>
          </w:tcPr>
          <w:p>
            <w:pPr>
              <w:spacing w:after="0"/>
              <w:rPr>
                <w:sz w:val="15"/>
                <w:szCs w:val="15"/>
                <w:color w:val="auto"/>
              </w:rPr>
            </w:pPr>
          </w:p>
        </w:tc>
        <w:tc>
          <w:tcPr>
            <w:tcW w:w="980" w:type="dxa"/>
            <w:vAlign w:val="bottom"/>
            <w:gridSpan w:val="2"/>
            <w:shd w:val="clear" w:color="auto" w:fill="1A6DBB"/>
          </w:tcPr>
          <w:p>
            <w:pPr>
              <w:jc w:val="center"/>
              <w:spacing w:after="0"/>
              <w:rPr>
                <w:sz w:val="20"/>
                <w:szCs w:val="20"/>
                <w:color w:val="auto"/>
              </w:rPr>
            </w:pPr>
            <w:r>
              <w:rPr>
                <w:rFonts w:ascii="Arial" w:cs="Arial" w:eastAsia="Arial" w:hAnsi="Arial"/>
                <w:sz w:val="14"/>
                <w:szCs w:val="14"/>
                <w:color w:val="FFFFFF"/>
              </w:rPr>
              <w:t>Change in</w:t>
            </w:r>
          </w:p>
        </w:tc>
        <w:tc>
          <w:tcPr>
            <w:tcW w:w="440" w:type="dxa"/>
            <w:vAlign w:val="bottom"/>
            <w:shd w:val="clear" w:color="auto" w:fill="1A6DBB"/>
          </w:tcPr>
          <w:p>
            <w:pPr>
              <w:spacing w:after="0"/>
              <w:rPr>
                <w:sz w:val="15"/>
                <w:szCs w:val="15"/>
                <w:color w:val="auto"/>
              </w:rPr>
            </w:pPr>
          </w:p>
        </w:tc>
        <w:tc>
          <w:tcPr>
            <w:tcW w:w="740" w:type="dxa"/>
            <w:vAlign w:val="bottom"/>
            <w:shd w:val="clear" w:color="auto" w:fill="1A6DBB"/>
          </w:tcPr>
          <w:p>
            <w:pPr>
              <w:spacing w:after="0"/>
              <w:rPr>
                <w:sz w:val="15"/>
                <w:szCs w:val="15"/>
                <w:color w:val="auto"/>
              </w:rPr>
            </w:pPr>
          </w:p>
        </w:tc>
        <w:tc>
          <w:tcPr>
            <w:tcW w:w="180" w:type="dxa"/>
            <w:vAlign w:val="bottom"/>
            <w:shd w:val="clear" w:color="auto" w:fill="1A6DBB"/>
          </w:tcPr>
          <w:p>
            <w:pPr>
              <w:spacing w:after="0"/>
              <w:rPr>
                <w:sz w:val="15"/>
                <w:szCs w:val="15"/>
                <w:color w:val="auto"/>
              </w:rPr>
            </w:pPr>
          </w:p>
        </w:tc>
        <w:tc>
          <w:tcPr>
            <w:tcW w:w="920" w:type="dxa"/>
            <w:vAlign w:val="bottom"/>
            <w:shd w:val="clear" w:color="auto" w:fill="1A6DBB"/>
          </w:tcPr>
          <w:p>
            <w:pPr>
              <w:spacing w:after="0"/>
              <w:rPr>
                <w:sz w:val="15"/>
                <w:szCs w:val="15"/>
                <w:color w:val="auto"/>
              </w:rPr>
            </w:pPr>
          </w:p>
        </w:tc>
      </w:tr>
      <w:tr>
        <w:trPr>
          <w:trHeight w:val="162"/>
        </w:trPr>
        <w:tc>
          <w:tcPr>
            <w:tcW w:w="2620" w:type="dxa"/>
            <w:vAlign w:val="bottom"/>
            <w:shd w:val="clear" w:color="auto" w:fill="1A6DBB"/>
          </w:tcPr>
          <w:p>
            <w:pPr>
              <w:spacing w:after="0"/>
              <w:rPr>
                <w:sz w:val="14"/>
                <w:szCs w:val="14"/>
                <w:color w:val="auto"/>
              </w:rPr>
            </w:pPr>
          </w:p>
        </w:tc>
        <w:tc>
          <w:tcPr>
            <w:tcW w:w="700" w:type="dxa"/>
            <w:vAlign w:val="bottom"/>
            <w:shd w:val="clear" w:color="auto" w:fill="1A6DBB"/>
          </w:tcPr>
          <w:p>
            <w:pPr>
              <w:spacing w:after="0"/>
              <w:rPr>
                <w:sz w:val="14"/>
                <w:szCs w:val="14"/>
                <w:color w:val="auto"/>
              </w:rPr>
            </w:pPr>
          </w:p>
        </w:tc>
        <w:tc>
          <w:tcPr>
            <w:tcW w:w="260" w:type="dxa"/>
            <w:vAlign w:val="bottom"/>
            <w:shd w:val="clear" w:color="auto" w:fill="1A6DBB"/>
          </w:tcPr>
          <w:p>
            <w:pPr>
              <w:spacing w:after="0"/>
              <w:rPr>
                <w:sz w:val="14"/>
                <w:szCs w:val="14"/>
                <w:color w:val="auto"/>
              </w:rPr>
            </w:pPr>
          </w:p>
        </w:tc>
        <w:tc>
          <w:tcPr>
            <w:tcW w:w="820" w:type="dxa"/>
            <w:vAlign w:val="bottom"/>
            <w:shd w:val="clear" w:color="auto" w:fill="1A6DBB"/>
          </w:tcPr>
          <w:p>
            <w:pPr>
              <w:spacing w:after="0"/>
              <w:rPr>
                <w:sz w:val="14"/>
                <w:szCs w:val="14"/>
                <w:color w:val="auto"/>
              </w:rPr>
            </w:pPr>
          </w:p>
        </w:tc>
        <w:tc>
          <w:tcPr>
            <w:tcW w:w="260" w:type="dxa"/>
            <w:vAlign w:val="bottom"/>
            <w:shd w:val="clear" w:color="auto" w:fill="1A6DBB"/>
          </w:tcPr>
          <w:p>
            <w:pPr>
              <w:spacing w:after="0"/>
              <w:rPr>
                <w:sz w:val="14"/>
                <w:szCs w:val="14"/>
                <w:color w:val="auto"/>
              </w:rPr>
            </w:pPr>
          </w:p>
        </w:tc>
        <w:tc>
          <w:tcPr>
            <w:tcW w:w="820" w:type="dxa"/>
            <w:vAlign w:val="bottom"/>
            <w:shd w:val="clear" w:color="auto" w:fill="1A6DBB"/>
          </w:tcPr>
          <w:p>
            <w:pPr>
              <w:spacing w:after="0"/>
              <w:rPr>
                <w:sz w:val="14"/>
                <w:szCs w:val="14"/>
                <w:color w:val="auto"/>
              </w:rPr>
            </w:pPr>
          </w:p>
        </w:tc>
        <w:tc>
          <w:tcPr>
            <w:tcW w:w="260" w:type="dxa"/>
            <w:vAlign w:val="bottom"/>
            <w:shd w:val="clear" w:color="auto" w:fill="1A6DBB"/>
          </w:tcPr>
          <w:p>
            <w:pPr>
              <w:spacing w:after="0"/>
              <w:rPr>
                <w:sz w:val="14"/>
                <w:szCs w:val="14"/>
                <w:color w:val="auto"/>
              </w:rPr>
            </w:pPr>
          </w:p>
        </w:tc>
        <w:tc>
          <w:tcPr>
            <w:tcW w:w="820" w:type="dxa"/>
            <w:vAlign w:val="bottom"/>
            <w:shd w:val="clear" w:color="auto" w:fill="1A6DBB"/>
          </w:tcPr>
          <w:p>
            <w:pPr>
              <w:spacing w:after="0"/>
              <w:rPr>
                <w:sz w:val="14"/>
                <w:szCs w:val="14"/>
                <w:color w:val="auto"/>
              </w:rPr>
            </w:pPr>
          </w:p>
        </w:tc>
        <w:tc>
          <w:tcPr>
            <w:tcW w:w="440" w:type="dxa"/>
            <w:vAlign w:val="bottom"/>
            <w:shd w:val="clear" w:color="auto" w:fill="1A6DBB"/>
          </w:tcPr>
          <w:p>
            <w:pPr>
              <w:spacing w:after="0"/>
              <w:rPr>
                <w:sz w:val="14"/>
                <w:szCs w:val="14"/>
                <w:color w:val="auto"/>
              </w:rPr>
            </w:pPr>
          </w:p>
        </w:tc>
        <w:tc>
          <w:tcPr>
            <w:tcW w:w="760" w:type="dxa"/>
            <w:vAlign w:val="bottom"/>
            <w:shd w:val="clear" w:color="auto" w:fill="1A6DBB"/>
          </w:tcPr>
          <w:p>
            <w:pPr>
              <w:spacing w:after="0"/>
              <w:rPr>
                <w:sz w:val="14"/>
                <w:szCs w:val="14"/>
                <w:color w:val="auto"/>
              </w:rPr>
            </w:pPr>
          </w:p>
        </w:tc>
        <w:tc>
          <w:tcPr>
            <w:tcW w:w="980" w:type="dxa"/>
            <w:vAlign w:val="bottom"/>
            <w:gridSpan w:val="2"/>
            <w:shd w:val="clear" w:color="auto" w:fill="1A6DBB"/>
          </w:tcPr>
          <w:p>
            <w:pPr>
              <w:ind w:left="240"/>
              <w:spacing w:after="0"/>
              <w:rPr>
                <w:sz w:val="20"/>
                <w:szCs w:val="20"/>
                <w:color w:val="auto"/>
              </w:rPr>
            </w:pPr>
            <w:r>
              <w:rPr>
                <w:rFonts w:ascii="Arial" w:cs="Arial" w:eastAsia="Arial" w:hAnsi="Arial"/>
                <w:sz w:val="14"/>
                <w:szCs w:val="14"/>
                <w:color w:val="FFFFFF"/>
              </w:rPr>
              <w:t>Pension</w:t>
            </w:r>
          </w:p>
        </w:tc>
        <w:tc>
          <w:tcPr>
            <w:tcW w:w="440" w:type="dxa"/>
            <w:vAlign w:val="bottom"/>
            <w:shd w:val="clear" w:color="auto" w:fill="1A6DBB"/>
          </w:tcPr>
          <w:p>
            <w:pPr>
              <w:spacing w:after="0"/>
              <w:rPr>
                <w:sz w:val="14"/>
                <w:szCs w:val="14"/>
                <w:color w:val="auto"/>
              </w:rPr>
            </w:pPr>
          </w:p>
        </w:tc>
        <w:tc>
          <w:tcPr>
            <w:tcW w:w="740" w:type="dxa"/>
            <w:vAlign w:val="bottom"/>
            <w:shd w:val="clear" w:color="auto" w:fill="1A6DBB"/>
          </w:tcPr>
          <w:p>
            <w:pPr>
              <w:spacing w:after="0"/>
              <w:rPr>
                <w:sz w:val="14"/>
                <w:szCs w:val="14"/>
                <w:color w:val="auto"/>
              </w:rPr>
            </w:pPr>
          </w:p>
        </w:tc>
        <w:tc>
          <w:tcPr>
            <w:tcW w:w="180" w:type="dxa"/>
            <w:vAlign w:val="bottom"/>
            <w:shd w:val="clear" w:color="auto" w:fill="1A6DBB"/>
          </w:tcPr>
          <w:p>
            <w:pPr>
              <w:spacing w:after="0"/>
              <w:rPr>
                <w:sz w:val="14"/>
                <w:szCs w:val="14"/>
                <w:color w:val="auto"/>
              </w:rPr>
            </w:pPr>
          </w:p>
        </w:tc>
        <w:tc>
          <w:tcPr>
            <w:tcW w:w="920" w:type="dxa"/>
            <w:vAlign w:val="bottom"/>
            <w:shd w:val="clear" w:color="auto" w:fill="1A6DBB"/>
          </w:tcPr>
          <w:p>
            <w:pPr>
              <w:spacing w:after="0"/>
              <w:rPr>
                <w:sz w:val="14"/>
                <w:szCs w:val="14"/>
                <w:color w:val="auto"/>
              </w:rPr>
            </w:pPr>
          </w:p>
        </w:tc>
      </w:tr>
      <w:tr>
        <w:trPr>
          <w:trHeight w:val="162"/>
        </w:trPr>
        <w:tc>
          <w:tcPr>
            <w:tcW w:w="2620" w:type="dxa"/>
            <w:vAlign w:val="bottom"/>
            <w:shd w:val="clear" w:color="auto" w:fill="1A6DBB"/>
          </w:tcPr>
          <w:p>
            <w:pPr>
              <w:spacing w:after="0"/>
              <w:rPr>
                <w:sz w:val="14"/>
                <w:szCs w:val="14"/>
                <w:color w:val="auto"/>
              </w:rPr>
            </w:pPr>
          </w:p>
        </w:tc>
        <w:tc>
          <w:tcPr>
            <w:tcW w:w="700" w:type="dxa"/>
            <w:vAlign w:val="bottom"/>
            <w:shd w:val="clear" w:color="auto" w:fill="1A6DBB"/>
          </w:tcPr>
          <w:p>
            <w:pPr>
              <w:spacing w:after="0"/>
              <w:rPr>
                <w:sz w:val="14"/>
                <w:szCs w:val="14"/>
                <w:color w:val="auto"/>
              </w:rPr>
            </w:pPr>
          </w:p>
        </w:tc>
        <w:tc>
          <w:tcPr>
            <w:tcW w:w="260" w:type="dxa"/>
            <w:vAlign w:val="bottom"/>
            <w:shd w:val="clear" w:color="auto" w:fill="1A6DBB"/>
          </w:tcPr>
          <w:p>
            <w:pPr>
              <w:spacing w:after="0"/>
              <w:rPr>
                <w:sz w:val="14"/>
                <w:szCs w:val="14"/>
                <w:color w:val="auto"/>
              </w:rPr>
            </w:pPr>
          </w:p>
        </w:tc>
        <w:tc>
          <w:tcPr>
            <w:tcW w:w="820" w:type="dxa"/>
            <w:vAlign w:val="bottom"/>
            <w:shd w:val="clear" w:color="auto" w:fill="1A6DBB"/>
          </w:tcPr>
          <w:p>
            <w:pPr>
              <w:spacing w:after="0"/>
              <w:rPr>
                <w:sz w:val="14"/>
                <w:szCs w:val="14"/>
                <w:color w:val="auto"/>
              </w:rPr>
            </w:pPr>
          </w:p>
        </w:tc>
        <w:tc>
          <w:tcPr>
            <w:tcW w:w="260" w:type="dxa"/>
            <w:vAlign w:val="bottom"/>
            <w:shd w:val="clear" w:color="auto" w:fill="1A6DBB"/>
          </w:tcPr>
          <w:p>
            <w:pPr>
              <w:spacing w:after="0"/>
              <w:rPr>
                <w:sz w:val="14"/>
                <w:szCs w:val="14"/>
                <w:color w:val="auto"/>
              </w:rPr>
            </w:pPr>
          </w:p>
        </w:tc>
        <w:tc>
          <w:tcPr>
            <w:tcW w:w="820" w:type="dxa"/>
            <w:vAlign w:val="bottom"/>
            <w:shd w:val="clear" w:color="auto" w:fill="1A6DBB"/>
          </w:tcPr>
          <w:p>
            <w:pPr>
              <w:spacing w:after="0"/>
              <w:rPr>
                <w:sz w:val="14"/>
                <w:szCs w:val="14"/>
                <w:color w:val="auto"/>
              </w:rPr>
            </w:pPr>
          </w:p>
        </w:tc>
        <w:tc>
          <w:tcPr>
            <w:tcW w:w="260" w:type="dxa"/>
            <w:vAlign w:val="bottom"/>
            <w:shd w:val="clear" w:color="auto" w:fill="1A6DBB"/>
          </w:tcPr>
          <w:p>
            <w:pPr>
              <w:spacing w:after="0"/>
              <w:rPr>
                <w:sz w:val="14"/>
                <w:szCs w:val="14"/>
                <w:color w:val="auto"/>
              </w:rPr>
            </w:pPr>
          </w:p>
        </w:tc>
        <w:tc>
          <w:tcPr>
            <w:tcW w:w="820" w:type="dxa"/>
            <w:vAlign w:val="bottom"/>
            <w:shd w:val="clear" w:color="auto" w:fill="1A6DBB"/>
          </w:tcPr>
          <w:p>
            <w:pPr>
              <w:spacing w:after="0"/>
              <w:rPr>
                <w:sz w:val="14"/>
                <w:szCs w:val="14"/>
                <w:color w:val="auto"/>
              </w:rPr>
            </w:pPr>
          </w:p>
        </w:tc>
        <w:tc>
          <w:tcPr>
            <w:tcW w:w="440" w:type="dxa"/>
            <w:vAlign w:val="bottom"/>
            <w:shd w:val="clear" w:color="auto" w:fill="1A6DBB"/>
          </w:tcPr>
          <w:p>
            <w:pPr>
              <w:spacing w:after="0"/>
              <w:rPr>
                <w:sz w:val="14"/>
                <w:szCs w:val="14"/>
                <w:color w:val="auto"/>
              </w:rPr>
            </w:pPr>
          </w:p>
        </w:tc>
        <w:tc>
          <w:tcPr>
            <w:tcW w:w="760" w:type="dxa"/>
            <w:vAlign w:val="bottom"/>
            <w:shd w:val="clear" w:color="auto" w:fill="1A6DBB"/>
          </w:tcPr>
          <w:p>
            <w:pPr>
              <w:spacing w:after="0"/>
              <w:rPr>
                <w:sz w:val="14"/>
                <w:szCs w:val="14"/>
                <w:color w:val="auto"/>
              </w:rPr>
            </w:pPr>
          </w:p>
        </w:tc>
        <w:tc>
          <w:tcPr>
            <w:tcW w:w="980" w:type="dxa"/>
            <w:vAlign w:val="bottom"/>
            <w:gridSpan w:val="2"/>
            <w:shd w:val="clear" w:color="auto" w:fill="1A6DBB"/>
          </w:tcPr>
          <w:p>
            <w:pPr>
              <w:jc w:val="center"/>
              <w:spacing w:after="0"/>
              <w:rPr>
                <w:sz w:val="20"/>
                <w:szCs w:val="20"/>
                <w:color w:val="auto"/>
              </w:rPr>
            </w:pPr>
            <w:r>
              <w:rPr>
                <w:rFonts w:ascii="Arial" w:cs="Arial" w:eastAsia="Arial" w:hAnsi="Arial"/>
                <w:sz w:val="14"/>
                <w:szCs w:val="14"/>
                <w:color w:val="FFFFFF"/>
              </w:rPr>
              <w:t>Value and</w:t>
            </w:r>
          </w:p>
        </w:tc>
        <w:tc>
          <w:tcPr>
            <w:tcW w:w="440" w:type="dxa"/>
            <w:vAlign w:val="bottom"/>
            <w:shd w:val="clear" w:color="auto" w:fill="1A6DBB"/>
          </w:tcPr>
          <w:p>
            <w:pPr>
              <w:spacing w:after="0"/>
              <w:rPr>
                <w:sz w:val="14"/>
                <w:szCs w:val="14"/>
                <w:color w:val="auto"/>
              </w:rPr>
            </w:pPr>
          </w:p>
        </w:tc>
        <w:tc>
          <w:tcPr>
            <w:tcW w:w="740" w:type="dxa"/>
            <w:vAlign w:val="bottom"/>
            <w:shd w:val="clear" w:color="auto" w:fill="1A6DBB"/>
          </w:tcPr>
          <w:p>
            <w:pPr>
              <w:spacing w:after="0"/>
              <w:rPr>
                <w:sz w:val="14"/>
                <w:szCs w:val="14"/>
                <w:color w:val="auto"/>
              </w:rPr>
            </w:pPr>
          </w:p>
        </w:tc>
        <w:tc>
          <w:tcPr>
            <w:tcW w:w="180" w:type="dxa"/>
            <w:vAlign w:val="bottom"/>
            <w:shd w:val="clear" w:color="auto" w:fill="1A6DBB"/>
          </w:tcPr>
          <w:p>
            <w:pPr>
              <w:spacing w:after="0"/>
              <w:rPr>
                <w:sz w:val="14"/>
                <w:szCs w:val="14"/>
                <w:color w:val="auto"/>
              </w:rPr>
            </w:pPr>
          </w:p>
        </w:tc>
        <w:tc>
          <w:tcPr>
            <w:tcW w:w="920" w:type="dxa"/>
            <w:vAlign w:val="bottom"/>
            <w:shd w:val="clear" w:color="auto" w:fill="1A6DBB"/>
          </w:tcPr>
          <w:p>
            <w:pPr>
              <w:spacing w:after="0"/>
              <w:rPr>
                <w:sz w:val="14"/>
                <w:szCs w:val="14"/>
                <w:color w:val="auto"/>
              </w:rPr>
            </w:pPr>
          </w:p>
        </w:tc>
      </w:tr>
      <w:tr>
        <w:trPr>
          <w:trHeight w:val="162"/>
        </w:trPr>
        <w:tc>
          <w:tcPr>
            <w:tcW w:w="2620" w:type="dxa"/>
            <w:vAlign w:val="bottom"/>
            <w:shd w:val="clear" w:color="auto" w:fill="1A6DBB"/>
          </w:tcPr>
          <w:p>
            <w:pPr>
              <w:spacing w:after="0"/>
              <w:rPr>
                <w:sz w:val="14"/>
                <w:szCs w:val="14"/>
                <w:color w:val="auto"/>
              </w:rPr>
            </w:pPr>
          </w:p>
        </w:tc>
        <w:tc>
          <w:tcPr>
            <w:tcW w:w="700" w:type="dxa"/>
            <w:vAlign w:val="bottom"/>
            <w:shd w:val="clear" w:color="auto" w:fill="1A6DBB"/>
          </w:tcPr>
          <w:p>
            <w:pPr>
              <w:spacing w:after="0"/>
              <w:rPr>
                <w:sz w:val="14"/>
                <w:szCs w:val="14"/>
                <w:color w:val="auto"/>
              </w:rPr>
            </w:pPr>
          </w:p>
        </w:tc>
        <w:tc>
          <w:tcPr>
            <w:tcW w:w="260" w:type="dxa"/>
            <w:vAlign w:val="bottom"/>
            <w:shd w:val="clear" w:color="auto" w:fill="1A6DBB"/>
          </w:tcPr>
          <w:p>
            <w:pPr>
              <w:spacing w:after="0"/>
              <w:rPr>
                <w:sz w:val="14"/>
                <w:szCs w:val="14"/>
                <w:color w:val="auto"/>
              </w:rPr>
            </w:pPr>
          </w:p>
        </w:tc>
        <w:tc>
          <w:tcPr>
            <w:tcW w:w="820" w:type="dxa"/>
            <w:vAlign w:val="bottom"/>
            <w:shd w:val="clear" w:color="auto" w:fill="1A6DBB"/>
          </w:tcPr>
          <w:p>
            <w:pPr>
              <w:spacing w:after="0"/>
              <w:rPr>
                <w:sz w:val="14"/>
                <w:szCs w:val="14"/>
                <w:color w:val="auto"/>
              </w:rPr>
            </w:pPr>
          </w:p>
        </w:tc>
        <w:tc>
          <w:tcPr>
            <w:tcW w:w="260" w:type="dxa"/>
            <w:vAlign w:val="bottom"/>
            <w:shd w:val="clear" w:color="auto" w:fill="1A6DBB"/>
          </w:tcPr>
          <w:p>
            <w:pPr>
              <w:spacing w:after="0"/>
              <w:rPr>
                <w:sz w:val="14"/>
                <w:szCs w:val="14"/>
                <w:color w:val="auto"/>
              </w:rPr>
            </w:pPr>
          </w:p>
        </w:tc>
        <w:tc>
          <w:tcPr>
            <w:tcW w:w="820" w:type="dxa"/>
            <w:vAlign w:val="bottom"/>
            <w:shd w:val="clear" w:color="auto" w:fill="1A6DBB"/>
          </w:tcPr>
          <w:p>
            <w:pPr>
              <w:spacing w:after="0"/>
              <w:rPr>
                <w:sz w:val="14"/>
                <w:szCs w:val="14"/>
                <w:color w:val="auto"/>
              </w:rPr>
            </w:pPr>
          </w:p>
        </w:tc>
        <w:tc>
          <w:tcPr>
            <w:tcW w:w="260" w:type="dxa"/>
            <w:vAlign w:val="bottom"/>
            <w:shd w:val="clear" w:color="auto" w:fill="1A6DBB"/>
          </w:tcPr>
          <w:p>
            <w:pPr>
              <w:spacing w:after="0"/>
              <w:rPr>
                <w:sz w:val="14"/>
                <w:szCs w:val="14"/>
                <w:color w:val="auto"/>
              </w:rPr>
            </w:pPr>
          </w:p>
        </w:tc>
        <w:tc>
          <w:tcPr>
            <w:tcW w:w="820" w:type="dxa"/>
            <w:vAlign w:val="bottom"/>
            <w:shd w:val="clear" w:color="auto" w:fill="1A6DBB"/>
          </w:tcPr>
          <w:p>
            <w:pPr>
              <w:spacing w:after="0"/>
              <w:rPr>
                <w:sz w:val="14"/>
                <w:szCs w:val="14"/>
                <w:color w:val="auto"/>
              </w:rPr>
            </w:pPr>
          </w:p>
        </w:tc>
        <w:tc>
          <w:tcPr>
            <w:tcW w:w="440" w:type="dxa"/>
            <w:vAlign w:val="bottom"/>
            <w:shd w:val="clear" w:color="auto" w:fill="1A6DBB"/>
          </w:tcPr>
          <w:p>
            <w:pPr>
              <w:spacing w:after="0"/>
              <w:rPr>
                <w:sz w:val="14"/>
                <w:szCs w:val="14"/>
                <w:color w:val="auto"/>
              </w:rPr>
            </w:pPr>
          </w:p>
        </w:tc>
        <w:tc>
          <w:tcPr>
            <w:tcW w:w="760" w:type="dxa"/>
            <w:vAlign w:val="bottom"/>
            <w:shd w:val="clear" w:color="auto" w:fill="1A6DBB"/>
          </w:tcPr>
          <w:p>
            <w:pPr>
              <w:spacing w:after="0"/>
              <w:rPr>
                <w:sz w:val="14"/>
                <w:szCs w:val="14"/>
                <w:color w:val="auto"/>
              </w:rPr>
            </w:pPr>
          </w:p>
        </w:tc>
        <w:tc>
          <w:tcPr>
            <w:tcW w:w="980" w:type="dxa"/>
            <w:vAlign w:val="bottom"/>
            <w:gridSpan w:val="2"/>
            <w:shd w:val="clear" w:color="auto" w:fill="1A6DBB"/>
          </w:tcPr>
          <w:p>
            <w:pPr>
              <w:jc w:val="center"/>
              <w:spacing w:after="0"/>
              <w:rPr>
                <w:sz w:val="20"/>
                <w:szCs w:val="20"/>
                <w:color w:val="auto"/>
              </w:rPr>
            </w:pPr>
            <w:r>
              <w:rPr>
                <w:rFonts w:ascii="Arial" w:cs="Arial" w:eastAsia="Arial" w:hAnsi="Arial"/>
                <w:sz w:val="14"/>
                <w:szCs w:val="14"/>
                <w:color w:val="FFFFFF"/>
              </w:rPr>
              <w:t>Nonqualified</w:t>
            </w:r>
          </w:p>
        </w:tc>
        <w:tc>
          <w:tcPr>
            <w:tcW w:w="440" w:type="dxa"/>
            <w:vAlign w:val="bottom"/>
            <w:shd w:val="clear" w:color="auto" w:fill="1A6DBB"/>
          </w:tcPr>
          <w:p>
            <w:pPr>
              <w:spacing w:after="0"/>
              <w:rPr>
                <w:sz w:val="14"/>
                <w:szCs w:val="14"/>
                <w:color w:val="auto"/>
              </w:rPr>
            </w:pPr>
          </w:p>
        </w:tc>
        <w:tc>
          <w:tcPr>
            <w:tcW w:w="740" w:type="dxa"/>
            <w:vAlign w:val="bottom"/>
            <w:shd w:val="clear" w:color="auto" w:fill="1A6DBB"/>
          </w:tcPr>
          <w:p>
            <w:pPr>
              <w:spacing w:after="0"/>
              <w:rPr>
                <w:sz w:val="14"/>
                <w:szCs w:val="14"/>
                <w:color w:val="auto"/>
              </w:rPr>
            </w:pPr>
          </w:p>
        </w:tc>
        <w:tc>
          <w:tcPr>
            <w:tcW w:w="180" w:type="dxa"/>
            <w:vAlign w:val="bottom"/>
            <w:shd w:val="clear" w:color="auto" w:fill="1A6DBB"/>
          </w:tcPr>
          <w:p>
            <w:pPr>
              <w:spacing w:after="0"/>
              <w:rPr>
                <w:sz w:val="14"/>
                <w:szCs w:val="14"/>
                <w:color w:val="auto"/>
              </w:rPr>
            </w:pPr>
          </w:p>
        </w:tc>
        <w:tc>
          <w:tcPr>
            <w:tcW w:w="920" w:type="dxa"/>
            <w:vAlign w:val="bottom"/>
            <w:shd w:val="clear" w:color="auto" w:fill="1A6DBB"/>
          </w:tcPr>
          <w:p>
            <w:pPr>
              <w:spacing w:after="0"/>
              <w:rPr>
                <w:sz w:val="14"/>
                <w:szCs w:val="14"/>
                <w:color w:val="auto"/>
              </w:rPr>
            </w:pPr>
          </w:p>
        </w:tc>
      </w:tr>
      <w:tr>
        <w:trPr>
          <w:trHeight w:val="162"/>
        </w:trPr>
        <w:tc>
          <w:tcPr>
            <w:tcW w:w="2620" w:type="dxa"/>
            <w:vAlign w:val="bottom"/>
            <w:shd w:val="clear" w:color="auto" w:fill="1A6DBB"/>
          </w:tcPr>
          <w:p>
            <w:pPr>
              <w:spacing w:after="0"/>
              <w:rPr>
                <w:sz w:val="14"/>
                <w:szCs w:val="14"/>
                <w:color w:val="auto"/>
              </w:rPr>
            </w:pPr>
          </w:p>
        </w:tc>
        <w:tc>
          <w:tcPr>
            <w:tcW w:w="700" w:type="dxa"/>
            <w:vAlign w:val="bottom"/>
            <w:shd w:val="clear" w:color="auto" w:fill="1A6DBB"/>
          </w:tcPr>
          <w:p>
            <w:pPr>
              <w:spacing w:after="0"/>
              <w:rPr>
                <w:sz w:val="14"/>
                <w:szCs w:val="14"/>
                <w:color w:val="auto"/>
              </w:rPr>
            </w:pPr>
          </w:p>
        </w:tc>
        <w:tc>
          <w:tcPr>
            <w:tcW w:w="260" w:type="dxa"/>
            <w:vAlign w:val="bottom"/>
            <w:shd w:val="clear" w:color="auto" w:fill="1A6DBB"/>
          </w:tcPr>
          <w:p>
            <w:pPr>
              <w:spacing w:after="0"/>
              <w:rPr>
                <w:sz w:val="14"/>
                <w:szCs w:val="14"/>
                <w:color w:val="auto"/>
              </w:rPr>
            </w:pPr>
          </w:p>
        </w:tc>
        <w:tc>
          <w:tcPr>
            <w:tcW w:w="820" w:type="dxa"/>
            <w:vAlign w:val="bottom"/>
            <w:shd w:val="clear" w:color="auto" w:fill="1A6DBB"/>
          </w:tcPr>
          <w:p>
            <w:pPr>
              <w:spacing w:after="0"/>
              <w:rPr>
                <w:sz w:val="14"/>
                <w:szCs w:val="14"/>
                <w:color w:val="auto"/>
              </w:rPr>
            </w:pPr>
          </w:p>
        </w:tc>
        <w:tc>
          <w:tcPr>
            <w:tcW w:w="260" w:type="dxa"/>
            <w:vAlign w:val="bottom"/>
            <w:shd w:val="clear" w:color="auto" w:fill="1A6DBB"/>
          </w:tcPr>
          <w:p>
            <w:pPr>
              <w:spacing w:after="0"/>
              <w:rPr>
                <w:sz w:val="14"/>
                <w:szCs w:val="14"/>
                <w:color w:val="auto"/>
              </w:rPr>
            </w:pPr>
          </w:p>
        </w:tc>
        <w:tc>
          <w:tcPr>
            <w:tcW w:w="820" w:type="dxa"/>
            <w:vAlign w:val="bottom"/>
            <w:shd w:val="clear" w:color="auto" w:fill="1A6DBB"/>
          </w:tcPr>
          <w:p>
            <w:pPr>
              <w:spacing w:after="0"/>
              <w:rPr>
                <w:sz w:val="14"/>
                <w:szCs w:val="14"/>
                <w:color w:val="auto"/>
              </w:rPr>
            </w:pPr>
          </w:p>
        </w:tc>
        <w:tc>
          <w:tcPr>
            <w:tcW w:w="260" w:type="dxa"/>
            <w:vAlign w:val="bottom"/>
            <w:shd w:val="clear" w:color="auto" w:fill="1A6DBB"/>
          </w:tcPr>
          <w:p>
            <w:pPr>
              <w:spacing w:after="0"/>
              <w:rPr>
                <w:sz w:val="14"/>
                <w:szCs w:val="14"/>
                <w:color w:val="auto"/>
              </w:rPr>
            </w:pPr>
          </w:p>
        </w:tc>
        <w:tc>
          <w:tcPr>
            <w:tcW w:w="820" w:type="dxa"/>
            <w:vAlign w:val="bottom"/>
            <w:shd w:val="clear" w:color="auto" w:fill="1A6DBB"/>
          </w:tcPr>
          <w:p>
            <w:pPr>
              <w:spacing w:after="0"/>
              <w:rPr>
                <w:sz w:val="14"/>
                <w:szCs w:val="14"/>
                <w:color w:val="auto"/>
              </w:rPr>
            </w:pPr>
          </w:p>
        </w:tc>
        <w:tc>
          <w:tcPr>
            <w:tcW w:w="1200" w:type="dxa"/>
            <w:vAlign w:val="bottom"/>
            <w:gridSpan w:val="2"/>
            <w:shd w:val="clear" w:color="auto" w:fill="1A6DBB"/>
          </w:tcPr>
          <w:p>
            <w:pPr>
              <w:jc w:val="center"/>
              <w:ind w:left="9"/>
              <w:spacing w:after="0"/>
              <w:rPr>
                <w:sz w:val="20"/>
                <w:szCs w:val="20"/>
                <w:color w:val="auto"/>
              </w:rPr>
            </w:pPr>
            <w:r>
              <w:rPr>
                <w:rFonts w:ascii="Arial" w:cs="Arial" w:eastAsia="Arial" w:hAnsi="Arial"/>
                <w:sz w:val="14"/>
                <w:szCs w:val="14"/>
                <w:color w:val="FFFFFF"/>
              </w:rPr>
              <w:t>Non-Equity</w:t>
            </w:r>
          </w:p>
        </w:tc>
        <w:tc>
          <w:tcPr>
            <w:tcW w:w="980" w:type="dxa"/>
            <w:vAlign w:val="bottom"/>
            <w:gridSpan w:val="2"/>
            <w:shd w:val="clear" w:color="auto" w:fill="1A6DBB"/>
          </w:tcPr>
          <w:p>
            <w:pPr>
              <w:ind w:left="220"/>
              <w:spacing w:after="0"/>
              <w:rPr>
                <w:sz w:val="20"/>
                <w:szCs w:val="20"/>
                <w:color w:val="auto"/>
              </w:rPr>
            </w:pPr>
            <w:r>
              <w:rPr>
                <w:rFonts w:ascii="Arial" w:cs="Arial" w:eastAsia="Arial" w:hAnsi="Arial"/>
                <w:sz w:val="14"/>
                <w:szCs w:val="14"/>
                <w:color w:val="FFFFFF"/>
              </w:rPr>
              <w:t>Deferred</w:t>
            </w:r>
          </w:p>
        </w:tc>
        <w:tc>
          <w:tcPr>
            <w:tcW w:w="440" w:type="dxa"/>
            <w:vAlign w:val="bottom"/>
            <w:shd w:val="clear" w:color="auto" w:fill="1A6DBB"/>
          </w:tcPr>
          <w:p>
            <w:pPr>
              <w:spacing w:after="0"/>
              <w:rPr>
                <w:sz w:val="14"/>
                <w:szCs w:val="14"/>
                <w:color w:val="auto"/>
              </w:rPr>
            </w:pPr>
          </w:p>
        </w:tc>
        <w:tc>
          <w:tcPr>
            <w:tcW w:w="740" w:type="dxa"/>
            <w:vAlign w:val="bottom"/>
            <w:shd w:val="clear" w:color="auto" w:fill="1A6DBB"/>
          </w:tcPr>
          <w:p>
            <w:pPr>
              <w:spacing w:after="0"/>
              <w:rPr>
                <w:sz w:val="14"/>
                <w:szCs w:val="14"/>
                <w:color w:val="auto"/>
              </w:rPr>
            </w:pPr>
          </w:p>
        </w:tc>
        <w:tc>
          <w:tcPr>
            <w:tcW w:w="180" w:type="dxa"/>
            <w:vAlign w:val="bottom"/>
            <w:shd w:val="clear" w:color="auto" w:fill="1A6DBB"/>
          </w:tcPr>
          <w:p>
            <w:pPr>
              <w:spacing w:after="0"/>
              <w:rPr>
                <w:sz w:val="14"/>
                <w:szCs w:val="14"/>
                <w:color w:val="auto"/>
              </w:rPr>
            </w:pPr>
          </w:p>
        </w:tc>
        <w:tc>
          <w:tcPr>
            <w:tcW w:w="920" w:type="dxa"/>
            <w:vAlign w:val="bottom"/>
            <w:shd w:val="clear" w:color="auto" w:fill="1A6DBB"/>
          </w:tcPr>
          <w:p>
            <w:pPr>
              <w:spacing w:after="0"/>
              <w:rPr>
                <w:sz w:val="14"/>
                <w:szCs w:val="14"/>
                <w:color w:val="auto"/>
              </w:rPr>
            </w:pPr>
          </w:p>
        </w:tc>
      </w:tr>
      <w:tr>
        <w:trPr>
          <w:trHeight w:val="155"/>
        </w:trPr>
        <w:tc>
          <w:tcPr>
            <w:tcW w:w="2620" w:type="dxa"/>
            <w:vAlign w:val="bottom"/>
            <w:shd w:val="clear" w:color="auto" w:fill="1A6DBB"/>
          </w:tcPr>
          <w:p>
            <w:pPr>
              <w:spacing w:after="0"/>
              <w:rPr>
                <w:sz w:val="13"/>
                <w:szCs w:val="13"/>
                <w:color w:val="auto"/>
              </w:rPr>
            </w:pPr>
          </w:p>
        </w:tc>
        <w:tc>
          <w:tcPr>
            <w:tcW w:w="700" w:type="dxa"/>
            <w:vAlign w:val="bottom"/>
            <w:shd w:val="clear" w:color="auto" w:fill="1A6DBB"/>
          </w:tcPr>
          <w:p>
            <w:pPr>
              <w:spacing w:after="0"/>
              <w:rPr>
                <w:sz w:val="13"/>
                <w:szCs w:val="13"/>
                <w:color w:val="auto"/>
              </w:rPr>
            </w:pPr>
          </w:p>
        </w:tc>
        <w:tc>
          <w:tcPr>
            <w:tcW w:w="260" w:type="dxa"/>
            <w:vAlign w:val="bottom"/>
            <w:shd w:val="clear" w:color="auto" w:fill="1A6DBB"/>
          </w:tcPr>
          <w:p>
            <w:pPr>
              <w:spacing w:after="0"/>
              <w:rPr>
                <w:sz w:val="13"/>
                <w:szCs w:val="13"/>
                <w:color w:val="auto"/>
              </w:rPr>
            </w:pPr>
          </w:p>
        </w:tc>
        <w:tc>
          <w:tcPr>
            <w:tcW w:w="820" w:type="dxa"/>
            <w:vAlign w:val="bottom"/>
            <w:shd w:val="clear" w:color="auto" w:fill="1A6DBB"/>
          </w:tcPr>
          <w:p>
            <w:pPr>
              <w:spacing w:after="0"/>
              <w:rPr>
                <w:sz w:val="13"/>
                <w:szCs w:val="13"/>
                <w:color w:val="auto"/>
              </w:rPr>
            </w:pPr>
          </w:p>
        </w:tc>
        <w:tc>
          <w:tcPr>
            <w:tcW w:w="260" w:type="dxa"/>
            <w:vAlign w:val="bottom"/>
            <w:shd w:val="clear" w:color="auto" w:fill="1A6DBB"/>
          </w:tcPr>
          <w:p>
            <w:pPr>
              <w:spacing w:after="0"/>
              <w:rPr>
                <w:sz w:val="13"/>
                <w:szCs w:val="13"/>
                <w:color w:val="auto"/>
              </w:rPr>
            </w:pPr>
          </w:p>
        </w:tc>
        <w:tc>
          <w:tcPr>
            <w:tcW w:w="820" w:type="dxa"/>
            <w:vAlign w:val="bottom"/>
            <w:shd w:val="clear" w:color="auto" w:fill="1A6DBB"/>
          </w:tcPr>
          <w:p>
            <w:pPr>
              <w:spacing w:after="0"/>
              <w:rPr>
                <w:sz w:val="13"/>
                <w:szCs w:val="13"/>
                <w:color w:val="auto"/>
              </w:rPr>
            </w:pPr>
          </w:p>
        </w:tc>
        <w:tc>
          <w:tcPr>
            <w:tcW w:w="260" w:type="dxa"/>
            <w:vAlign w:val="bottom"/>
            <w:shd w:val="clear" w:color="auto" w:fill="1A6DBB"/>
          </w:tcPr>
          <w:p>
            <w:pPr>
              <w:spacing w:after="0"/>
              <w:rPr>
                <w:sz w:val="13"/>
                <w:szCs w:val="13"/>
                <w:color w:val="auto"/>
              </w:rPr>
            </w:pPr>
          </w:p>
        </w:tc>
        <w:tc>
          <w:tcPr>
            <w:tcW w:w="820" w:type="dxa"/>
            <w:vAlign w:val="bottom"/>
            <w:shd w:val="clear" w:color="auto" w:fill="1A6DBB"/>
          </w:tcPr>
          <w:p>
            <w:pPr>
              <w:jc w:val="center"/>
              <w:ind w:right="109"/>
              <w:spacing w:after="0" w:line="155" w:lineRule="exact"/>
              <w:rPr>
                <w:sz w:val="20"/>
                <w:szCs w:val="20"/>
                <w:color w:val="auto"/>
              </w:rPr>
            </w:pPr>
            <w:r>
              <w:rPr>
                <w:rFonts w:ascii="Arial" w:cs="Arial" w:eastAsia="Arial" w:hAnsi="Arial"/>
                <w:sz w:val="14"/>
                <w:szCs w:val="14"/>
                <w:color w:val="FFFFFF"/>
              </w:rPr>
              <w:t>Stock</w:t>
            </w:r>
          </w:p>
        </w:tc>
        <w:tc>
          <w:tcPr>
            <w:tcW w:w="1200" w:type="dxa"/>
            <w:vAlign w:val="bottom"/>
            <w:gridSpan w:val="2"/>
            <w:shd w:val="clear" w:color="auto" w:fill="1A6DBB"/>
          </w:tcPr>
          <w:p>
            <w:pPr>
              <w:jc w:val="center"/>
              <w:ind w:left="29"/>
              <w:spacing w:after="0" w:line="155" w:lineRule="exact"/>
              <w:rPr>
                <w:sz w:val="20"/>
                <w:szCs w:val="20"/>
                <w:color w:val="auto"/>
              </w:rPr>
            </w:pPr>
            <w:r>
              <w:rPr>
                <w:rFonts w:ascii="Arial" w:cs="Arial" w:eastAsia="Arial" w:hAnsi="Arial"/>
                <w:sz w:val="14"/>
                <w:szCs w:val="14"/>
                <w:color w:val="FFFFFF"/>
              </w:rPr>
              <w:t>Incentive Plan</w:t>
            </w:r>
          </w:p>
        </w:tc>
        <w:tc>
          <w:tcPr>
            <w:tcW w:w="980" w:type="dxa"/>
            <w:vAlign w:val="bottom"/>
            <w:gridSpan w:val="2"/>
            <w:shd w:val="clear" w:color="auto" w:fill="1A6DBB"/>
          </w:tcPr>
          <w:p>
            <w:pPr>
              <w:jc w:val="center"/>
              <w:spacing w:after="0" w:line="155" w:lineRule="exact"/>
              <w:rPr>
                <w:sz w:val="20"/>
                <w:szCs w:val="20"/>
                <w:color w:val="auto"/>
              </w:rPr>
            </w:pPr>
            <w:r>
              <w:rPr>
                <w:rFonts w:ascii="Arial" w:cs="Arial" w:eastAsia="Arial" w:hAnsi="Arial"/>
                <w:sz w:val="14"/>
                <w:szCs w:val="14"/>
                <w:color w:val="FFFFFF"/>
              </w:rPr>
              <w:t>Compensation</w:t>
            </w:r>
          </w:p>
        </w:tc>
        <w:tc>
          <w:tcPr>
            <w:tcW w:w="1180" w:type="dxa"/>
            <w:vAlign w:val="bottom"/>
            <w:gridSpan w:val="2"/>
            <w:shd w:val="clear" w:color="auto" w:fill="1A6DBB"/>
          </w:tcPr>
          <w:p>
            <w:pPr>
              <w:jc w:val="center"/>
              <w:spacing w:after="0" w:line="155" w:lineRule="exact"/>
              <w:rPr>
                <w:sz w:val="20"/>
                <w:szCs w:val="20"/>
                <w:color w:val="auto"/>
              </w:rPr>
            </w:pPr>
            <w:r>
              <w:rPr>
                <w:rFonts w:ascii="Arial" w:cs="Arial" w:eastAsia="Arial" w:hAnsi="Arial"/>
                <w:sz w:val="14"/>
                <w:szCs w:val="14"/>
                <w:color w:val="FFFFFF"/>
              </w:rPr>
              <w:t>All Other</w:t>
            </w:r>
          </w:p>
        </w:tc>
        <w:tc>
          <w:tcPr>
            <w:tcW w:w="180" w:type="dxa"/>
            <w:vAlign w:val="bottom"/>
            <w:shd w:val="clear" w:color="auto" w:fill="1A6DBB"/>
          </w:tcPr>
          <w:p>
            <w:pPr>
              <w:spacing w:after="0"/>
              <w:rPr>
                <w:sz w:val="13"/>
                <w:szCs w:val="13"/>
                <w:color w:val="auto"/>
              </w:rPr>
            </w:pPr>
          </w:p>
        </w:tc>
        <w:tc>
          <w:tcPr>
            <w:tcW w:w="920" w:type="dxa"/>
            <w:vAlign w:val="bottom"/>
            <w:shd w:val="clear" w:color="auto" w:fill="1A6DBB"/>
          </w:tcPr>
          <w:p>
            <w:pPr>
              <w:spacing w:after="0"/>
              <w:rPr>
                <w:sz w:val="13"/>
                <w:szCs w:val="13"/>
                <w:color w:val="auto"/>
              </w:rPr>
            </w:pPr>
          </w:p>
        </w:tc>
      </w:tr>
      <w:tr>
        <w:trPr>
          <w:trHeight w:val="170"/>
        </w:trPr>
        <w:tc>
          <w:tcPr>
            <w:tcW w:w="2620" w:type="dxa"/>
            <w:vAlign w:val="bottom"/>
            <w:shd w:val="clear" w:color="auto" w:fill="1A6DBB"/>
          </w:tcPr>
          <w:p>
            <w:pPr>
              <w:ind w:left="20"/>
              <w:spacing w:after="0"/>
              <w:rPr>
                <w:sz w:val="20"/>
                <w:szCs w:val="20"/>
                <w:color w:val="auto"/>
              </w:rPr>
            </w:pPr>
            <w:r>
              <w:rPr>
                <w:rFonts w:ascii="Arial" w:cs="Arial" w:eastAsia="Arial" w:hAnsi="Arial"/>
                <w:sz w:val="14"/>
                <w:szCs w:val="14"/>
                <w:color w:val="FFFFFF"/>
              </w:rPr>
              <w:t>Name and Principal Position</w:t>
            </w:r>
          </w:p>
        </w:tc>
        <w:tc>
          <w:tcPr>
            <w:tcW w:w="700" w:type="dxa"/>
            <w:vAlign w:val="bottom"/>
            <w:shd w:val="clear" w:color="auto" w:fill="1A6DBB"/>
          </w:tcPr>
          <w:p>
            <w:pPr>
              <w:ind w:left="200"/>
              <w:spacing w:after="0"/>
              <w:rPr>
                <w:sz w:val="20"/>
                <w:szCs w:val="20"/>
                <w:color w:val="auto"/>
              </w:rPr>
            </w:pPr>
            <w:r>
              <w:rPr>
                <w:rFonts w:ascii="Arial" w:cs="Arial" w:eastAsia="Arial" w:hAnsi="Arial"/>
                <w:sz w:val="14"/>
                <w:szCs w:val="14"/>
                <w:color w:val="FFFFFF"/>
              </w:rPr>
              <w:t>Year</w:t>
            </w:r>
          </w:p>
        </w:tc>
        <w:tc>
          <w:tcPr>
            <w:tcW w:w="260" w:type="dxa"/>
            <w:vAlign w:val="bottom"/>
            <w:shd w:val="clear" w:color="auto" w:fill="1A6DBB"/>
          </w:tcPr>
          <w:p>
            <w:pPr>
              <w:spacing w:after="0"/>
              <w:rPr>
                <w:sz w:val="14"/>
                <w:szCs w:val="14"/>
                <w:color w:val="auto"/>
              </w:rPr>
            </w:pPr>
          </w:p>
        </w:tc>
        <w:tc>
          <w:tcPr>
            <w:tcW w:w="820" w:type="dxa"/>
            <w:vAlign w:val="bottom"/>
            <w:shd w:val="clear" w:color="auto" w:fill="1A6DBB"/>
          </w:tcPr>
          <w:p>
            <w:pPr>
              <w:jc w:val="right"/>
              <w:ind w:right="268"/>
              <w:spacing w:after="0"/>
              <w:rPr>
                <w:sz w:val="20"/>
                <w:szCs w:val="20"/>
                <w:color w:val="auto"/>
              </w:rPr>
            </w:pPr>
            <w:r>
              <w:rPr>
                <w:rFonts w:ascii="Arial" w:cs="Arial" w:eastAsia="Arial" w:hAnsi="Arial"/>
                <w:sz w:val="14"/>
                <w:szCs w:val="14"/>
                <w:color w:val="FFFFFF"/>
              </w:rPr>
              <w:t>Salary</w:t>
            </w:r>
          </w:p>
        </w:tc>
        <w:tc>
          <w:tcPr>
            <w:tcW w:w="260" w:type="dxa"/>
            <w:vAlign w:val="bottom"/>
            <w:shd w:val="clear" w:color="auto" w:fill="1A6DBB"/>
          </w:tcPr>
          <w:p>
            <w:pPr>
              <w:spacing w:after="0"/>
              <w:rPr>
                <w:sz w:val="14"/>
                <w:szCs w:val="14"/>
                <w:color w:val="auto"/>
              </w:rPr>
            </w:pPr>
          </w:p>
        </w:tc>
        <w:tc>
          <w:tcPr>
            <w:tcW w:w="820" w:type="dxa"/>
            <w:vAlign w:val="bottom"/>
            <w:shd w:val="clear" w:color="auto" w:fill="1A6DBB"/>
          </w:tcPr>
          <w:p>
            <w:pPr>
              <w:jc w:val="right"/>
              <w:ind w:right="189"/>
              <w:spacing w:after="0" w:line="170" w:lineRule="exact"/>
              <w:rPr>
                <w:sz w:val="20"/>
                <w:szCs w:val="20"/>
                <w:color w:val="auto"/>
              </w:rPr>
            </w:pPr>
            <w:r>
              <w:rPr>
                <w:rFonts w:ascii="Arial" w:cs="Arial" w:eastAsia="Arial" w:hAnsi="Arial"/>
                <w:sz w:val="12"/>
                <w:szCs w:val="12"/>
                <w:color w:val="FFFFFF"/>
              </w:rPr>
              <w:t>Bonus</w:t>
            </w:r>
            <w:r>
              <w:rPr>
                <w:rFonts w:ascii="Arial" w:cs="Arial" w:eastAsia="Arial" w:hAnsi="Arial"/>
                <w:sz w:val="19"/>
                <w:szCs w:val="19"/>
                <w:color w:val="FFFFFF"/>
                <w:vertAlign w:val="superscript"/>
              </w:rPr>
              <w:t>(1)</w:t>
            </w:r>
          </w:p>
        </w:tc>
        <w:tc>
          <w:tcPr>
            <w:tcW w:w="260" w:type="dxa"/>
            <w:vAlign w:val="bottom"/>
            <w:shd w:val="clear" w:color="auto" w:fill="1A6DBB"/>
          </w:tcPr>
          <w:p>
            <w:pPr>
              <w:spacing w:after="0"/>
              <w:rPr>
                <w:sz w:val="14"/>
                <w:szCs w:val="14"/>
                <w:color w:val="auto"/>
              </w:rPr>
            </w:pPr>
          </w:p>
        </w:tc>
        <w:tc>
          <w:tcPr>
            <w:tcW w:w="820" w:type="dxa"/>
            <w:vAlign w:val="bottom"/>
            <w:shd w:val="clear" w:color="auto" w:fill="1A6DBB"/>
          </w:tcPr>
          <w:p>
            <w:pPr>
              <w:jc w:val="center"/>
              <w:ind w:right="109"/>
              <w:spacing w:after="0" w:line="170" w:lineRule="exact"/>
              <w:rPr>
                <w:sz w:val="20"/>
                <w:szCs w:val="20"/>
                <w:color w:val="auto"/>
              </w:rPr>
            </w:pPr>
            <w:r>
              <w:rPr>
                <w:rFonts w:ascii="Arial" w:cs="Arial" w:eastAsia="Arial" w:hAnsi="Arial"/>
                <w:sz w:val="12"/>
                <w:szCs w:val="12"/>
                <w:color w:val="FFFFFF"/>
              </w:rPr>
              <w:t>Awards</w:t>
            </w:r>
            <w:r>
              <w:rPr>
                <w:rFonts w:ascii="Arial" w:cs="Arial" w:eastAsia="Arial" w:hAnsi="Arial"/>
                <w:sz w:val="19"/>
                <w:szCs w:val="19"/>
                <w:color w:val="FFFFFF"/>
                <w:vertAlign w:val="superscript"/>
              </w:rPr>
              <w:t>(2)</w:t>
            </w:r>
          </w:p>
        </w:tc>
        <w:tc>
          <w:tcPr>
            <w:tcW w:w="1200" w:type="dxa"/>
            <w:vAlign w:val="bottom"/>
            <w:gridSpan w:val="2"/>
            <w:shd w:val="clear" w:color="auto" w:fill="1A6DBB"/>
          </w:tcPr>
          <w:p>
            <w:pPr>
              <w:jc w:val="center"/>
              <w:ind w:left="9"/>
              <w:spacing w:after="0" w:line="170" w:lineRule="exact"/>
              <w:rPr>
                <w:sz w:val="20"/>
                <w:szCs w:val="20"/>
                <w:color w:val="auto"/>
              </w:rPr>
            </w:pPr>
            <w:r>
              <w:rPr>
                <w:rFonts w:ascii="Arial" w:cs="Arial" w:eastAsia="Arial" w:hAnsi="Arial"/>
                <w:sz w:val="12"/>
                <w:szCs w:val="12"/>
                <w:color w:val="FFFFFF"/>
              </w:rPr>
              <w:t>Compensation</w:t>
            </w:r>
            <w:r>
              <w:rPr>
                <w:rFonts w:ascii="Arial" w:cs="Arial" w:eastAsia="Arial" w:hAnsi="Arial"/>
                <w:sz w:val="19"/>
                <w:szCs w:val="19"/>
                <w:color w:val="FFFFFF"/>
                <w:vertAlign w:val="superscript"/>
              </w:rPr>
              <w:t>(3)</w:t>
            </w:r>
          </w:p>
        </w:tc>
        <w:tc>
          <w:tcPr>
            <w:tcW w:w="980" w:type="dxa"/>
            <w:vAlign w:val="bottom"/>
            <w:gridSpan w:val="2"/>
            <w:shd w:val="clear" w:color="auto" w:fill="1A6DBB"/>
          </w:tcPr>
          <w:p>
            <w:pPr>
              <w:jc w:val="center"/>
              <w:spacing w:after="0" w:line="170" w:lineRule="exact"/>
              <w:rPr>
                <w:sz w:val="20"/>
                <w:szCs w:val="20"/>
                <w:color w:val="auto"/>
              </w:rPr>
            </w:pPr>
            <w:r>
              <w:rPr>
                <w:rFonts w:ascii="Arial" w:cs="Arial" w:eastAsia="Arial" w:hAnsi="Arial"/>
                <w:sz w:val="12"/>
                <w:szCs w:val="12"/>
                <w:color w:val="FFFFFF"/>
              </w:rPr>
              <w:t>Earnings</w:t>
            </w:r>
            <w:r>
              <w:rPr>
                <w:rFonts w:ascii="Arial" w:cs="Arial" w:eastAsia="Arial" w:hAnsi="Arial"/>
                <w:sz w:val="19"/>
                <w:szCs w:val="19"/>
                <w:color w:val="FFFFFF"/>
                <w:vertAlign w:val="superscript"/>
              </w:rPr>
              <w:t>(4)</w:t>
            </w:r>
          </w:p>
        </w:tc>
        <w:tc>
          <w:tcPr>
            <w:tcW w:w="1180" w:type="dxa"/>
            <w:vAlign w:val="bottom"/>
            <w:gridSpan w:val="2"/>
            <w:shd w:val="clear" w:color="auto" w:fill="1A6DBB"/>
          </w:tcPr>
          <w:p>
            <w:pPr>
              <w:jc w:val="center"/>
              <w:spacing w:after="0" w:line="170" w:lineRule="exact"/>
              <w:rPr>
                <w:sz w:val="20"/>
                <w:szCs w:val="20"/>
                <w:color w:val="auto"/>
              </w:rPr>
            </w:pPr>
            <w:r>
              <w:rPr>
                <w:rFonts w:ascii="Arial" w:cs="Arial" w:eastAsia="Arial" w:hAnsi="Arial"/>
                <w:sz w:val="12"/>
                <w:szCs w:val="12"/>
                <w:color w:val="FFFFFF"/>
              </w:rPr>
              <w:t>Compensation</w:t>
            </w:r>
            <w:r>
              <w:rPr>
                <w:rFonts w:ascii="Arial" w:cs="Arial" w:eastAsia="Arial" w:hAnsi="Arial"/>
                <w:sz w:val="19"/>
                <w:szCs w:val="19"/>
                <w:color w:val="FFFFFF"/>
                <w:vertAlign w:val="superscript"/>
              </w:rPr>
              <w:t>(5)</w:t>
            </w:r>
          </w:p>
        </w:tc>
        <w:tc>
          <w:tcPr>
            <w:tcW w:w="180" w:type="dxa"/>
            <w:vAlign w:val="bottom"/>
            <w:shd w:val="clear" w:color="auto" w:fill="1A6DBB"/>
          </w:tcPr>
          <w:p>
            <w:pPr>
              <w:spacing w:after="0"/>
              <w:rPr>
                <w:sz w:val="14"/>
                <w:szCs w:val="14"/>
                <w:color w:val="auto"/>
              </w:rPr>
            </w:pPr>
          </w:p>
        </w:tc>
        <w:tc>
          <w:tcPr>
            <w:tcW w:w="920" w:type="dxa"/>
            <w:vAlign w:val="bottom"/>
            <w:shd w:val="clear" w:color="auto" w:fill="1A6DBB"/>
          </w:tcPr>
          <w:p>
            <w:pPr>
              <w:jc w:val="right"/>
              <w:ind w:right="368"/>
              <w:spacing w:after="0"/>
              <w:rPr>
                <w:sz w:val="20"/>
                <w:szCs w:val="20"/>
                <w:color w:val="auto"/>
              </w:rPr>
            </w:pPr>
            <w:r>
              <w:rPr>
                <w:rFonts w:ascii="Arial" w:cs="Arial" w:eastAsia="Arial" w:hAnsi="Arial"/>
                <w:sz w:val="14"/>
                <w:szCs w:val="14"/>
                <w:color w:val="FFFFFF"/>
              </w:rPr>
              <w:t>Total</w:t>
            </w:r>
          </w:p>
        </w:tc>
      </w:tr>
      <w:tr>
        <w:trPr>
          <w:trHeight w:val="171"/>
        </w:trPr>
        <w:tc>
          <w:tcPr>
            <w:tcW w:w="2620" w:type="dxa"/>
            <w:vAlign w:val="bottom"/>
            <w:shd w:val="clear" w:color="auto" w:fill="1A6DBB"/>
          </w:tcPr>
          <w:p>
            <w:pPr>
              <w:ind w:left="980"/>
              <w:spacing w:after="0"/>
              <w:rPr>
                <w:sz w:val="20"/>
                <w:szCs w:val="20"/>
                <w:color w:val="auto"/>
              </w:rPr>
            </w:pPr>
            <w:r>
              <w:rPr>
                <w:rFonts w:ascii="Arial" w:cs="Arial" w:eastAsia="Arial" w:hAnsi="Arial"/>
                <w:sz w:val="14"/>
                <w:szCs w:val="14"/>
                <w:color w:val="FFFFFF"/>
              </w:rPr>
              <w:t>(a)</w:t>
            </w:r>
          </w:p>
        </w:tc>
        <w:tc>
          <w:tcPr>
            <w:tcW w:w="700" w:type="dxa"/>
            <w:vAlign w:val="bottom"/>
            <w:shd w:val="clear" w:color="auto" w:fill="1A6DBB"/>
          </w:tcPr>
          <w:p>
            <w:pPr>
              <w:ind w:left="260"/>
              <w:spacing w:after="0"/>
              <w:rPr>
                <w:sz w:val="20"/>
                <w:szCs w:val="20"/>
                <w:color w:val="auto"/>
              </w:rPr>
            </w:pPr>
            <w:r>
              <w:rPr>
                <w:rFonts w:ascii="Arial" w:cs="Arial" w:eastAsia="Arial" w:hAnsi="Arial"/>
                <w:sz w:val="14"/>
                <w:szCs w:val="14"/>
                <w:color w:val="FFFFFF"/>
              </w:rPr>
              <w:t>(b)</w:t>
            </w:r>
          </w:p>
        </w:tc>
        <w:tc>
          <w:tcPr>
            <w:tcW w:w="260" w:type="dxa"/>
            <w:vAlign w:val="bottom"/>
            <w:shd w:val="clear" w:color="auto" w:fill="1A6DBB"/>
          </w:tcPr>
          <w:p>
            <w:pPr>
              <w:spacing w:after="0"/>
              <w:rPr>
                <w:sz w:val="14"/>
                <w:szCs w:val="14"/>
                <w:color w:val="auto"/>
              </w:rPr>
            </w:pPr>
          </w:p>
        </w:tc>
        <w:tc>
          <w:tcPr>
            <w:tcW w:w="820" w:type="dxa"/>
            <w:vAlign w:val="bottom"/>
            <w:shd w:val="clear" w:color="auto" w:fill="1A6DBB"/>
          </w:tcPr>
          <w:p>
            <w:pPr>
              <w:jc w:val="right"/>
              <w:ind w:right="388"/>
              <w:spacing w:after="0"/>
              <w:rPr>
                <w:sz w:val="20"/>
                <w:szCs w:val="20"/>
                <w:color w:val="auto"/>
              </w:rPr>
            </w:pPr>
            <w:r>
              <w:rPr>
                <w:rFonts w:ascii="Arial" w:cs="Arial" w:eastAsia="Arial" w:hAnsi="Arial"/>
                <w:sz w:val="14"/>
                <w:szCs w:val="14"/>
                <w:color w:val="FFFFFF"/>
              </w:rPr>
              <w:t>(c)</w:t>
            </w:r>
          </w:p>
        </w:tc>
        <w:tc>
          <w:tcPr>
            <w:tcW w:w="260" w:type="dxa"/>
            <w:vAlign w:val="bottom"/>
            <w:shd w:val="clear" w:color="auto" w:fill="1A6DBB"/>
          </w:tcPr>
          <w:p>
            <w:pPr>
              <w:spacing w:after="0"/>
              <w:rPr>
                <w:sz w:val="14"/>
                <w:szCs w:val="14"/>
                <w:color w:val="auto"/>
              </w:rPr>
            </w:pPr>
          </w:p>
        </w:tc>
        <w:tc>
          <w:tcPr>
            <w:tcW w:w="820" w:type="dxa"/>
            <w:vAlign w:val="bottom"/>
            <w:shd w:val="clear" w:color="auto" w:fill="1A6DBB"/>
          </w:tcPr>
          <w:p>
            <w:pPr>
              <w:jc w:val="right"/>
              <w:ind w:right="389"/>
              <w:spacing w:after="0"/>
              <w:rPr>
                <w:sz w:val="20"/>
                <w:szCs w:val="20"/>
                <w:color w:val="auto"/>
              </w:rPr>
            </w:pPr>
            <w:r>
              <w:rPr>
                <w:rFonts w:ascii="Arial" w:cs="Arial" w:eastAsia="Arial" w:hAnsi="Arial"/>
                <w:sz w:val="14"/>
                <w:szCs w:val="14"/>
                <w:color w:val="FFFFFF"/>
              </w:rPr>
              <w:t>(d)</w:t>
            </w:r>
          </w:p>
        </w:tc>
        <w:tc>
          <w:tcPr>
            <w:tcW w:w="260" w:type="dxa"/>
            <w:vAlign w:val="bottom"/>
            <w:shd w:val="clear" w:color="auto" w:fill="1A6DBB"/>
          </w:tcPr>
          <w:p>
            <w:pPr>
              <w:spacing w:after="0"/>
              <w:rPr>
                <w:sz w:val="14"/>
                <w:szCs w:val="14"/>
                <w:color w:val="auto"/>
              </w:rPr>
            </w:pPr>
          </w:p>
        </w:tc>
        <w:tc>
          <w:tcPr>
            <w:tcW w:w="820" w:type="dxa"/>
            <w:vAlign w:val="bottom"/>
            <w:shd w:val="clear" w:color="auto" w:fill="1A6DBB"/>
          </w:tcPr>
          <w:p>
            <w:pPr>
              <w:jc w:val="center"/>
              <w:ind w:right="109"/>
              <w:spacing w:after="0"/>
              <w:rPr>
                <w:sz w:val="20"/>
                <w:szCs w:val="20"/>
                <w:color w:val="auto"/>
              </w:rPr>
            </w:pPr>
            <w:r>
              <w:rPr>
                <w:rFonts w:ascii="Arial" w:cs="Arial" w:eastAsia="Arial" w:hAnsi="Arial"/>
                <w:sz w:val="14"/>
                <w:szCs w:val="14"/>
                <w:color w:val="FFFFFF"/>
                <w:w w:val="93"/>
              </w:rPr>
              <w:t>(e)</w:t>
            </w:r>
          </w:p>
        </w:tc>
        <w:tc>
          <w:tcPr>
            <w:tcW w:w="440" w:type="dxa"/>
            <w:vAlign w:val="bottom"/>
            <w:shd w:val="clear" w:color="auto" w:fill="1A6DBB"/>
          </w:tcPr>
          <w:p>
            <w:pPr>
              <w:spacing w:after="0"/>
              <w:rPr>
                <w:sz w:val="14"/>
                <w:szCs w:val="14"/>
                <w:color w:val="auto"/>
              </w:rPr>
            </w:pPr>
          </w:p>
        </w:tc>
        <w:tc>
          <w:tcPr>
            <w:tcW w:w="760" w:type="dxa"/>
            <w:vAlign w:val="bottom"/>
            <w:shd w:val="clear" w:color="auto" w:fill="1A6DBB"/>
          </w:tcPr>
          <w:p>
            <w:pPr>
              <w:jc w:val="center"/>
              <w:ind w:right="268"/>
              <w:spacing w:after="0"/>
              <w:rPr>
                <w:sz w:val="20"/>
                <w:szCs w:val="20"/>
                <w:color w:val="auto"/>
              </w:rPr>
            </w:pPr>
            <w:r>
              <w:rPr>
                <w:rFonts w:ascii="Arial" w:cs="Arial" w:eastAsia="Arial" w:hAnsi="Arial"/>
                <w:sz w:val="14"/>
                <w:szCs w:val="14"/>
                <w:color w:val="FFFFFF"/>
              </w:rPr>
              <w:t>(f)</w:t>
            </w:r>
          </w:p>
        </w:tc>
        <w:tc>
          <w:tcPr>
            <w:tcW w:w="340" w:type="dxa"/>
            <w:vAlign w:val="bottom"/>
            <w:shd w:val="clear" w:color="auto" w:fill="1A6DBB"/>
          </w:tcPr>
          <w:p>
            <w:pPr>
              <w:spacing w:after="0"/>
              <w:rPr>
                <w:sz w:val="14"/>
                <w:szCs w:val="14"/>
                <w:color w:val="auto"/>
              </w:rPr>
            </w:pPr>
          </w:p>
        </w:tc>
        <w:tc>
          <w:tcPr>
            <w:tcW w:w="640" w:type="dxa"/>
            <w:vAlign w:val="bottom"/>
            <w:shd w:val="clear" w:color="auto" w:fill="1A6DBB"/>
          </w:tcPr>
          <w:p>
            <w:pPr>
              <w:jc w:val="center"/>
              <w:ind w:right="228"/>
              <w:spacing w:after="0"/>
              <w:rPr>
                <w:sz w:val="20"/>
                <w:szCs w:val="20"/>
                <w:color w:val="auto"/>
              </w:rPr>
            </w:pPr>
            <w:r>
              <w:rPr>
                <w:rFonts w:ascii="Arial" w:cs="Arial" w:eastAsia="Arial" w:hAnsi="Arial"/>
                <w:sz w:val="14"/>
                <w:szCs w:val="14"/>
                <w:color w:val="FFFFFF"/>
              </w:rPr>
              <w:t>(g)</w:t>
            </w:r>
          </w:p>
        </w:tc>
        <w:tc>
          <w:tcPr>
            <w:tcW w:w="440" w:type="dxa"/>
            <w:vAlign w:val="bottom"/>
            <w:shd w:val="clear" w:color="auto" w:fill="1A6DBB"/>
          </w:tcPr>
          <w:p>
            <w:pPr>
              <w:spacing w:after="0"/>
              <w:rPr>
                <w:sz w:val="14"/>
                <w:szCs w:val="14"/>
                <w:color w:val="auto"/>
              </w:rPr>
            </w:pPr>
          </w:p>
        </w:tc>
        <w:tc>
          <w:tcPr>
            <w:tcW w:w="740" w:type="dxa"/>
            <w:vAlign w:val="bottom"/>
            <w:shd w:val="clear" w:color="auto" w:fill="1A6DBB"/>
          </w:tcPr>
          <w:p>
            <w:pPr>
              <w:jc w:val="center"/>
              <w:ind w:right="408"/>
              <w:spacing w:after="0"/>
              <w:rPr>
                <w:sz w:val="20"/>
                <w:szCs w:val="20"/>
                <w:color w:val="auto"/>
              </w:rPr>
            </w:pPr>
            <w:r>
              <w:rPr>
                <w:rFonts w:ascii="Arial" w:cs="Arial" w:eastAsia="Arial" w:hAnsi="Arial"/>
                <w:sz w:val="14"/>
                <w:szCs w:val="14"/>
                <w:color w:val="FFFFFF"/>
              </w:rPr>
              <w:t>(h)</w:t>
            </w:r>
          </w:p>
        </w:tc>
        <w:tc>
          <w:tcPr>
            <w:tcW w:w="180" w:type="dxa"/>
            <w:vAlign w:val="bottom"/>
            <w:shd w:val="clear" w:color="auto" w:fill="1A6DBB"/>
          </w:tcPr>
          <w:p>
            <w:pPr>
              <w:spacing w:after="0"/>
              <w:rPr>
                <w:sz w:val="14"/>
                <w:szCs w:val="14"/>
                <w:color w:val="auto"/>
              </w:rPr>
            </w:pPr>
          </w:p>
        </w:tc>
        <w:tc>
          <w:tcPr>
            <w:tcW w:w="920" w:type="dxa"/>
            <w:vAlign w:val="bottom"/>
            <w:shd w:val="clear" w:color="auto" w:fill="1A6DBB"/>
          </w:tcPr>
          <w:p>
            <w:pPr>
              <w:jc w:val="right"/>
              <w:ind w:right="468"/>
              <w:spacing w:after="0"/>
              <w:rPr>
                <w:sz w:val="20"/>
                <w:szCs w:val="20"/>
                <w:color w:val="auto"/>
              </w:rPr>
            </w:pPr>
            <w:r>
              <w:rPr>
                <w:rFonts w:ascii="Arial" w:cs="Arial" w:eastAsia="Arial" w:hAnsi="Arial"/>
                <w:sz w:val="14"/>
                <w:szCs w:val="14"/>
                <w:color w:val="FFFFFF"/>
              </w:rPr>
              <w:t>(i)</w:t>
            </w:r>
          </w:p>
        </w:tc>
      </w:tr>
      <w:tr>
        <w:trPr>
          <w:trHeight w:val="189"/>
        </w:trPr>
        <w:tc>
          <w:tcPr>
            <w:tcW w:w="2620" w:type="dxa"/>
            <w:vAlign w:val="bottom"/>
            <w:shd w:val="clear" w:color="auto" w:fill="E8F0F8"/>
          </w:tcPr>
          <w:p>
            <w:pPr>
              <w:ind w:left="20"/>
              <w:spacing w:after="0" w:line="189" w:lineRule="exact"/>
              <w:rPr>
                <w:sz w:val="20"/>
                <w:szCs w:val="20"/>
                <w:color w:val="auto"/>
              </w:rPr>
            </w:pPr>
            <w:r>
              <w:rPr>
                <w:rFonts w:ascii="Arial" w:cs="Arial" w:eastAsia="Arial" w:hAnsi="Arial"/>
                <w:sz w:val="13"/>
                <w:szCs w:val="13"/>
                <w:b w:val="1"/>
                <w:bCs w:val="1"/>
                <w:color w:val="auto"/>
              </w:rPr>
              <w:t>Michel Vounatsos</w:t>
            </w:r>
            <w:r>
              <w:rPr>
                <w:rFonts w:ascii="Arial" w:cs="Arial" w:eastAsia="Arial" w:hAnsi="Arial"/>
                <w:sz w:val="21"/>
                <w:szCs w:val="21"/>
                <w:b w:val="1"/>
                <w:bCs w:val="1"/>
                <w:color w:val="auto"/>
                <w:vertAlign w:val="superscript"/>
              </w:rPr>
              <w:t>(6)</w:t>
            </w:r>
          </w:p>
        </w:tc>
        <w:tc>
          <w:tcPr>
            <w:tcW w:w="700" w:type="dxa"/>
            <w:vAlign w:val="bottom"/>
            <w:shd w:val="clear" w:color="auto" w:fill="E8F0F8"/>
          </w:tcPr>
          <w:p>
            <w:pPr>
              <w:ind w:left="200"/>
              <w:spacing w:after="0"/>
              <w:rPr>
                <w:sz w:val="20"/>
                <w:szCs w:val="20"/>
                <w:color w:val="auto"/>
              </w:rPr>
            </w:pPr>
            <w:r>
              <w:rPr>
                <w:rFonts w:ascii="Arial" w:cs="Arial" w:eastAsia="Arial" w:hAnsi="Arial"/>
                <w:sz w:val="14"/>
                <w:szCs w:val="14"/>
                <w:color w:val="auto"/>
              </w:rPr>
              <w:t>2018</w:t>
            </w:r>
          </w:p>
        </w:tc>
        <w:tc>
          <w:tcPr>
            <w:tcW w:w="26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8F0F8"/>
          </w:tcPr>
          <w:p>
            <w:pPr>
              <w:jc w:val="right"/>
              <w:ind w:right="108"/>
              <w:spacing w:after="0"/>
              <w:rPr>
                <w:sz w:val="20"/>
                <w:szCs w:val="20"/>
                <w:color w:val="auto"/>
              </w:rPr>
            </w:pPr>
            <w:r>
              <w:rPr>
                <w:rFonts w:ascii="Arial" w:cs="Arial" w:eastAsia="Arial" w:hAnsi="Arial"/>
                <w:sz w:val="14"/>
                <w:szCs w:val="14"/>
                <w:color w:val="auto"/>
                <w:w w:val="99"/>
              </w:rPr>
              <w:t>1,276,923</w:t>
            </w:r>
          </w:p>
        </w:tc>
        <w:tc>
          <w:tcPr>
            <w:tcW w:w="260" w:type="dxa"/>
            <w:vAlign w:val="bottom"/>
            <w:shd w:val="clear" w:color="auto" w:fill="E8F0F8"/>
          </w:tcPr>
          <w:p>
            <w:pPr>
              <w:spacing w:after="0"/>
              <w:rPr>
                <w:sz w:val="16"/>
                <w:szCs w:val="16"/>
                <w:color w:val="auto"/>
              </w:rPr>
            </w:pPr>
          </w:p>
        </w:tc>
        <w:tc>
          <w:tcPr>
            <w:tcW w:w="820" w:type="dxa"/>
            <w:vAlign w:val="bottom"/>
            <w:shd w:val="clear" w:color="auto" w:fill="E8F0F8"/>
          </w:tcPr>
          <w:p>
            <w:pPr>
              <w:jc w:val="right"/>
              <w:ind w:right="109"/>
              <w:spacing w:after="0"/>
              <w:rPr>
                <w:sz w:val="20"/>
                <w:szCs w:val="20"/>
                <w:color w:val="auto"/>
              </w:rPr>
            </w:pPr>
            <w:r>
              <w:rPr>
                <w:rFonts w:ascii="Arial" w:cs="Arial" w:eastAsia="Arial" w:hAnsi="Arial"/>
                <w:sz w:val="14"/>
                <w:szCs w:val="14"/>
                <w:color w:val="auto"/>
              </w:rPr>
              <w:t>—</w:t>
            </w:r>
          </w:p>
        </w:tc>
        <w:tc>
          <w:tcPr>
            <w:tcW w:w="26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8F0F8"/>
          </w:tcPr>
          <w:p>
            <w:pPr>
              <w:jc w:val="right"/>
              <w:ind w:right="29"/>
              <w:spacing w:after="0"/>
              <w:rPr>
                <w:sz w:val="20"/>
                <w:szCs w:val="20"/>
                <w:color w:val="auto"/>
              </w:rPr>
            </w:pPr>
            <w:r>
              <w:rPr>
                <w:rFonts w:ascii="Arial" w:cs="Arial" w:eastAsia="Arial" w:hAnsi="Arial"/>
                <w:sz w:val="14"/>
                <w:szCs w:val="14"/>
                <w:color w:val="auto"/>
                <w:w w:val="99"/>
              </w:rPr>
              <w:t>11,064,897</w:t>
            </w:r>
          </w:p>
        </w:tc>
        <w:tc>
          <w:tcPr>
            <w:tcW w:w="1200" w:type="dxa"/>
            <w:vAlign w:val="bottom"/>
            <w:gridSpan w:val="2"/>
            <w:shd w:val="clear" w:color="auto" w:fill="E8F0F8"/>
          </w:tcPr>
          <w:p>
            <w:pPr>
              <w:jc w:val="right"/>
              <w:ind w:right="108"/>
              <w:spacing w:after="0"/>
              <w:rPr>
                <w:sz w:val="20"/>
                <w:szCs w:val="20"/>
                <w:color w:val="auto"/>
              </w:rPr>
            </w:pPr>
            <w:r>
              <w:rPr>
                <w:rFonts w:ascii="Arial" w:cs="Arial" w:eastAsia="Arial" w:hAnsi="Arial"/>
                <w:sz w:val="14"/>
                <w:szCs w:val="14"/>
                <w:color w:val="auto"/>
              </w:rPr>
              <w:t>$3,337,880</w:t>
            </w:r>
          </w:p>
        </w:tc>
        <w:tc>
          <w:tcPr>
            <w:tcW w:w="340" w:type="dxa"/>
            <w:vAlign w:val="bottom"/>
            <w:shd w:val="clear" w:color="auto" w:fill="E8F0F8"/>
          </w:tcPr>
          <w:p>
            <w:pPr>
              <w:ind w:lef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E8F0F8"/>
          </w:tcPr>
          <w:p>
            <w:pPr>
              <w:jc w:val="right"/>
              <w:ind w:right="88"/>
              <w:spacing w:after="0"/>
              <w:rPr>
                <w:sz w:val="20"/>
                <w:szCs w:val="20"/>
                <w:color w:val="auto"/>
              </w:rPr>
            </w:pPr>
            <w:r>
              <w:rPr>
                <w:rFonts w:ascii="Arial" w:cs="Arial" w:eastAsia="Arial" w:hAnsi="Arial"/>
                <w:sz w:val="14"/>
                <w:szCs w:val="14"/>
                <w:color w:val="auto"/>
              </w:rPr>
              <w:t>80,663</w:t>
            </w:r>
          </w:p>
        </w:tc>
        <w:tc>
          <w:tcPr>
            <w:tcW w:w="1180" w:type="dxa"/>
            <w:vAlign w:val="bottom"/>
            <w:gridSpan w:val="2"/>
            <w:shd w:val="clear" w:color="auto" w:fill="E8F0F8"/>
          </w:tcPr>
          <w:p>
            <w:pPr>
              <w:jc w:val="right"/>
              <w:ind w:right="188"/>
              <w:spacing w:after="0"/>
              <w:rPr>
                <w:sz w:val="20"/>
                <w:szCs w:val="20"/>
                <w:color w:val="auto"/>
              </w:rPr>
            </w:pPr>
            <w:r>
              <w:rPr>
                <w:rFonts w:ascii="Arial" w:cs="Arial" w:eastAsia="Arial" w:hAnsi="Arial"/>
                <w:sz w:val="14"/>
                <w:szCs w:val="14"/>
                <w:color w:val="auto"/>
              </w:rPr>
              <w:t>$408,283</w:t>
            </w:r>
          </w:p>
        </w:tc>
        <w:tc>
          <w:tcPr>
            <w:tcW w:w="18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8F0F8"/>
          </w:tcPr>
          <w:p>
            <w:pPr>
              <w:jc w:val="right"/>
              <w:ind w:right="128"/>
              <w:spacing w:after="0"/>
              <w:rPr>
                <w:sz w:val="20"/>
                <w:szCs w:val="20"/>
                <w:color w:val="auto"/>
              </w:rPr>
            </w:pPr>
            <w:r>
              <w:rPr>
                <w:rFonts w:ascii="Arial" w:cs="Arial" w:eastAsia="Arial" w:hAnsi="Arial"/>
                <w:sz w:val="14"/>
                <w:szCs w:val="14"/>
                <w:color w:val="auto"/>
                <w:w w:val="99"/>
              </w:rPr>
              <w:t>16,168,646</w:t>
            </w:r>
          </w:p>
        </w:tc>
      </w:tr>
      <w:tr>
        <w:trPr>
          <w:trHeight w:val="162"/>
        </w:trPr>
        <w:tc>
          <w:tcPr>
            <w:tcW w:w="2620" w:type="dxa"/>
            <w:vAlign w:val="bottom"/>
            <w:shd w:val="clear" w:color="auto" w:fill="E8F0F8"/>
          </w:tcPr>
          <w:p>
            <w:pPr>
              <w:ind w:left="20"/>
              <w:spacing w:after="0"/>
              <w:rPr>
                <w:sz w:val="20"/>
                <w:szCs w:val="20"/>
                <w:color w:val="auto"/>
              </w:rPr>
            </w:pPr>
            <w:r>
              <w:rPr>
                <w:rFonts w:ascii="Arial" w:cs="Arial" w:eastAsia="Arial" w:hAnsi="Arial"/>
                <w:sz w:val="14"/>
                <w:szCs w:val="14"/>
                <w:color w:val="auto"/>
              </w:rPr>
              <w:t>Chief Executive Officer</w:t>
            </w:r>
          </w:p>
        </w:tc>
        <w:tc>
          <w:tcPr>
            <w:tcW w:w="700" w:type="dxa"/>
            <w:vAlign w:val="bottom"/>
            <w:shd w:val="clear" w:color="auto" w:fill="E8F0F8"/>
          </w:tcPr>
          <w:p>
            <w:pPr>
              <w:ind w:left="200"/>
              <w:spacing w:after="0"/>
              <w:rPr>
                <w:sz w:val="20"/>
                <w:szCs w:val="20"/>
                <w:color w:val="auto"/>
              </w:rPr>
            </w:pPr>
            <w:r>
              <w:rPr>
                <w:rFonts w:ascii="Arial" w:cs="Arial" w:eastAsia="Arial" w:hAnsi="Arial"/>
                <w:sz w:val="14"/>
                <w:szCs w:val="14"/>
                <w:color w:val="auto"/>
              </w:rPr>
              <w:t>2017</w:t>
            </w:r>
          </w:p>
        </w:tc>
        <w:tc>
          <w:tcPr>
            <w:tcW w:w="26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8F0F8"/>
          </w:tcPr>
          <w:p>
            <w:pPr>
              <w:jc w:val="right"/>
              <w:ind w:right="108"/>
              <w:spacing w:after="0"/>
              <w:rPr>
                <w:sz w:val="20"/>
                <w:szCs w:val="20"/>
                <w:color w:val="auto"/>
              </w:rPr>
            </w:pPr>
            <w:r>
              <w:rPr>
                <w:rFonts w:ascii="Arial" w:cs="Arial" w:eastAsia="Arial" w:hAnsi="Arial"/>
                <w:sz w:val="14"/>
                <w:szCs w:val="14"/>
                <w:color w:val="auto"/>
                <w:w w:val="99"/>
              </w:rPr>
              <w:t>1,087,885</w:t>
            </w:r>
          </w:p>
        </w:tc>
        <w:tc>
          <w:tcPr>
            <w:tcW w:w="260" w:type="dxa"/>
            <w:vAlign w:val="bottom"/>
            <w:shd w:val="clear" w:color="auto" w:fill="E8F0F8"/>
          </w:tcPr>
          <w:p>
            <w:pPr>
              <w:spacing w:after="0"/>
              <w:rPr>
                <w:sz w:val="14"/>
                <w:szCs w:val="14"/>
                <w:color w:val="auto"/>
              </w:rPr>
            </w:pPr>
          </w:p>
        </w:tc>
        <w:tc>
          <w:tcPr>
            <w:tcW w:w="820" w:type="dxa"/>
            <w:vAlign w:val="bottom"/>
            <w:shd w:val="clear" w:color="auto" w:fill="E8F0F8"/>
          </w:tcPr>
          <w:p>
            <w:pPr>
              <w:jc w:val="right"/>
              <w:ind w:right="109"/>
              <w:spacing w:after="0"/>
              <w:rPr>
                <w:sz w:val="20"/>
                <w:szCs w:val="20"/>
                <w:color w:val="auto"/>
              </w:rPr>
            </w:pPr>
            <w:r>
              <w:rPr>
                <w:rFonts w:ascii="Arial" w:cs="Arial" w:eastAsia="Arial" w:hAnsi="Arial"/>
                <w:sz w:val="14"/>
                <w:szCs w:val="14"/>
                <w:color w:val="auto"/>
              </w:rPr>
              <w:t>—</w:t>
            </w:r>
          </w:p>
        </w:tc>
        <w:tc>
          <w:tcPr>
            <w:tcW w:w="26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8F0F8"/>
          </w:tcPr>
          <w:p>
            <w:pPr>
              <w:jc w:val="right"/>
              <w:ind w:right="29"/>
              <w:spacing w:after="0"/>
              <w:rPr>
                <w:sz w:val="20"/>
                <w:szCs w:val="20"/>
                <w:color w:val="auto"/>
              </w:rPr>
            </w:pPr>
            <w:r>
              <w:rPr>
                <w:rFonts w:ascii="Arial" w:cs="Arial" w:eastAsia="Arial" w:hAnsi="Arial"/>
                <w:sz w:val="14"/>
                <w:szCs w:val="14"/>
                <w:color w:val="auto"/>
              </w:rPr>
              <w:t>9,868,540</w:t>
            </w:r>
          </w:p>
        </w:tc>
        <w:tc>
          <w:tcPr>
            <w:tcW w:w="1200" w:type="dxa"/>
            <w:vAlign w:val="bottom"/>
            <w:gridSpan w:val="2"/>
            <w:shd w:val="clear" w:color="auto" w:fill="E8F0F8"/>
          </w:tcPr>
          <w:p>
            <w:pPr>
              <w:jc w:val="right"/>
              <w:ind w:right="108"/>
              <w:spacing w:after="0"/>
              <w:rPr>
                <w:sz w:val="20"/>
                <w:szCs w:val="20"/>
                <w:color w:val="auto"/>
              </w:rPr>
            </w:pPr>
            <w:r>
              <w:rPr>
                <w:rFonts w:ascii="Arial" w:cs="Arial" w:eastAsia="Arial" w:hAnsi="Arial"/>
                <w:sz w:val="14"/>
                <w:szCs w:val="14"/>
                <w:color w:val="auto"/>
              </w:rPr>
              <w:t>$2,502,500</w:t>
            </w:r>
          </w:p>
        </w:tc>
        <w:tc>
          <w:tcPr>
            <w:tcW w:w="340" w:type="dxa"/>
            <w:vAlign w:val="bottom"/>
            <w:shd w:val="clear" w:color="auto" w:fill="E8F0F8"/>
          </w:tcPr>
          <w:p>
            <w:pPr>
              <w:ind w:lef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E8F0F8"/>
          </w:tcPr>
          <w:p>
            <w:pPr>
              <w:jc w:val="right"/>
              <w:ind w:right="88"/>
              <w:spacing w:after="0"/>
              <w:rPr>
                <w:sz w:val="20"/>
                <w:szCs w:val="20"/>
                <w:color w:val="auto"/>
              </w:rPr>
            </w:pPr>
            <w:r>
              <w:rPr>
                <w:rFonts w:ascii="Arial" w:cs="Arial" w:eastAsia="Arial" w:hAnsi="Arial"/>
                <w:sz w:val="14"/>
                <w:szCs w:val="14"/>
                <w:color w:val="auto"/>
              </w:rPr>
              <w:t>18,881</w:t>
            </w:r>
          </w:p>
        </w:tc>
        <w:tc>
          <w:tcPr>
            <w:tcW w:w="1180" w:type="dxa"/>
            <w:vAlign w:val="bottom"/>
            <w:gridSpan w:val="2"/>
            <w:shd w:val="clear" w:color="auto" w:fill="E8F0F8"/>
          </w:tcPr>
          <w:p>
            <w:pPr>
              <w:jc w:val="right"/>
              <w:ind w:right="188"/>
              <w:spacing w:after="0"/>
              <w:rPr>
                <w:sz w:val="20"/>
                <w:szCs w:val="20"/>
                <w:color w:val="auto"/>
              </w:rPr>
            </w:pPr>
            <w:r>
              <w:rPr>
                <w:rFonts w:ascii="Arial" w:cs="Arial" w:eastAsia="Arial" w:hAnsi="Arial"/>
                <w:sz w:val="14"/>
                <w:szCs w:val="14"/>
                <w:color w:val="auto"/>
              </w:rPr>
              <w:t>$186,567</w:t>
            </w:r>
          </w:p>
        </w:tc>
        <w:tc>
          <w:tcPr>
            <w:tcW w:w="18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8F0F8"/>
          </w:tcPr>
          <w:p>
            <w:pPr>
              <w:jc w:val="right"/>
              <w:ind w:right="128"/>
              <w:spacing w:after="0"/>
              <w:rPr>
                <w:sz w:val="20"/>
                <w:szCs w:val="20"/>
                <w:color w:val="auto"/>
              </w:rPr>
            </w:pPr>
            <w:r>
              <w:rPr>
                <w:rFonts w:ascii="Arial" w:cs="Arial" w:eastAsia="Arial" w:hAnsi="Arial"/>
                <w:sz w:val="14"/>
                <w:szCs w:val="14"/>
                <w:color w:val="auto"/>
                <w:w w:val="99"/>
              </w:rPr>
              <w:t>13,664,373</w:t>
            </w:r>
          </w:p>
        </w:tc>
      </w:tr>
      <w:tr>
        <w:trPr>
          <w:trHeight w:val="162"/>
        </w:trPr>
        <w:tc>
          <w:tcPr>
            <w:tcW w:w="2620" w:type="dxa"/>
            <w:vAlign w:val="bottom"/>
            <w:tcBorders>
              <w:bottom w:val="single" w:sz="8" w:color="auto"/>
            </w:tcBorders>
            <w:shd w:val="clear" w:color="auto" w:fill="E8F0F8"/>
          </w:tcPr>
          <w:p>
            <w:pPr>
              <w:spacing w:after="0"/>
              <w:rPr>
                <w:sz w:val="14"/>
                <w:szCs w:val="14"/>
                <w:color w:val="auto"/>
              </w:rPr>
            </w:pPr>
          </w:p>
        </w:tc>
        <w:tc>
          <w:tcPr>
            <w:tcW w:w="700" w:type="dxa"/>
            <w:vAlign w:val="bottom"/>
            <w:tcBorders>
              <w:bottom w:val="single" w:sz="8" w:color="auto"/>
            </w:tcBorders>
            <w:shd w:val="clear" w:color="auto" w:fill="E8F0F8"/>
          </w:tcPr>
          <w:p>
            <w:pPr>
              <w:ind w:left="200"/>
              <w:spacing w:after="0"/>
              <w:rPr>
                <w:sz w:val="20"/>
                <w:szCs w:val="20"/>
                <w:color w:val="auto"/>
              </w:rPr>
            </w:pPr>
            <w:r>
              <w:rPr>
                <w:rFonts w:ascii="Arial" w:cs="Arial" w:eastAsia="Arial" w:hAnsi="Arial"/>
                <w:sz w:val="14"/>
                <w:szCs w:val="14"/>
                <w:color w:val="auto"/>
              </w:rPr>
              <w:t>2016</w:t>
            </w:r>
          </w:p>
        </w:tc>
        <w:tc>
          <w:tcPr>
            <w:tcW w:w="26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8F0F8"/>
          </w:tcPr>
          <w:p>
            <w:pPr>
              <w:jc w:val="right"/>
              <w:ind w:right="108"/>
              <w:spacing w:after="0"/>
              <w:rPr>
                <w:sz w:val="20"/>
                <w:szCs w:val="20"/>
                <w:color w:val="auto"/>
              </w:rPr>
            </w:pPr>
            <w:r>
              <w:rPr>
                <w:rFonts w:ascii="Arial" w:cs="Arial" w:eastAsia="Arial" w:hAnsi="Arial"/>
                <w:sz w:val="14"/>
                <w:szCs w:val="14"/>
                <w:color w:val="auto"/>
              </w:rPr>
              <w:t>519,231</w:t>
            </w:r>
          </w:p>
        </w:tc>
        <w:tc>
          <w:tcPr>
            <w:tcW w:w="26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8F0F8"/>
          </w:tcPr>
          <w:p>
            <w:pPr>
              <w:jc w:val="right"/>
              <w:ind w:right="109"/>
              <w:spacing w:after="0"/>
              <w:rPr>
                <w:sz w:val="20"/>
                <w:szCs w:val="20"/>
                <w:color w:val="auto"/>
              </w:rPr>
            </w:pPr>
            <w:r>
              <w:rPr>
                <w:rFonts w:ascii="Arial" w:cs="Arial" w:eastAsia="Arial" w:hAnsi="Arial"/>
                <w:sz w:val="14"/>
                <w:szCs w:val="14"/>
                <w:color w:val="auto"/>
                <w:w w:val="99"/>
              </w:rPr>
              <w:t>1,500,000</w:t>
            </w:r>
          </w:p>
        </w:tc>
        <w:tc>
          <w:tcPr>
            <w:tcW w:w="26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8F0F8"/>
          </w:tcPr>
          <w:p>
            <w:pPr>
              <w:jc w:val="right"/>
              <w:ind w:right="29"/>
              <w:spacing w:after="0"/>
              <w:rPr>
                <w:sz w:val="20"/>
                <w:szCs w:val="20"/>
                <w:color w:val="auto"/>
              </w:rPr>
            </w:pPr>
            <w:r>
              <w:rPr>
                <w:rFonts w:ascii="Arial" w:cs="Arial" w:eastAsia="Arial" w:hAnsi="Arial"/>
                <w:sz w:val="14"/>
                <w:szCs w:val="14"/>
                <w:color w:val="auto"/>
              </w:rPr>
              <w:t>3,151,199</w:t>
            </w:r>
          </w:p>
        </w:tc>
        <w:tc>
          <w:tcPr>
            <w:tcW w:w="44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E8F0F8"/>
          </w:tcPr>
          <w:p>
            <w:pPr>
              <w:jc w:val="right"/>
              <w:ind w:right="108"/>
              <w:spacing w:after="0"/>
              <w:rPr>
                <w:sz w:val="20"/>
                <w:szCs w:val="20"/>
                <w:color w:val="auto"/>
              </w:rPr>
            </w:pPr>
            <w:r>
              <w:rPr>
                <w:rFonts w:ascii="Arial" w:cs="Arial" w:eastAsia="Arial" w:hAnsi="Arial"/>
                <w:sz w:val="14"/>
                <w:szCs w:val="14"/>
                <w:color w:val="auto"/>
              </w:rPr>
              <w:t>447,799</w:t>
            </w:r>
          </w:p>
        </w:tc>
        <w:tc>
          <w:tcPr>
            <w:tcW w:w="340" w:type="dxa"/>
            <w:vAlign w:val="bottom"/>
            <w:tcBorders>
              <w:bottom w:val="single" w:sz="8" w:color="auto"/>
            </w:tcBorders>
            <w:shd w:val="clear" w:color="auto" w:fill="E8F0F8"/>
          </w:tcPr>
          <w:p>
            <w:pPr>
              <w:ind w:left="2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E8F0F8"/>
          </w:tcPr>
          <w:p>
            <w:pPr>
              <w:jc w:val="right"/>
              <w:ind w:right="88"/>
              <w:spacing w:after="0"/>
              <w:rPr>
                <w:sz w:val="20"/>
                <w:szCs w:val="20"/>
                <w:color w:val="auto"/>
              </w:rPr>
            </w:pPr>
            <w:r>
              <w:rPr>
                <w:rFonts w:ascii="Arial" w:cs="Arial" w:eastAsia="Arial" w:hAnsi="Arial"/>
                <w:sz w:val="14"/>
                <w:szCs w:val="14"/>
                <w:color w:val="auto"/>
              </w:rPr>
              <w:t>1,598</w:t>
            </w:r>
          </w:p>
        </w:tc>
        <w:tc>
          <w:tcPr>
            <w:tcW w:w="1180" w:type="dxa"/>
            <w:vAlign w:val="bottom"/>
            <w:tcBorders>
              <w:bottom w:val="single" w:sz="8" w:color="auto"/>
            </w:tcBorders>
            <w:gridSpan w:val="2"/>
            <w:shd w:val="clear" w:color="auto" w:fill="E8F0F8"/>
          </w:tcPr>
          <w:p>
            <w:pPr>
              <w:jc w:val="right"/>
              <w:ind w:right="188"/>
              <w:spacing w:after="0"/>
              <w:rPr>
                <w:sz w:val="20"/>
                <w:szCs w:val="20"/>
                <w:color w:val="auto"/>
              </w:rPr>
            </w:pPr>
            <w:r>
              <w:rPr>
                <w:rFonts w:ascii="Arial" w:cs="Arial" w:eastAsia="Arial" w:hAnsi="Arial"/>
                <w:sz w:val="14"/>
                <w:szCs w:val="14"/>
                <w:color w:val="auto"/>
              </w:rPr>
              <w:t>$181,568</w:t>
            </w:r>
          </w:p>
        </w:tc>
        <w:tc>
          <w:tcPr>
            <w:tcW w:w="18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E8F0F8"/>
          </w:tcPr>
          <w:p>
            <w:pPr>
              <w:jc w:val="right"/>
              <w:ind w:right="128"/>
              <w:spacing w:after="0"/>
              <w:rPr>
                <w:sz w:val="20"/>
                <w:szCs w:val="20"/>
                <w:color w:val="auto"/>
              </w:rPr>
            </w:pPr>
            <w:r>
              <w:rPr>
                <w:rFonts w:ascii="Arial" w:cs="Arial" w:eastAsia="Arial" w:hAnsi="Arial"/>
                <w:sz w:val="14"/>
                <w:szCs w:val="14"/>
                <w:color w:val="auto"/>
              </w:rPr>
              <w:t>5,801,395</w:t>
            </w:r>
          </w:p>
        </w:tc>
      </w:tr>
      <w:tr>
        <w:trPr>
          <w:trHeight w:val="183"/>
        </w:trPr>
        <w:tc>
          <w:tcPr>
            <w:tcW w:w="2620" w:type="dxa"/>
            <w:vAlign w:val="bottom"/>
            <w:shd w:val="clear" w:color="auto" w:fill="BAD3EA"/>
          </w:tcPr>
          <w:p>
            <w:pPr>
              <w:ind w:left="20"/>
              <w:spacing w:after="0" w:line="183" w:lineRule="exact"/>
              <w:rPr>
                <w:sz w:val="20"/>
                <w:szCs w:val="20"/>
                <w:color w:val="auto"/>
              </w:rPr>
            </w:pPr>
            <w:r>
              <w:rPr>
                <w:rFonts w:ascii="Arial" w:cs="Arial" w:eastAsia="Arial" w:hAnsi="Arial"/>
                <w:sz w:val="13"/>
                <w:szCs w:val="13"/>
                <w:b w:val="1"/>
                <w:bCs w:val="1"/>
                <w:color w:val="auto"/>
              </w:rPr>
              <w:t>Jeffrey D. Capello</w:t>
            </w:r>
            <w:r>
              <w:rPr>
                <w:rFonts w:ascii="Arial" w:cs="Arial" w:eastAsia="Arial" w:hAnsi="Arial"/>
                <w:sz w:val="21"/>
                <w:szCs w:val="21"/>
                <w:b w:val="1"/>
                <w:bCs w:val="1"/>
                <w:color w:val="auto"/>
                <w:vertAlign w:val="superscript"/>
              </w:rPr>
              <w:t>(7)</w:t>
            </w:r>
          </w:p>
        </w:tc>
        <w:tc>
          <w:tcPr>
            <w:tcW w:w="700" w:type="dxa"/>
            <w:vAlign w:val="bottom"/>
            <w:shd w:val="clear" w:color="auto" w:fill="BAD3EA"/>
          </w:tcPr>
          <w:p>
            <w:pPr>
              <w:ind w:left="200"/>
              <w:spacing w:after="0"/>
              <w:rPr>
                <w:sz w:val="20"/>
                <w:szCs w:val="20"/>
                <w:color w:val="auto"/>
              </w:rPr>
            </w:pPr>
            <w:r>
              <w:rPr>
                <w:rFonts w:ascii="Arial" w:cs="Arial" w:eastAsia="Arial" w:hAnsi="Arial"/>
                <w:sz w:val="14"/>
                <w:szCs w:val="14"/>
                <w:color w:val="auto"/>
              </w:rPr>
              <w:t>2018</w:t>
            </w:r>
          </w:p>
        </w:tc>
        <w:tc>
          <w:tcPr>
            <w:tcW w:w="260" w:type="dxa"/>
            <w:vAlign w:val="bottom"/>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BAD3EA"/>
          </w:tcPr>
          <w:p>
            <w:pPr>
              <w:jc w:val="right"/>
              <w:ind w:right="108"/>
              <w:spacing w:after="0"/>
              <w:rPr>
                <w:sz w:val="20"/>
                <w:szCs w:val="20"/>
                <w:color w:val="auto"/>
              </w:rPr>
            </w:pPr>
            <w:r>
              <w:rPr>
                <w:rFonts w:ascii="Arial" w:cs="Arial" w:eastAsia="Arial" w:hAnsi="Arial"/>
                <w:sz w:val="14"/>
                <w:szCs w:val="14"/>
                <w:color w:val="auto"/>
              </w:rPr>
              <w:t>750,000</w:t>
            </w:r>
          </w:p>
        </w:tc>
        <w:tc>
          <w:tcPr>
            <w:tcW w:w="260" w:type="dxa"/>
            <w:vAlign w:val="bottom"/>
            <w:shd w:val="clear" w:color="auto" w:fill="BAD3EA"/>
          </w:tcPr>
          <w:p>
            <w:pPr>
              <w:spacing w:after="0"/>
              <w:rPr>
                <w:sz w:val="15"/>
                <w:szCs w:val="15"/>
                <w:color w:val="auto"/>
              </w:rPr>
            </w:pPr>
          </w:p>
        </w:tc>
        <w:tc>
          <w:tcPr>
            <w:tcW w:w="820" w:type="dxa"/>
            <w:vAlign w:val="bottom"/>
            <w:shd w:val="clear" w:color="auto" w:fill="BAD3EA"/>
          </w:tcPr>
          <w:p>
            <w:pPr>
              <w:jc w:val="right"/>
              <w:ind w:right="109"/>
              <w:spacing w:after="0"/>
              <w:rPr>
                <w:sz w:val="20"/>
                <w:szCs w:val="20"/>
                <w:color w:val="auto"/>
              </w:rPr>
            </w:pPr>
            <w:r>
              <w:rPr>
                <w:rFonts w:ascii="Arial" w:cs="Arial" w:eastAsia="Arial" w:hAnsi="Arial"/>
                <w:sz w:val="14"/>
                <w:szCs w:val="14"/>
                <w:color w:val="auto"/>
              </w:rPr>
              <w:t>—</w:t>
            </w:r>
          </w:p>
        </w:tc>
        <w:tc>
          <w:tcPr>
            <w:tcW w:w="260" w:type="dxa"/>
            <w:vAlign w:val="bottom"/>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BAD3EA"/>
          </w:tcPr>
          <w:p>
            <w:pPr>
              <w:jc w:val="right"/>
              <w:ind w:right="29"/>
              <w:spacing w:after="0"/>
              <w:rPr>
                <w:sz w:val="20"/>
                <w:szCs w:val="20"/>
                <w:color w:val="auto"/>
              </w:rPr>
            </w:pPr>
            <w:r>
              <w:rPr>
                <w:rFonts w:ascii="Arial" w:cs="Arial" w:eastAsia="Arial" w:hAnsi="Arial"/>
                <w:sz w:val="14"/>
                <w:szCs w:val="14"/>
                <w:color w:val="auto"/>
              </w:rPr>
              <w:t>2,889,224</w:t>
            </w:r>
          </w:p>
        </w:tc>
        <w:tc>
          <w:tcPr>
            <w:tcW w:w="440" w:type="dxa"/>
            <w:vAlign w:val="bottom"/>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BAD3EA"/>
          </w:tcPr>
          <w:p>
            <w:pPr>
              <w:jc w:val="right"/>
              <w:ind w:right="108"/>
              <w:spacing w:after="0"/>
              <w:rPr>
                <w:sz w:val="20"/>
                <w:szCs w:val="20"/>
                <w:color w:val="auto"/>
              </w:rPr>
            </w:pPr>
            <w:r>
              <w:rPr>
                <w:rFonts w:ascii="Arial" w:cs="Arial" w:eastAsia="Arial" w:hAnsi="Arial"/>
                <w:sz w:val="14"/>
                <w:szCs w:val="14"/>
                <w:color w:val="auto"/>
              </w:rPr>
              <w:t>790,913</w:t>
            </w:r>
          </w:p>
        </w:tc>
        <w:tc>
          <w:tcPr>
            <w:tcW w:w="340" w:type="dxa"/>
            <w:vAlign w:val="bottom"/>
            <w:shd w:val="clear" w:color="auto" w:fill="BAD3EA"/>
          </w:tcPr>
          <w:p>
            <w:pPr>
              <w:spacing w:after="0"/>
              <w:rPr>
                <w:sz w:val="15"/>
                <w:szCs w:val="15"/>
                <w:color w:val="auto"/>
              </w:rPr>
            </w:pPr>
          </w:p>
        </w:tc>
        <w:tc>
          <w:tcPr>
            <w:tcW w:w="640" w:type="dxa"/>
            <w:vAlign w:val="bottom"/>
            <w:shd w:val="clear" w:color="auto" w:fill="BAD3EA"/>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BAD3EA"/>
          </w:tcPr>
          <w:p>
            <w:pPr>
              <w:jc w:val="right"/>
              <w:ind w:right="188"/>
              <w:spacing w:after="0"/>
              <w:rPr>
                <w:sz w:val="20"/>
                <w:szCs w:val="20"/>
                <w:color w:val="auto"/>
              </w:rPr>
            </w:pPr>
            <w:r>
              <w:rPr>
                <w:rFonts w:ascii="Arial" w:cs="Arial" w:eastAsia="Arial" w:hAnsi="Arial"/>
                <w:sz w:val="14"/>
                <w:szCs w:val="14"/>
                <w:color w:val="auto"/>
              </w:rPr>
              <w:t>46,582</w:t>
            </w:r>
          </w:p>
        </w:tc>
        <w:tc>
          <w:tcPr>
            <w:tcW w:w="180" w:type="dxa"/>
            <w:vAlign w:val="bottom"/>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BAD3EA"/>
          </w:tcPr>
          <w:p>
            <w:pPr>
              <w:jc w:val="right"/>
              <w:ind w:right="128"/>
              <w:spacing w:after="0"/>
              <w:rPr>
                <w:sz w:val="20"/>
                <w:szCs w:val="20"/>
                <w:color w:val="auto"/>
              </w:rPr>
            </w:pPr>
            <w:r>
              <w:rPr>
                <w:rFonts w:ascii="Arial" w:cs="Arial" w:eastAsia="Arial" w:hAnsi="Arial"/>
                <w:sz w:val="14"/>
                <w:szCs w:val="14"/>
                <w:color w:val="auto"/>
              </w:rPr>
              <w:t>4,476,719</w:t>
            </w:r>
          </w:p>
        </w:tc>
      </w:tr>
      <w:tr>
        <w:trPr>
          <w:trHeight w:val="162"/>
        </w:trPr>
        <w:tc>
          <w:tcPr>
            <w:tcW w:w="2620" w:type="dxa"/>
            <w:vAlign w:val="bottom"/>
            <w:shd w:val="clear" w:color="auto" w:fill="BAD3EA"/>
          </w:tcPr>
          <w:p>
            <w:pPr>
              <w:ind w:left="20"/>
              <w:spacing w:after="0"/>
              <w:rPr>
                <w:sz w:val="20"/>
                <w:szCs w:val="20"/>
                <w:color w:val="auto"/>
              </w:rPr>
            </w:pPr>
            <w:r>
              <w:rPr>
                <w:rFonts w:ascii="Arial" w:cs="Arial" w:eastAsia="Arial" w:hAnsi="Arial"/>
                <w:sz w:val="14"/>
                <w:szCs w:val="14"/>
                <w:color w:val="auto"/>
              </w:rPr>
              <w:t>Executive Vice President</w:t>
            </w:r>
          </w:p>
        </w:tc>
        <w:tc>
          <w:tcPr>
            <w:tcW w:w="700" w:type="dxa"/>
            <w:vAlign w:val="bottom"/>
            <w:shd w:val="clear" w:color="auto" w:fill="BAD3EA"/>
          </w:tcPr>
          <w:p>
            <w:pPr>
              <w:ind w:left="200"/>
              <w:spacing w:after="0"/>
              <w:rPr>
                <w:sz w:val="20"/>
                <w:szCs w:val="20"/>
                <w:color w:val="auto"/>
              </w:rPr>
            </w:pPr>
            <w:r>
              <w:rPr>
                <w:rFonts w:ascii="Arial" w:cs="Arial" w:eastAsia="Arial" w:hAnsi="Arial"/>
                <w:sz w:val="14"/>
                <w:szCs w:val="14"/>
                <w:color w:val="auto"/>
              </w:rPr>
              <w:t>2017</w:t>
            </w:r>
          </w:p>
        </w:tc>
        <w:tc>
          <w:tcPr>
            <w:tcW w:w="260" w:type="dxa"/>
            <w:vAlign w:val="bottom"/>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BAD3EA"/>
          </w:tcPr>
          <w:p>
            <w:pPr>
              <w:jc w:val="right"/>
              <w:ind w:right="108"/>
              <w:spacing w:after="0"/>
              <w:rPr>
                <w:sz w:val="20"/>
                <w:szCs w:val="20"/>
                <w:color w:val="auto"/>
              </w:rPr>
            </w:pPr>
            <w:r>
              <w:rPr>
                <w:rFonts w:ascii="Arial" w:cs="Arial" w:eastAsia="Arial" w:hAnsi="Arial"/>
                <w:sz w:val="14"/>
                <w:szCs w:val="14"/>
                <w:color w:val="auto"/>
              </w:rPr>
              <w:t>28,846</w:t>
            </w:r>
          </w:p>
        </w:tc>
        <w:tc>
          <w:tcPr>
            <w:tcW w:w="260" w:type="dxa"/>
            <w:vAlign w:val="bottom"/>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BAD3EA"/>
          </w:tcPr>
          <w:p>
            <w:pPr>
              <w:jc w:val="right"/>
              <w:ind w:right="109"/>
              <w:spacing w:after="0"/>
              <w:rPr>
                <w:sz w:val="20"/>
                <w:szCs w:val="20"/>
                <w:color w:val="auto"/>
              </w:rPr>
            </w:pPr>
            <w:r>
              <w:rPr>
                <w:rFonts w:ascii="Arial" w:cs="Arial" w:eastAsia="Arial" w:hAnsi="Arial"/>
                <w:sz w:val="14"/>
                <w:szCs w:val="14"/>
                <w:color w:val="auto"/>
              </w:rPr>
              <w:t>520,000</w:t>
            </w:r>
          </w:p>
        </w:tc>
        <w:tc>
          <w:tcPr>
            <w:tcW w:w="260" w:type="dxa"/>
            <w:vAlign w:val="bottom"/>
            <w:shd w:val="clear" w:color="auto" w:fill="BAD3EA"/>
          </w:tcPr>
          <w:p>
            <w:pPr>
              <w:spacing w:after="0"/>
              <w:rPr>
                <w:sz w:val="14"/>
                <w:szCs w:val="14"/>
                <w:color w:val="auto"/>
              </w:rPr>
            </w:pPr>
          </w:p>
        </w:tc>
        <w:tc>
          <w:tcPr>
            <w:tcW w:w="820" w:type="dxa"/>
            <w:vAlign w:val="bottom"/>
            <w:shd w:val="clear" w:color="auto" w:fill="BAD3EA"/>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shd w:val="clear" w:color="auto" w:fill="BAD3EA"/>
          </w:tcPr>
          <w:p>
            <w:pPr>
              <w:spacing w:after="0"/>
              <w:rPr>
                <w:sz w:val="14"/>
                <w:szCs w:val="14"/>
                <w:color w:val="auto"/>
              </w:rPr>
            </w:pPr>
          </w:p>
        </w:tc>
        <w:tc>
          <w:tcPr>
            <w:tcW w:w="760" w:type="dxa"/>
            <w:vAlign w:val="bottom"/>
            <w:shd w:val="clear" w:color="auto" w:fill="BAD3EA"/>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shd w:val="clear" w:color="auto" w:fill="BAD3EA"/>
          </w:tcPr>
          <w:p>
            <w:pPr>
              <w:spacing w:after="0"/>
              <w:rPr>
                <w:sz w:val="14"/>
                <w:szCs w:val="14"/>
                <w:color w:val="auto"/>
              </w:rPr>
            </w:pPr>
          </w:p>
        </w:tc>
        <w:tc>
          <w:tcPr>
            <w:tcW w:w="640" w:type="dxa"/>
            <w:vAlign w:val="bottom"/>
            <w:shd w:val="clear" w:color="auto" w:fill="BAD3EA"/>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BAD3EA"/>
          </w:tcPr>
          <w:p>
            <w:pPr>
              <w:jc w:val="right"/>
              <w:ind w:right="188"/>
              <w:spacing w:after="0"/>
              <w:rPr>
                <w:sz w:val="20"/>
                <w:szCs w:val="20"/>
                <w:color w:val="auto"/>
              </w:rPr>
            </w:pPr>
            <w:r>
              <w:rPr>
                <w:rFonts w:ascii="Arial" w:cs="Arial" w:eastAsia="Arial" w:hAnsi="Arial"/>
                <w:sz w:val="14"/>
                <w:szCs w:val="14"/>
                <w:color w:val="auto"/>
              </w:rPr>
              <w:t>132</w:t>
            </w:r>
          </w:p>
        </w:tc>
        <w:tc>
          <w:tcPr>
            <w:tcW w:w="180" w:type="dxa"/>
            <w:vAlign w:val="bottom"/>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BAD3EA"/>
          </w:tcPr>
          <w:p>
            <w:pPr>
              <w:jc w:val="right"/>
              <w:ind w:right="128"/>
              <w:spacing w:after="0"/>
              <w:rPr>
                <w:sz w:val="20"/>
                <w:szCs w:val="20"/>
                <w:color w:val="auto"/>
              </w:rPr>
            </w:pPr>
            <w:r>
              <w:rPr>
                <w:rFonts w:ascii="Arial" w:cs="Arial" w:eastAsia="Arial" w:hAnsi="Arial"/>
                <w:sz w:val="14"/>
                <w:szCs w:val="14"/>
                <w:color w:val="auto"/>
              </w:rPr>
              <w:t>548,978</w:t>
            </w:r>
          </w:p>
        </w:tc>
      </w:tr>
      <w:tr>
        <w:trPr>
          <w:trHeight w:val="162"/>
        </w:trPr>
        <w:tc>
          <w:tcPr>
            <w:tcW w:w="2620" w:type="dxa"/>
            <w:vAlign w:val="bottom"/>
            <w:tcBorders>
              <w:bottom w:val="single" w:sz="8" w:color="auto"/>
            </w:tcBorders>
            <w:shd w:val="clear" w:color="auto" w:fill="BAD3EA"/>
          </w:tcPr>
          <w:p>
            <w:pPr>
              <w:ind w:left="20"/>
              <w:spacing w:after="0"/>
              <w:rPr>
                <w:sz w:val="20"/>
                <w:szCs w:val="20"/>
                <w:color w:val="auto"/>
              </w:rPr>
            </w:pPr>
            <w:r>
              <w:rPr>
                <w:rFonts w:ascii="Arial" w:cs="Arial" w:eastAsia="Arial" w:hAnsi="Arial"/>
                <w:sz w:val="14"/>
                <w:szCs w:val="14"/>
                <w:color w:val="auto"/>
              </w:rPr>
              <w:t>and Chief Financial Officer</w:t>
            </w:r>
          </w:p>
        </w:tc>
        <w:tc>
          <w:tcPr>
            <w:tcW w:w="700" w:type="dxa"/>
            <w:vAlign w:val="bottom"/>
            <w:tcBorders>
              <w:bottom w:val="single" w:sz="8" w:color="auto"/>
            </w:tcBorders>
            <w:shd w:val="clear" w:color="auto" w:fill="BAD3EA"/>
          </w:tcPr>
          <w:p>
            <w:pPr>
              <w:spacing w:after="0"/>
              <w:rPr>
                <w:sz w:val="14"/>
                <w:szCs w:val="14"/>
                <w:color w:val="auto"/>
              </w:rPr>
            </w:pPr>
          </w:p>
        </w:tc>
        <w:tc>
          <w:tcPr>
            <w:tcW w:w="260" w:type="dxa"/>
            <w:vAlign w:val="bottom"/>
            <w:tcBorders>
              <w:bottom w:val="single" w:sz="8" w:color="auto"/>
            </w:tcBorders>
            <w:shd w:val="clear" w:color="auto" w:fill="BAD3EA"/>
          </w:tcPr>
          <w:p>
            <w:pPr>
              <w:spacing w:after="0"/>
              <w:rPr>
                <w:sz w:val="14"/>
                <w:szCs w:val="14"/>
                <w:color w:val="auto"/>
              </w:rPr>
            </w:pPr>
          </w:p>
        </w:tc>
        <w:tc>
          <w:tcPr>
            <w:tcW w:w="820" w:type="dxa"/>
            <w:vAlign w:val="bottom"/>
            <w:tcBorders>
              <w:bottom w:val="single" w:sz="8" w:color="auto"/>
            </w:tcBorders>
            <w:shd w:val="clear" w:color="auto" w:fill="BAD3EA"/>
          </w:tcPr>
          <w:p>
            <w:pPr>
              <w:spacing w:after="0"/>
              <w:rPr>
                <w:sz w:val="14"/>
                <w:szCs w:val="14"/>
                <w:color w:val="auto"/>
              </w:rPr>
            </w:pPr>
          </w:p>
        </w:tc>
        <w:tc>
          <w:tcPr>
            <w:tcW w:w="260" w:type="dxa"/>
            <w:vAlign w:val="bottom"/>
            <w:tcBorders>
              <w:bottom w:val="single" w:sz="8" w:color="auto"/>
            </w:tcBorders>
            <w:shd w:val="clear" w:color="auto" w:fill="BAD3EA"/>
          </w:tcPr>
          <w:p>
            <w:pPr>
              <w:spacing w:after="0"/>
              <w:rPr>
                <w:sz w:val="14"/>
                <w:szCs w:val="14"/>
                <w:color w:val="auto"/>
              </w:rPr>
            </w:pPr>
          </w:p>
        </w:tc>
        <w:tc>
          <w:tcPr>
            <w:tcW w:w="820" w:type="dxa"/>
            <w:vAlign w:val="bottom"/>
            <w:tcBorders>
              <w:bottom w:val="single" w:sz="8" w:color="auto"/>
            </w:tcBorders>
            <w:shd w:val="clear" w:color="auto" w:fill="BAD3EA"/>
          </w:tcPr>
          <w:p>
            <w:pPr>
              <w:spacing w:after="0"/>
              <w:rPr>
                <w:sz w:val="14"/>
                <w:szCs w:val="14"/>
                <w:color w:val="auto"/>
              </w:rPr>
            </w:pPr>
          </w:p>
        </w:tc>
        <w:tc>
          <w:tcPr>
            <w:tcW w:w="260" w:type="dxa"/>
            <w:vAlign w:val="bottom"/>
            <w:tcBorders>
              <w:bottom w:val="single" w:sz="8" w:color="auto"/>
            </w:tcBorders>
            <w:shd w:val="clear" w:color="auto" w:fill="BAD3EA"/>
          </w:tcPr>
          <w:p>
            <w:pPr>
              <w:spacing w:after="0"/>
              <w:rPr>
                <w:sz w:val="14"/>
                <w:szCs w:val="14"/>
                <w:color w:val="auto"/>
              </w:rPr>
            </w:pPr>
          </w:p>
        </w:tc>
        <w:tc>
          <w:tcPr>
            <w:tcW w:w="820" w:type="dxa"/>
            <w:vAlign w:val="bottom"/>
            <w:tcBorders>
              <w:bottom w:val="single" w:sz="8" w:color="auto"/>
            </w:tcBorders>
            <w:shd w:val="clear" w:color="auto" w:fill="BAD3EA"/>
          </w:tcPr>
          <w:p>
            <w:pPr>
              <w:spacing w:after="0"/>
              <w:rPr>
                <w:sz w:val="14"/>
                <w:szCs w:val="14"/>
                <w:color w:val="auto"/>
              </w:rPr>
            </w:pPr>
          </w:p>
        </w:tc>
        <w:tc>
          <w:tcPr>
            <w:tcW w:w="440" w:type="dxa"/>
            <w:vAlign w:val="bottom"/>
            <w:tcBorders>
              <w:bottom w:val="single" w:sz="8" w:color="auto"/>
            </w:tcBorders>
            <w:shd w:val="clear" w:color="auto" w:fill="BAD3EA"/>
          </w:tcPr>
          <w:p>
            <w:pPr>
              <w:spacing w:after="0"/>
              <w:rPr>
                <w:sz w:val="14"/>
                <w:szCs w:val="14"/>
                <w:color w:val="auto"/>
              </w:rPr>
            </w:pPr>
          </w:p>
        </w:tc>
        <w:tc>
          <w:tcPr>
            <w:tcW w:w="760" w:type="dxa"/>
            <w:vAlign w:val="bottom"/>
            <w:tcBorders>
              <w:bottom w:val="single" w:sz="8" w:color="auto"/>
            </w:tcBorders>
            <w:shd w:val="clear" w:color="auto" w:fill="BAD3EA"/>
          </w:tcPr>
          <w:p>
            <w:pPr>
              <w:spacing w:after="0"/>
              <w:rPr>
                <w:sz w:val="14"/>
                <w:szCs w:val="14"/>
                <w:color w:val="auto"/>
              </w:rPr>
            </w:pPr>
          </w:p>
        </w:tc>
        <w:tc>
          <w:tcPr>
            <w:tcW w:w="340" w:type="dxa"/>
            <w:vAlign w:val="bottom"/>
            <w:tcBorders>
              <w:bottom w:val="single" w:sz="8" w:color="auto"/>
            </w:tcBorders>
            <w:shd w:val="clear" w:color="auto" w:fill="BAD3EA"/>
          </w:tcPr>
          <w:p>
            <w:pPr>
              <w:spacing w:after="0"/>
              <w:rPr>
                <w:sz w:val="14"/>
                <w:szCs w:val="14"/>
                <w:color w:val="auto"/>
              </w:rPr>
            </w:pPr>
          </w:p>
        </w:tc>
        <w:tc>
          <w:tcPr>
            <w:tcW w:w="640" w:type="dxa"/>
            <w:vAlign w:val="bottom"/>
            <w:tcBorders>
              <w:bottom w:val="single" w:sz="8" w:color="auto"/>
            </w:tcBorders>
            <w:shd w:val="clear" w:color="auto" w:fill="BAD3EA"/>
          </w:tcPr>
          <w:p>
            <w:pPr>
              <w:spacing w:after="0"/>
              <w:rPr>
                <w:sz w:val="14"/>
                <w:szCs w:val="14"/>
                <w:color w:val="auto"/>
              </w:rPr>
            </w:pPr>
          </w:p>
        </w:tc>
        <w:tc>
          <w:tcPr>
            <w:tcW w:w="440" w:type="dxa"/>
            <w:vAlign w:val="bottom"/>
            <w:tcBorders>
              <w:bottom w:val="single" w:sz="8" w:color="auto"/>
            </w:tcBorders>
            <w:shd w:val="clear" w:color="auto" w:fill="BAD3EA"/>
          </w:tcPr>
          <w:p>
            <w:pPr>
              <w:spacing w:after="0"/>
              <w:rPr>
                <w:sz w:val="14"/>
                <w:szCs w:val="14"/>
                <w:color w:val="auto"/>
              </w:rPr>
            </w:pPr>
          </w:p>
        </w:tc>
        <w:tc>
          <w:tcPr>
            <w:tcW w:w="740" w:type="dxa"/>
            <w:vAlign w:val="bottom"/>
            <w:tcBorders>
              <w:bottom w:val="single" w:sz="8" w:color="auto"/>
            </w:tcBorders>
            <w:shd w:val="clear" w:color="auto" w:fill="BAD3EA"/>
          </w:tcPr>
          <w:p>
            <w:pPr>
              <w:spacing w:after="0"/>
              <w:rPr>
                <w:sz w:val="14"/>
                <w:szCs w:val="14"/>
                <w:color w:val="auto"/>
              </w:rPr>
            </w:pPr>
          </w:p>
        </w:tc>
        <w:tc>
          <w:tcPr>
            <w:tcW w:w="180" w:type="dxa"/>
            <w:vAlign w:val="bottom"/>
            <w:tcBorders>
              <w:bottom w:val="single" w:sz="8" w:color="auto"/>
            </w:tcBorders>
            <w:shd w:val="clear" w:color="auto" w:fill="BAD3EA"/>
          </w:tcPr>
          <w:p>
            <w:pPr>
              <w:spacing w:after="0"/>
              <w:rPr>
                <w:sz w:val="14"/>
                <w:szCs w:val="14"/>
                <w:color w:val="auto"/>
              </w:rPr>
            </w:pPr>
          </w:p>
        </w:tc>
        <w:tc>
          <w:tcPr>
            <w:tcW w:w="920" w:type="dxa"/>
            <w:vAlign w:val="bottom"/>
            <w:tcBorders>
              <w:bottom w:val="single" w:sz="8" w:color="auto"/>
            </w:tcBorders>
            <w:shd w:val="clear" w:color="auto" w:fill="BAD3EA"/>
          </w:tcPr>
          <w:p>
            <w:pPr>
              <w:spacing w:after="0"/>
              <w:rPr>
                <w:sz w:val="14"/>
                <w:szCs w:val="14"/>
                <w:color w:val="auto"/>
              </w:rPr>
            </w:pPr>
          </w:p>
        </w:tc>
      </w:tr>
      <w:tr>
        <w:trPr>
          <w:trHeight w:val="183"/>
        </w:trPr>
        <w:tc>
          <w:tcPr>
            <w:tcW w:w="2620" w:type="dxa"/>
            <w:vAlign w:val="bottom"/>
            <w:shd w:val="clear" w:color="auto" w:fill="E8F0F8"/>
          </w:tcPr>
          <w:p>
            <w:pPr>
              <w:ind w:left="20"/>
              <w:spacing w:after="0"/>
              <w:rPr>
                <w:sz w:val="20"/>
                <w:szCs w:val="20"/>
                <w:color w:val="auto"/>
              </w:rPr>
            </w:pPr>
            <w:r>
              <w:rPr>
                <w:rFonts w:ascii="Arial" w:cs="Arial" w:eastAsia="Arial" w:hAnsi="Arial"/>
                <w:sz w:val="14"/>
                <w:szCs w:val="14"/>
                <w:b w:val="1"/>
                <w:bCs w:val="1"/>
                <w:color w:val="auto"/>
              </w:rPr>
              <w:t>Michael D. Ehlers</w:t>
            </w:r>
          </w:p>
        </w:tc>
        <w:tc>
          <w:tcPr>
            <w:tcW w:w="700" w:type="dxa"/>
            <w:vAlign w:val="bottom"/>
            <w:shd w:val="clear" w:color="auto" w:fill="E8F0F8"/>
          </w:tcPr>
          <w:p>
            <w:pPr>
              <w:ind w:left="200"/>
              <w:spacing w:after="0"/>
              <w:rPr>
                <w:sz w:val="20"/>
                <w:szCs w:val="20"/>
                <w:color w:val="auto"/>
              </w:rPr>
            </w:pPr>
            <w:r>
              <w:rPr>
                <w:rFonts w:ascii="Arial" w:cs="Arial" w:eastAsia="Arial" w:hAnsi="Arial"/>
                <w:sz w:val="14"/>
                <w:szCs w:val="14"/>
                <w:color w:val="auto"/>
              </w:rPr>
              <w:t>2018</w:t>
            </w:r>
          </w:p>
        </w:tc>
        <w:tc>
          <w:tcPr>
            <w:tcW w:w="26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8F0F8"/>
          </w:tcPr>
          <w:p>
            <w:pPr>
              <w:jc w:val="right"/>
              <w:ind w:right="108"/>
              <w:spacing w:after="0"/>
              <w:rPr>
                <w:sz w:val="20"/>
                <w:szCs w:val="20"/>
                <w:color w:val="auto"/>
              </w:rPr>
            </w:pPr>
            <w:r>
              <w:rPr>
                <w:rFonts w:ascii="Arial" w:cs="Arial" w:eastAsia="Arial" w:hAnsi="Arial"/>
                <w:sz w:val="14"/>
                <w:szCs w:val="14"/>
                <w:color w:val="auto"/>
              </w:rPr>
              <w:t>829,511</w:t>
            </w:r>
          </w:p>
        </w:tc>
        <w:tc>
          <w:tcPr>
            <w:tcW w:w="260" w:type="dxa"/>
            <w:vAlign w:val="bottom"/>
            <w:shd w:val="clear" w:color="auto" w:fill="E8F0F8"/>
          </w:tcPr>
          <w:p>
            <w:pPr>
              <w:spacing w:after="0"/>
              <w:rPr>
                <w:sz w:val="15"/>
                <w:szCs w:val="15"/>
                <w:color w:val="auto"/>
              </w:rPr>
            </w:pPr>
          </w:p>
        </w:tc>
        <w:tc>
          <w:tcPr>
            <w:tcW w:w="820" w:type="dxa"/>
            <w:vAlign w:val="bottom"/>
            <w:shd w:val="clear" w:color="auto" w:fill="E8F0F8"/>
          </w:tcPr>
          <w:p>
            <w:pPr>
              <w:jc w:val="right"/>
              <w:ind w:right="109"/>
              <w:spacing w:after="0"/>
              <w:rPr>
                <w:sz w:val="20"/>
                <w:szCs w:val="20"/>
                <w:color w:val="auto"/>
              </w:rPr>
            </w:pPr>
            <w:r>
              <w:rPr>
                <w:rFonts w:ascii="Arial" w:cs="Arial" w:eastAsia="Arial" w:hAnsi="Arial"/>
                <w:sz w:val="14"/>
                <w:szCs w:val="14"/>
                <w:color w:val="auto"/>
              </w:rPr>
              <w:t>—</w:t>
            </w:r>
          </w:p>
        </w:tc>
        <w:tc>
          <w:tcPr>
            <w:tcW w:w="26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8F0F8"/>
          </w:tcPr>
          <w:p>
            <w:pPr>
              <w:jc w:val="right"/>
              <w:ind w:right="29"/>
              <w:spacing w:after="0"/>
              <w:rPr>
                <w:sz w:val="20"/>
                <w:szCs w:val="20"/>
                <w:color w:val="auto"/>
              </w:rPr>
            </w:pPr>
            <w:r>
              <w:rPr>
                <w:rFonts w:ascii="Arial" w:cs="Arial" w:eastAsia="Arial" w:hAnsi="Arial"/>
                <w:sz w:val="14"/>
                <w:szCs w:val="14"/>
                <w:color w:val="auto"/>
              </w:rPr>
              <w:t>5,107,535</w:t>
            </w:r>
          </w:p>
        </w:tc>
        <w:tc>
          <w:tcPr>
            <w:tcW w:w="44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8F0F8"/>
          </w:tcPr>
          <w:p>
            <w:pPr>
              <w:jc w:val="right"/>
              <w:ind w:right="108"/>
              <w:spacing w:after="0"/>
              <w:rPr>
                <w:sz w:val="20"/>
                <w:szCs w:val="20"/>
                <w:color w:val="auto"/>
              </w:rPr>
            </w:pPr>
            <w:r>
              <w:rPr>
                <w:rFonts w:ascii="Arial" w:cs="Arial" w:eastAsia="Arial" w:hAnsi="Arial"/>
                <w:sz w:val="14"/>
                <w:szCs w:val="14"/>
                <w:color w:val="auto"/>
              </w:rPr>
              <w:t>917,837</w:t>
            </w:r>
          </w:p>
        </w:tc>
        <w:tc>
          <w:tcPr>
            <w:tcW w:w="340" w:type="dxa"/>
            <w:vAlign w:val="bottom"/>
            <w:shd w:val="clear" w:color="auto" w:fill="E8F0F8"/>
          </w:tcPr>
          <w:p>
            <w:pPr>
              <w:ind w:lef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E8F0F8"/>
          </w:tcPr>
          <w:p>
            <w:pPr>
              <w:jc w:val="right"/>
              <w:ind w:right="88"/>
              <w:spacing w:after="0"/>
              <w:rPr>
                <w:sz w:val="20"/>
                <w:szCs w:val="20"/>
                <w:color w:val="auto"/>
              </w:rPr>
            </w:pPr>
            <w:r>
              <w:rPr>
                <w:rFonts w:ascii="Arial" w:cs="Arial" w:eastAsia="Arial" w:hAnsi="Arial"/>
                <w:sz w:val="14"/>
                <w:szCs w:val="14"/>
                <w:color w:val="auto"/>
              </w:rPr>
              <w:t>5,258</w:t>
            </w:r>
          </w:p>
        </w:tc>
        <w:tc>
          <w:tcPr>
            <w:tcW w:w="1180" w:type="dxa"/>
            <w:vAlign w:val="bottom"/>
            <w:gridSpan w:val="2"/>
            <w:shd w:val="clear" w:color="auto" w:fill="E8F0F8"/>
          </w:tcPr>
          <w:p>
            <w:pPr>
              <w:jc w:val="right"/>
              <w:ind w:right="188"/>
              <w:spacing w:after="0"/>
              <w:rPr>
                <w:sz w:val="20"/>
                <w:szCs w:val="20"/>
                <w:color w:val="auto"/>
              </w:rPr>
            </w:pPr>
            <w:r>
              <w:rPr>
                <w:rFonts w:ascii="Arial" w:cs="Arial" w:eastAsia="Arial" w:hAnsi="Arial"/>
                <w:sz w:val="14"/>
                <w:szCs w:val="14"/>
                <w:color w:val="auto"/>
              </w:rPr>
              <w:t>$186,510</w:t>
            </w:r>
          </w:p>
        </w:tc>
        <w:tc>
          <w:tcPr>
            <w:tcW w:w="18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8F0F8"/>
          </w:tcPr>
          <w:p>
            <w:pPr>
              <w:jc w:val="right"/>
              <w:ind w:right="128"/>
              <w:spacing w:after="0"/>
              <w:rPr>
                <w:sz w:val="20"/>
                <w:szCs w:val="20"/>
                <w:color w:val="auto"/>
              </w:rPr>
            </w:pPr>
            <w:r>
              <w:rPr>
                <w:rFonts w:ascii="Arial" w:cs="Arial" w:eastAsia="Arial" w:hAnsi="Arial"/>
                <w:sz w:val="14"/>
                <w:szCs w:val="14"/>
                <w:color w:val="auto"/>
              </w:rPr>
              <w:t>7,046,651</w:t>
            </w:r>
          </w:p>
        </w:tc>
      </w:tr>
      <w:tr>
        <w:trPr>
          <w:trHeight w:val="162"/>
        </w:trPr>
        <w:tc>
          <w:tcPr>
            <w:tcW w:w="2620" w:type="dxa"/>
            <w:vAlign w:val="bottom"/>
            <w:shd w:val="clear" w:color="auto" w:fill="E8F0F8"/>
          </w:tcPr>
          <w:p>
            <w:pPr>
              <w:ind w:left="20"/>
              <w:spacing w:after="0"/>
              <w:rPr>
                <w:sz w:val="20"/>
                <w:szCs w:val="20"/>
                <w:color w:val="auto"/>
              </w:rPr>
            </w:pPr>
            <w:r>
              <w:rPr>
                <w:rFonts w:ascii="Arial" w:cs="Arial" w:eastAsia="Arial" w:hAnsi="Arial"/>
                <w:sz w:val="14"/>
                <w:szCs w:val="14"/>
                <w:color w:val="auto"/>
              </w:rPr>
              <w:t>Executive Vice President,</w:t>
            </w:r>
          </w:p>
        </w:tc>
        <w:tc>
          <w:tcPr>
            <w:tcW w:w="700" w:type="dxa"/>
            <w:vAlign w:val="bottom"/>
            <w:shd w:val="clear" w:color="auto" w:fill="E8F0F8"/>
          </w:tcPr>
          <w:p>
            <w:pPr>
              <w:ind w:left="200"/>
              <w:spacing w:after="0"/>
              <w:rPr>
                <w:sz w:val="20"/>
                <w:szCs w:val="20"/>
                <w:color w:val="auto"/>
              </w:rPr>
            </w:pPr>
            <w:r>
              <w:rPr>
                <w:rFonts w:ascii="Arial" w:cs="Arial" w:eastAsia="Arial" w:hAnsi="Arial"/>
                <w:sz w:val="14"/>
                <w:szCs w:val="14"/>
                <w:color w:val="auto"/>
              </w:rPr>
              <w:t>2017</w:t>
            </w:r>
          </w:p>
        </w:tc>
        <w:tc>
          <w:tcPr>
            <w:tcW w:w="26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8F0F8"/>
          </w:tcPr>
          <w:p>
            <w:pPr>
              <w:jc w:val="right"/>
              <w:ind w:right="108"/>
              <w:spacing w:after="0"/>
              <w:rPr>
                <w:sz w:val="20"/>
                <w:szCs w:val="20"/>
                <w:color w:val="auto"/>
              </w:rPr>
            </w:pPr>
            <w:r>
              <w:rPr>
                <w:rFonts w:ascii="Arial" w:cs="Arial" w:eastAsia="Arial" w:hAnsi="Arial"/>
                <w:sz w:val="14"/>
                <w:szCs w:val="14"/>
                <w:color w:val="auto"/>
              </w:rPr>
              <w:t>792,139</w:t>
            </w:r>
          </w:p>
        </w:tc>
        <w:tc>
          <w:tcPr>
            <w:tcW w:w="260" w:type="dxa"/>
            <w:vAlign w:val="bottom"/>
            <w:shd w:val="clear" w:color="auto" w:fill="E8F0F8"/>
          </w:tcPr>
          <w:p>
            <w:pPr>
              <w:spacing w:after="0"/>
              <w:rPr>
                <w:sz w:val="14"/>
                <w:szCs w:val="14"/>
                <w:color w:val="auto"/>
              </w:rPr>
            </w:pPr>
          </w:p>
        </w:tc>
        <w:tc>
          <w:tcPr>
            <w:tcW w:w="820" w:type="dxa"/>
            <w:vAlign w:val="bottom"/>
            <w:shd w:val="clear" w:color="auto" w:fill="E8F0F8"/>
          </w:tcPr>
          <w:p>
            <w:pPr>
              <w:jc w:val="right"/>
              <w:ind w:right="109"/>
              <w:spacing w:after="0"/>
              <w:rPr>
                <w:sz w:val="20"/>
                <w:szCs w:val="20"/>
                <w:color w:val="auto"/>
              </w:rPr>
            </w:pPr>
            <w:r>
              <w:rPr>
                <w:rFonts w:ascii="Arial" w:cs="Arial" w:eastAsia="Arial" w:hAnsi="Arial"/>
                <w:sz w:val="14"/>
                <w:szCs w:val="14"/>
                <w:color w:val="auto"/>
              </w:rPr>
              <w:t>—</w:t>
            </w:r>
          </w:p>
        </w:tc>
        <w:tc>
          <w:tcPr>
            <w:tcW w:w="26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8F0F8"/>
          </w:tcPr>
          <w:p>
            <w:pPr>
              <w:jc w:val="right"/>
              <w:ind w:right="29"/>
              <w:spacing w:after="0"/>
              <w:rPr>
                <w:sz w:val="20"/>
                <w:szCs w:val="20"/>
                <w:color w:val="auto"/>
              </w:rPr>
            </w:pPr>
            <w:r>
              <w:rPr>
                <w:rFonts w:ascii="Arial" w:cs="Arial" w:eastAsia="Arial" w:hAnsi="Arial"/>
                <w:sz w:val="14"/>
                <w:szCs w:val="14"/>
                <w:color w:val="auto"/>
              </w:rPr>
              <w:t>3,157,338</w:t>
            </w:r>
          </w:p>
        </w:tc>
        <w:tc>
          <w:tcPr>
            <w:tcW w:w="1200" w:type="dxa"/>
            <w:vAlign w:val="bottom"/>
            <w:gridSpan w:val="2"/>
            <w:shd w:val="clear" w:color="auto" w:fill="E8F0F8"/>
          </w:tcPr>
          <w:p>
            <w:pPr>
              <w:jc w:val="right"/>
              <w:ind w:right="108"/>
              <w:spacing w:after="0"/>
              <w:rPr>
                <w:sz w:val="20"/>
                <w:szCs w:val="20"/>
                <w:color w:val="auto"/>
              </w:rPr>
            </w:pPr>
            <w:r>
              <w:rPr>
                <w:rFonts w:ascii="Arial" w:cs="Arial" w:eastAsia="Arial" w:hAnsi="Arial"/>
                <w:sz w:val="14"/>
                <w:szCs w:val="14"/>
                <w:color w:val="auto"/>
              </w:rPr>
              <w:t>$1,012,034</w:t>
            </w:r>
          </w:p>
        </w:tc>
        <w:tc>
          <w:tcPr>
            <w:tcW w:w="340" w:type="dxa"/>
            <w:vAlign w:val="bottom"/>
            <w:shd w:val="clear" w:color="auto" w:fill="E8F0F8"/>
          </w:tcPr>
          <w:p>
            <w:pPr>
              <w:ind w:lef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E8F0F8"/>
          </w:tcPr>
          <w:p>
            <w:pPr>
              <w:jc w:val="right"/>
              <w:ind w:right="88"/>
              <w:spacing w:after="0"/>
              <w:rPr>
                <w:sz w:val="20"/>
                <w:szCs w:val="20"/>
                <w:color w:val="auto"/>
              </w:rPr>
            </w:pPr>
            <w:r>
              <w:rPr>
                <w:rFonts w:ascii="Arial" w:cs="Arial" w:eastAsia="Arial" w:hAnsi="Arial"/>
                <w:sz w:val="14"/>
                <w:szCs w:val="14"/>
                <w:color w:val="auto"/>
              </w:rPr>
              <w:t>1,799</w:t>
            </w:r>
          </w:p>
        </w:tc>
        <w:tc>
          <w:tcPr>
            <w:tcW w:w="1180" w:type="dxa"/>
            <w:vAlign w:val="bottom"/>
            <w:gridSpan w:val="2"/>
            <w:shd w:val="clear" w:color="auto" w:fill="E8F0F8"/>
          </w:tcPr>
          <w:p>
            <w:pPr>
              <w:jc w:val="right"/>
              <w:ind w:right="188"/>
              <w:spacing w:after="0"/>
              <w:rPr>
                <w:sz w:val="20"/>
                <w:szCs w:val="20"/>
                <w:color w:val="auto"/>
              </w:rPr>
            </w:pPr>
            <w:r>
              <w:rPr>
                <w:rFonts w:ascii="Arial" w:cs="Arial" w:eastAsia="Arial" w:hAnsi="Arial"/>
                <w:sz w:val="14"/>
                <w:szCs w:val="14"/>
                <w:color w:val="auto"/>
              </w:rPr>
              <w:t>$101,671</w:t>
            </w:r>
          </w:p>
        </w:tc>
        <w:tc>
          <w:tcPr>
            <w:tcW w:w="18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8F0F8"/>
          </w:tcPr>
          <w:p>
            <w:pPr>
              <w:jc w:val="right"/>
              <w:ind w:right="128"/>
              <w:spacing w:after="0"/>
              <w:rPr>
                <w:sz w:val="20"/>
                <w:szCs w:val="20"/>
                <w:color w:val="auto"/>
              </w:rPr>
            </w:pPr>
            <w:r>
              <w:rPr>
                <w:rFonts w:ascii="Arial" w:cs="Arial" w:eastAsia="Arial" w:hAnsi="Arial"/>
                <w:sz w:val="14"/>
                <w:szCs w:val="14"/>
                <w:color w:val="auto"/>
              </w:rPr>
              <w:t>5,064,981</w:t>
            </w:r>
          </w:p>
        </w:tc>
      </w:tr>
      <w:tr>
        <w:trPr>
          <w:trHeight w:val="162"/>
        </w:trPr>
        <w:tc>
          <w:tcPr>
            <w:tcW w:w="2620" w:type="dxa"/>
            <w:vAlign w:val="bottom"/>
            <w:tcBorders>
              <w:bottom w:val="single" w:sz="8" w:color="auto"/>
            </w:tcBorders>
            <w:shd w:val="clear" w:color="auto" w:fill="E8F0F8"/>
          </w:tcPr>
          <w:p>
            <w:pPr>
              <w:ind w:left="20"/>
              <w:spacing w:after="0"/>
              <w:rPr>
                <w:sz w:val="20"/>
                <w:szCs w:val="20"/>
                <w:color w:val="auto"/>
              </w:rPr>
            </w:pPr>
            <w:r>
              <w:rPr>
                <w:rFonts w:ascii="Arial" w:cs="Arial" w:eastAsia="Arial" w:hAnsi="Arial"/>
                <w:sz w:val="14"/>
                <w:szCs w:val="14"/>
                <w:color w:val="auto"/>
              </w:rPr>
              <w:t>Research &amp; Development</w:t>
            </w:r>
          </w:p>
        </w:tc>
        <w:tc>
          <w:tcPr>
            <w:tcW w:w="700" w:type="dxa"/>
            <w:vAlign w:val="bottom"/>
            <w:tcBorders>
              <w:bottom w:val="single" w:sz="8" w:color="auto"/>
            </w:tcBorders>
            <w:shd w:val="clear" w:color="auto" w:fill="E8F0F8"/>
          </w:tcPr>
          <w:p>
            <w:pPr>
              <w:ind w:left="200"/>
              <w:spacing w:after="0"/>
              <w:rPr>
                <w:sz w:val="20"/>
                <w:szCs w:val="20"/>
                <w:color w:val="auto"/>
              </w:rPr>
            </w:pPr>
            <w:r>
              <w:rPr>
                <w:rFonts w:ascii="Arial" w:cs="Arial" w:eastAsia="Arial" w:hAnsi="Arial"/>
                <w:sz w:val="14"/>
                <w:szCs w:val="14"/>
                <w:color w:val="auto"/>
              </w:rPr>
              <w:t>2016</w:t>
            </w:r>
          </w:p>
        </w:tc>
        <w:tc>
          <w:tcPr>
            <w:tcW w:w="26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8F0F8"/>
          </w:tcPr>
          <w:p>
            <w:pPr>
              <w:jc w:val="right"/>
              <w:ind w:right="108"/>
              <w:spacing w:after="0"/>
              <w:rPr>
                <w:sz w:val="20"/>
                <w:szCs w:val="20"/>
                <w:color w:val="auto"/>
              </w:rPr>
            </w:pPr>
            <w:r>
              <w:rPr>
                <w:rFonts w:ascii="Arial" w:cs="Arial" w:eastAsia="Arial" w:hAnsi="Arial"/>
                <w:sz w:val="14"/>
                <w:szCs w:val="14"/>
                <w:color w:val="auto"/>
              </w:rPr>
              <w:t>491,827</w:t>
            </w:r>
          </w:p>
        </w:tc>
        <w:tc>
          <w:tcPr>
            <w:tcW w:w="26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8F0F8"/>
          </w:tcPr>
          <w:p>
            <w:pPr>
              <w:jc w:val="right"/>
              <w:ind w:right="109"/>
              <w:spacing w:after="0"/>
              <w:rPr>
                <w:sz w:val="20"/>
                <w:szCs w:val="20"/>
                <w:color w:val="auto"/>
              </w:rPr>
            </w:pPr>
            <w:r>
              <w:rPr>
                <w:rFonts w:ascii="Arial" w:cs="Arial" w:eastAsia="Arial" w:hAnsi="Arial"/>
                <w:sz w:val="14"/>
                <w:szCs w:val="14"/>
                <w:color w:val="auto"/>
                <w:w w:val="99"/>
              </w:rPr>
              <w:t>1,170,177</w:t>
            </w:r>
          </w:p>
        </w:tc>
        <w:tc>
          <w:tcPr>
            <w:tcW w:w="26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8F0F8"/>
          </w:tcPr>
          <w:p>
            <w:pPr>
              <w:jc w:val="right"/>
              <w:ind w:right="29"/>
              <w:spacing w:after="0"/>
              <w:rPr>
                <w:sz w:val="20"/>
                <w:szCs w:val="20"/>
                <w:color w:val="auto"/>
              </w:rPr>
            </w:pPr>
            <w:r>
              <w:rPr>
                <w:rFonts w:ascii="Arial" w:cs="Arial" w:eastAsia="Arial" w:hAnsi="Arial"/>
                <w:sz w:val="14"/>
                <w:szCs w:val="14"/>
                <w:color w:val="auto"/>
              </w:rPr>
              <w:t>3,410,650</w:t>
            </w:r>
          </w:p>
        </w:tc>
        <w:tc>
          <w:tcPr>
            <w:tcW w:w="44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E8F0F8"/>
          </w:tcPr>
          <w:p>
            <w:pPr>
              <w:jc w:val="right"/>
              <w:ind w:right="108"/>
              <w:spacing w:after="0"/>
              <w:rPr>
                <w:sz w:val="20"/>
                <w:szCs w:val="20"/>
                <w:color w:val="auto"/>
              </w:rPr>
            </w:pPr>
            <w:r>
              <w:rPr>
                <w:rFonts w:ascii="Arial" w:cs="Arial" w:eastAsia="Arial" w:hAnsi="Arial"/>
                <w:sz w:val="14"/>
                <w:szCs w:val="14"/>
                <w:color w:val="auto"/>
              </w:rPr>
              <w:t>425,062</w:t>
            </w:r>
          </w:p>
        </w:tc>
        <w:tc>
          <w:tcPr>
            <w:tcW w:w="340" w:type="dxa"/>
            <w:vAlign w:val="bottom"/>
            <w:tcBorders>
              <w:bottom w:val="single" w:sz="8" w:color="auto"/>
            </w:tcBorders>
            <w:shd w:val="clear" w:color="auto" w:fill="E8F0F8"/>
          </w:tcPr>
          <w:p>
            <w:pPr>
              <w:ind w:left="2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E8F0F8"/>
          </w:tcPr>
          <w:p>
            <w:pPr>
              <w:jc w:val="right"/>
              <w:ind w:right="88"/>
              <w:spacing w:after="0"/>
              <w:rPr>
                <w:sz w:val="20"/>
                <w:szCs w:val="20"/>
                <w:color w:val="auto"/>
              </w:rPr>
            </w:pPr>
            <w:r>
              <w:rPr>
                <w:rFonts w:ascii="Arial" w:cs="Arial" w:eastAsia="Arial" w:hAnsi="Arial"/>
                <w:sz w:val="14"/>
                <w:szCs w:val="14"/>
                <w:color w:val="auto"/>
              </w:rPr>
              <w:t>155</w:t>
            </w:r>
          </w:p>
        </w:tc>
        <w:tc>
          <w:tcPr>
            <w:tcW w:w="44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E8F0F8"/>
          </w:tcPr>
          <w:p>
            <w:pPr>
              <w:jc w:val="right"/>
              <w:ind w:right="188"/>
              <w:spacing w:after="0"/>
              <w:rPr>
                <w:sz w:val="20"/>
                <w:szCs w:val="20"/>
                <w:color w:val="auto"/>
              </w:rPr>
            </w:pPr>
            <w:r>
              <w:rPr>
                <w:rFonts w:ascii="Arial" w:cs="Arial" w:eastAsia="Arial" w:hAnsi="Arial"/>
                <w:sz w:val="14"/>
                <w:szCs w:val="14"/>
                <w:color w:val="auto"/>
              </w:rPr>
              <w:t>14,665</w:t>
            </w:r>
          </w:p>
        </w:tc>
        <w:tc>
          <w:tcPr>
            <w:tcW w:w="18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E8F0F8"/>
          </w:tcPr>
          <w:p>
            <w:pPr>
              <w:jc w:val="right"/>
              <w:ind w:right="128"/>
              <w:spacing w:after="0"/>
              <w:rPr>
                <w:sz w:val="20"/>
                <w:szCs w:val="20"/>
                <w:color w:val="auto"/>
              </w:rPr>
            </w:pPr>
            <w:r>
              <w:rPr>
                <w:rFonts w:ascii="Arial" w:cs="Arial" w:eastAsia="Arial" w:hAnsi="Arial"/>
                <w:sz w:val="14"/>
                <w:szCs w:val="14"/>
                <w:color w:val="auto"/>
              </w:rPr>
              <w:t>5,512,536</w:t>
            </w:r>
          </w:p>
        </w:tc>
      </w:tr>
      <w:tr>
        <w:trPr>
          <w:trHeight w:val="183"/>
        </w:trPr>
        <w:tc>
          <w:tcPr>
            <w:tcW w:w="2620" w:type="dxa"/>
            <w:vAlign w:val="bottom"/>
            <w:shd w:val="clear" w:color="auto" w:fill="BAD3EA"/>
          </w:tcPr>
          <w:p>
            <w:pPr>
              <w:ind w:left="20"/>
              <w:spacing w:after="0"/>
              <w:rPr>
                <w:sz w:val="20"/>
                <w:szCs w:val="20"/>
                <w:color w:val="auto"/>
              </w:rPr>
            </w:pPr>
            <w:r>
              <w:rPr>
                <w:rFonts w:ascii="Arial" w:cs="Arial" w:eastAsia="Arial" w:hAnsi="Arial"/>
                <w:sz w:val="14"/>
                <w:szCs w:val="14"/>
                <w:b w:val="1"/>
                <w:bCs w:val="1"/>
                <w:color w:val="auto"/>
              </w:rPr>
              <w:t>Susan H. Alexander</w:t>
            </w:r>
          </w:p>
        </w:tc>
        <w:tc>
          <w:tcPr>
            <w:tcW w:w="700" w:type="dxa"/>
            <w:vAlign w:val="bottom"/>
            <w:shd w:val="clear" w:color="auto" w:fill="BAD3EA"/>
          </w:tcPr>
          <w:p>
            <w:pPr>
              <w:ind w:left="200"/>
              <w:spacing w:after="0"/>
              <w:rPr>
                <w:sz w:val="20"/>
                <w:szCs w:val="20"/>
                <w:color w:val="auto"/>
              </w:rPr>
            </w:pPr>
            <w:r>
              <w:rPr>
                <w:rFonts w:ascii="Arial" w:cs="Arial" w:eastAsia="Arial" w:hAnsi="Arial"/>
                <w:sz w:val="14"/>
                <w:szCs w:val="14"/>
                <w:color w:val="auto"/>
              </w:rPr>
              <w:t>2018</w:t>
            </w:r>
          </w:p>
        </w:tc>
        <w:tc>
          <w:tcPr>
            <w:tcW w:w="260" w:type="dxa"/>
            <w:vAlign w:val="bottom"/>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BAD3EA"/>
          </w:tcPr>
          <w:p>
            <w:pPr>
              <w:jc w:val="right"/>
              <w:ind w:right="108"/>
              <w:spacing w:after="0"/>
              <w:rPr>
                <w:sz w:val="20"/>
                <w:szCs w:val="20"/>
                <w:color w:val="auto"/>
              </w:rPr>
            </w:pPr>
            <w:r>
              <w:rPr>
                <w:rFonts w:ascii="Arial" w:cs="Arial" w:eastAsia="Arial" w:hAnsi="Arial"/>
                <w:sz w:val="14"/>
                <w:szCs w:val="14"/>
                <w:color w:val="auto"/>
              </w:rPr>
              <w:t>746,254</w:t>
            </w:r>
          </w:p>
        </w:tc>
        <w:tc>
          <w:tcPr>
            <w:tcW w:w="260" w:type="dxa"/>
            <w:vAlign w:val="bottom"/>
            <w:shd w:val="clear" w:color="auto" w:fill="BAD3EA"/>
          </w:tcPr>
          <w:p>
            <w:pPr>
              <w:spacing w:after="0"/>
              <w:rPr>
                <w:sz w:val="15"/>
                <w:szCs w:val="15"/>
                <w:color w:val="auto"/>
              </w:rPr>
            </w:pPr>
          </w:p>
        </w:tc>
        <w:tc>
          <w:tcPr>
            <w:tcW w:w="820" w:type="dxa"/>
            <w:vAlign w:val="bottom"/>
            <w:shd w:val="clear" w:color="auto" w:fill="BAD3EA"/>
          </w:tcPr>
          <w:p>
            <w:pPr>
              <w:jc w:val="right"/>
              <w:ind w:right="109"/>
              <w:spacing w:after="0"/>
              <w:rPr>
                <w:sz w:val="20"/>
                <w:szCs w:val="20"/>
                <w:color w:val="auto"/>
              </w:rPr>
            </w:pPr>
            <w:r>
              <w:rPr>
                <w:rFonts w:ascii="Arial" w:cs="Arial" w:eastAsia="Arial" w:hAnsi="Arial"/>
                <w:sz w:val="14"/>
                <w:szCs w:val="14"/>
                <w:color w:val="auto"/>
              </w:rPr>
              <w:t>—</w:t>
            </w:r>
          </w:p>
        </w:tc>
        <w:tc>
          <w:tcPr>
            <w:tcW w:w="260" w:type="dxa"/>
            <w:vAlign w:val="bottom"/>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BAD3EA"/>
          </w:tcPr>
          <w:p>
            <w:pPr>
              <w:jc w:val="right"/>
              <w:ind w:right="29"/>
              <w:spacing w:after="0"/>
              <w:rPr>
                <w:sz w:val="20"/>
                <w:szCs w:val="20"/>
                <w:color w:val="auto"/>
              </w:rPr>
            </w:pPr>
            <w:r>
              <w:rPr>
                <w:rFonts w:ascii="Arial" w:cs="Arial" w:eastAsia="Arial" w:hAnsi="Arial"/>
                <w:sz w:val="14"/>
                <w:szCs w:val="14"/>
                <w:color w:val="auto"/>
              </w:rPr>
              <w:t>4,359,590</w:t>
            </w:r>
          </w:p>
        </w:tc>
        <w:tc>
          <w:tcPr>
            <w:tcW w:w="440" w:type="dxa"/>
            <w:vAlign w:val="bottom"/>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BAD3EA"/>
          </w:tcPr>
          <w:p>
            <w:pPr>
              <w:jc w:val="right"/>
              <w:ind w:right="108"/>
              <w:spacing w:after="0"/>
              <w:rPr>
                <w:sz w:val="20"/>
                <w:szCs w:val="20"/>
                <w:color w:val="auto"/>
              </w:rPr>
            </w:pPr>
            <w:r>
              <w:rPr>
                <w:rFonts w:ascii="Arial" w:cs="Arial" w:eastAsia="Arial" w:hAnsi="Arial"/>
                <w:sz w:val="14"/>
                <w:szCs w:val="14"/>
                <w:color w:val="auto"/>
              </w:rPr>
              <w:t>858,744</w:t>
            </w:r>
          </w:p>
        </w:tc>
        <w:tc>
          <w:tcPr>
            <w:tcW w:w="980" w:type="dxa"/>
            <w:vAlign w:val="bottom"/>
            <w:gridSpan w:val="2"/>
            <w:shd w:val="clear" w:color="auto" w:fill="BAD3EA"/>
          </w:tcPr>
          <w:p>
            <w:pPr>
              <w:jc w:val="right"/>
              <w:ind w:right="88"/>
              <w:spacing w:after="0"/>
              <w:rPr>
                <w:sz w:val="20"/>
                <w:szCs w:val="20"/>
                <w:color w:val="auto"/>
              </w:rPr>
            </w:pPr>
            <w:r>
              <w:rPr>
                <w:rFonts w:ascii="Arial" w:cs="Arial" w:eastAsia="Arial" w:hAnsi="Arial"/>
                <w:sz w:val="14"/>
                <w:szCs w:val="14"/>
                <w:color w:val="auto"/>
              </w:rPr>
              <w:t>$188,056</w:t>
            </w:r>
          </w:p>
        </w:tc>
        <w:tc>
          <w:tcPr>
            <w:tcW w:w="1180" w:type="dxa"/>
            <w:vAlign w:val="bottom"/>
            <w:gridSpan w:val="2"/>
            <w:shd w:val="clear" w:color="auto" w:fill="BAD3EA"/>
          </w:tcPr>
          <w:p>
            <w:pPr>
              <w:jc w:val="right"/>
              <w:ind w:right="188"/>
              <w:spacing w:after="0"/>
              <w:rPr>
                <w:sz w:val="20"/>
                <w:szCs w:val="20"/>
                <w:color w:val="auto"/>
              </w:rPr>
            </w:pPr>
            <w:r>
              <w:rPr>
                <w:rFonts w:ascii="Arial" w:cs="Arial" w:eastAsia="Arial" w:hAnsi="Arial"/>
                <w:sz w:val="14"/>
                <w:szCs w:val="14"/>
                <w:color w:val="auto"/>
              </w:rPr>
              <w:t>$201,140</w:t>
            </w:r>
          </w:p>
        </w:tc>
        <w:tc>
          <w:tcPr>
            <w:tcW w:w="180" w:type="dxa"/>
            <w:vAlign w:val="bottom"/>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BAD3EA"/>
          </w:tcPr>
          <w:p>
            <w:pPr>
              <w:jc w:val="right"/>
              <w:ind w:right="128"/>
              <w:spacing w:after="0"/>
              <w:rPr>
                <w:sz w:val="20"/>
                <w:szCs w:val="20"/>
                <w:color w:val="auto"/>
              </w:rPr>
            </w:pPr>
            <w:r>
              <w:rPr>
                <w:rFonts w:ascii="Arial" w:cs="Arial" w:eastAsia="Arial" w:hAnsi="Arial"/>
                <w:sz w:val="14"/>
                <w:szCs w:val="14"/>
                <w:color w:val="auto"/>
              </w:rPr>
              <w:t>6,353,784</w:t>
            </w:r>
          </w:p>
        </w:tc>
      </w:tr>
      <w:tr>
        <w:trPr>
          <w:trHeight w:val="162"/>
        </w:trPr>
        <w:tc>
          <w:tcPr>
            <w:tcW w:w="2620" w:type="dxa"/>
            <w:vAlign w:val="bottom"/>
            <w:shd w:val="clear" w:color="auto" w:fill="BAD3EA"/>
          </w:tcPr>
          <w:p>
            <w:pPr>
              <w:ind w:left="20"/>
              <w:spacing w:after="0"/>
              <w:rPr>
                <w:sz w:val="20"/>
                <w:szCs w:val="20"/>
                <w:color w:val="auto"/>
              </w:rPr>
            </w:pPr>
            <w:r>
              <w:rPr>
                <w:rFonts w:ascii="Arial" w:cs="Arial" w:eastAsia="Arial" w:hAnsi="Arial"/>
                <w:sz w:val="14"/>
                <w:szCs w:val="14"/>
                <w:color w:val="auto"/>
              </w:rPr>
              <w:t>Executive Vice President,</w:t>
            </w:r>
          </w:p>
        </w:tc>
        <w:tc>
          <w:tcPr>
            <w:tcW w:w="700" w:type="dxa"/>
            <w:vAlign w:val="bottom"/>
            <w:shd w:val="clear" w:color="auto" w:fill="BAD3EA"/>
          </w:tcPr>
          <w:p>
            <w:pPr>
              <w:ind w:left="200"/>
              <w:spacing w:after="0"/>
              <w:rPr>
                <w:sz w:val="20"/>
                <w:szCs w:val="20"/>
                <w:color w:val="auto"/>
              </w:rPr>
            </w:pPr>
            <w:r>
              <w:rPr>
                <w:rFonts w:ascii="Arial" w:cs="Arial" w:eastAsia="Arial" w:hAnsi="Arial"/>
                <w:sz w:val="14"/>
                <w:szCs w:val="14"/>
                <w:color w:val="auto"/>
              </w:rPr>
              <w:t>2017</w:t>
            </w:r>
          </w:p>
        </w:tc>
        <w:tc>
          <w:tcPr>
            <w:tcW w:w="260" w:type="dxa"/>
            <w:vAlign w:val="bottom"/>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BAD3EA"/>
          </w:tcPr>
          <w:p>
            <w:pPr>
              <w:jc w:val="right"/>
              <w:ind w:right="108"/>
              <w:spacing w:after="0"/>
              <w:rPr>
                <w:sz w:val="20"/>
                <w:szCs w:val="20"/>
                <w:color w:val="auto"/>
              </w:rPr>
            </w:pPr>
            <w:r>
              <w:rPr>
                <w:rFonts w:ascii="Arial" w:cs="Arial" w:eastAsia="Arial" w:hAnsi="Arial"/>
                <w:sz w:val="14"/>
                <w:szCs w:val="14"/>
                <w:color w:val="auto"/>
              </w:rPr>
              <w:t>720,630</w:t>
            </w:r>
          </w:p>
        </w:tc>
        <w:tc>
          <w:tcPr>
            <w:tcW w:w="260" w:type="dxa"/>
            <w:vAlign w:val="bottom"/>
            <w:shd w:val="clear" w:color="auto" w:fill="BAD3EA"/>
          </w:tcPr>
          <w:p>
            <w:pPr>
              <w:spacing w:after="0"/>
              <w:rPr>
                <w:sz w:val="14"/>
                <w:szCs w:val="14"/>
                <w:color w:val="auto"/>
              </w:rPr>
            </w:pPr>
          </w:p>
        </w:tc>
        <w:tc>
          <w:tcPr>
            <w:tcW w:w="820" w:type="dxa"/>
            <w:vAlign w:val="bottom"/>
            <w:shd w:val="clear" w:color="auto" w:fill="BAD3EA"/>
          </w:tcPr>
          <w:p>
            <w:pPr>
              <w:jc w:val="right"/>
              <w:ind w:right="109"/>
              <w:spacing w:after="0"/>
              <w:rPr>
                <w:sz w:val="20"/>
                <w:szCs w:val="20"/>
                <w:color w:val="auto"/>
              </w:rPr>
            </w:pPr>
            <w:r>
              <w:rPr>
                <w:rFonts w:ascii="Arial" w:cs="Arial" w:eastAsia="Arial" w:hAnsi="Arial"/>
                <w:sz w:val="14"/>
                <w:szCs w:val="14"/>
                <w:color w:val="auto"/>
              </w:rPr>
              <w:t>—</w:t>
            </w:r>
          </w:p>
        </w:tc>
        <w:tc>
          <w:tcPr>
            <w:tcW w:w="260" w:type="dxa"/>
            <w:vAlign w:val="bottom"/>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BAD3EA"/>
          </w:tcPr>
          <w:p>
            <w:pPr>
              <w:jc w:val="right"/>
              <w:ind w:right="29"/>
              <w:spacing w:after="0"/>
              <w:rPr>
                <w:sz w:val="20"/>
                <w:szCs w:val="20"/>
                <w:color w:val="auto"/>
              </w:rPr>
            </w:pPr>
            <w:r>
              <w:rPr>
                <w:rFonts w:ascii="Arial" w:cs="Arial" w:eastAsia="Arial" w:hAnsi="Arial"/>
                <w:sz w:val="14"/>
                <w:szCs w:val="14"/>
                <w:color w:val="auto"/>
              </w:rPr>
              <w:t>3,157,338</w:t>
            </w:r>
          </w:p>
        </w:tc>
        <w:tc>
          <w:tcPr>
            <w:tcW w:w="440" w:type="dxa"/>
            <w:vAlign w:val="bottom"/>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BAD3EA"/>
          </w:tcPr>
          <w:p>
            <w:pPr>
              <w:jc w:val="right"/>
              <w:ind w:right="108"/>
              <w:spacing w:after="0"/>
              <w:rPr>
                <w:sz w:val="20"/>
                <w:szCs w:val="20"/>
                <w:color w:val="auto"/>
              </w:rPr>
            </w:pPr>
            <w:r>
              <w:rPr>
                <w:rFonts w:ascii="Arial" w:cs="Arial" w:eastAsia="Arial" w:hAnsi="Arial"/>
                <w:sz w:val="14"/>
                <w:szCs w:val="14"/>
                <w:color w:val="auto"/>
              </w:rPr>
              <w:t>856,305</w:t>
            </w:r>
          </w:p>
        </w:tc>
        <w:tc>
          <w:tcPr>
            <w:tcW w:w="980" w:type="dxa"/>
            <w:vAlign w:val="bottom"/>
            <w:gridSpan w:val="2"/>
            <w:shd w:val="clear" w:color="auto" w:fill="BAD3EA"/>
          </w:tcPr>
          <w:p>
            <w:pPr>
              <w:jc w:val="right"/>
              <w:ind w:right="88"/>
              <w:spacing w:after="0"/>
              <w:rPr>
                <w:sz w:val="20"/>
                <w:szCs w:val="20"/>
                <w:color w:val="auto"/>
              </w:rPr>
            </w:pPr>
            <w:r>
              <w:rPr>
                <w:rFonts w:ascii="Arial" w:cs="Arial" w:eastAsia="Arial" w:hAnsi="Arial"/>
                <w:sz w:val="14"/>
                <w:szCs w:val="14"/>
                <w:color w:val="auto"/>
              </w:rPr>
              <w:t>$148,961</w:t>
            </w:r>
          </w:p>
        </w:tc>
        <w:tc>
          <w:tcPr>
            <w:tcW w:w="1180" w:type="dxa"/>
            <w:vAlign w:val="bottom"/>
            <w:gridSpan w:val="2"/>
            <w:shd w:val="clear" w:color="auto" w:fill="BAD3EA"/>
          </w:tcPr>
          <w:p>
            <w:pPr>
              <w:jc w:val="right"/>
              <w:ind w:right="188"/>
              <w:spacing w:after="0"/>
              <w:rPr>
                <w:sz w:val="20"/>
                <w:szCs w:val="20"/>
                <w:color w:val="auto"/>
              </w:rPr>
            </w:pPr>
            <w:r>
              <w:rPr>
                <w:rFonts w:ascii="Arial" w:cs="Arial" w:eastAsia="Arial" w:hAnsi="Arial"/>
                <w:sz w:val="14"/>
                <w:szCs w:val="14"/>
                <w:color w:val="auto"/>
              </w:rPr>
              <w:t>$178,008</w:t>
            </w:r>
          </w:p>
        </w:tc>
        <w:tc>
          <w:tcPr>
            <w:tcW w:w="180" w:type="dxa"/>
            <w:vAlign w:val="bottom"/>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BAD3EA"/>
          </w:tcPr>
          <w:p>
            <w:pPr>
              <w:jc w:val="right"/>
              <w:ind w:right="128"/>
              <w:spacing w:after="0"/>
              <w:rPr>
                <w:sz w:val="20"/>
                <w:szCs w:val="20"/>
                <w:color w:val="auto"/>
              </w:rPr>
            </w:pPr>
            <w:r>
              <w:rPr>
                <w:rFonts w:ascii="Arial" w:cs="Arial" w:eastAsia="Arial" w:hAnsi="Arial"/>
                <w:sz w:val="14"/>
                <w:szCs w:val="14"/>
                <w:color w:val="auto"/>
              </w:rPr>
              <w:t>5,061,242</w:t>
            </w:r>
          </w:p>
        </w:tc>
      </w:tr>
      <w:tr>
        <w:trPr>
          <w:trHeight w:val="162"/>
        </w:trPr>
        <w:tc>
          <w:tcPr>
            <w:tcW w:w="2620" w:type="dxa"/>
            <w:vAlign w:val="bottom"/>
            <w:shd w:val="clear" w:color="auto" w:fill="BAD3EA"/>
          </w:tcPr>
          <w:p>
            <w:pPr>
              <w:ind w:left="20"/>
              <w:spacing w:after="0"/>
              <w:rPr>
                <w:sz w:val="20"/>
                <w:szCs w:val="20"/>
                <w:color w:val="auto"/>
              </w:rPr>
            </w:pPr>
            <w:r>
              <w:rPr>
                <w:rFonts w:ascii="Arial" w:cs="Arial" w:eastAsia="Arial" w:hAnsi="Arial"/>
                <w:sz w:val="14"/>
                <w:szCs w:val="14"/>
                <w:color w:val="auto"/>
              </w:rPr>
              <w:t>Chief Legal Officer</w:t>
            </w:r>
          </w:p>
        </w:tc>
        <w:tc>
          <w:tcPr>
            <w:tcW w:w="700" w:type="dxa"/>
            <w:vAlign w:val="bottom"/>
            <w:shd w:val="clear" w:color="auto" w:fill="BAD3EA"/>
          </w:tcPr>
          <w:p>
            <w:pPr>
              <w:ind w:left="200"/>
              <w:spacing w:after="0"/>
              <w:rPr>
                <w:sz w:val="20"/>
                <w:szCs w:val="20"/>
                <w:color w:val="auto"/>
              </w:rPr>
            </w:pPr>
            <w:r>
              <w:rPr>
                <w:rFonts w:ascii="Arial" w:cs="Arial" w:eastAsia="Arial" w:hAnsi="Arial"/>
                <w:sz w:val="14"/>
                <w:szCs w:val="14"/>
                <w:color w:val="auto"/>
              </w:rPr>
              <w:t>2016</w:t>
            </w:r>
          </w:p>
        </w:tc>
        <w:tc>
          <w:tcPr>
            <w:tcW w:w="260" w:type="dxa"/>
            <w:vAlign w:val="bottom"/>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BAD3EA"/>
          </w:tcPr>
          <w:p>
            <w:pPr>
              <w:jc w:val="right"/>
              <w:ind w:right="108"/>
              <w:spacing w:after="0"/>
              <w:rPr>
                <w:sz w:val="20"/>
                <w:szCs w:val="20"/>
                <w:color w:val="auto"/>
              </w:rPr>
            </w:pPr>
            <w:r>
              <w:rPr>
                <w:rFonts w:ascii="Arial" w:cs="Arial" w:eastAsia="Arial" w:hAnsi="Arial"/>
                <w:sz w:val="14"/>
                <w:szCs w:val="14"/>
                <w:color w:val="auto"/>
              </w:rPr>
              <w:t>693,663</w:t>
            </w:r>
          </w:p>
        </w:tc>
        <w:tc>
          <w:tcPr>
            <w:tcW w:w="260" w:type="dxa"/>
            <w:vAlign w:val="bottom"/>
            <w:shd w:val="clear" w:color="auto" w:fill="BAD3EA"/>
          </w:tcPr>
          <w:p>
            <w:pPr>
              <w:spacing w:after="0"/>
              <w:rPr>
                <w:sz w:val="14"/>
                <w:szCs w:val="14"/>
                <w:color w:val="auto"/>
              </w:rPr>
            </w:pPr>
          </w:p>
        </w:tc>
        <w:tc>
          <w:tcPr>
            <w:tcW w:w="820" w:type="dxa"/>
            <w:vAlign w:val="bottom"/>
            <w:shd w:val="clear" w:color="auto" w:fill="BAD3EA"/>
          </w:tcPr>
          <w:p>
            <w:pPr>
              <w:jc w:val="right"/>
              <w:ind w:right="109"/>
              <w:spacing w:after="0"/>
              <w:rPr>
                <w:sz w:val="20"/>
                <w:szCs w:val="20"/>
                <w:color w:val="auto"/>
              </w:rPr>
            </w:pPr>
            <w:r>
              <w:rPr>
                <w:rFonts w:ascii="Arial" w:cs="Arial" w:eastAsia="Arial" w:hAnsi="Arial"/>
                <w:sz w:val="14"/>
                <w:szCs w:val="14"/>
                <w:color w:val="auto"/>
              </w:rPr>
              <w:t>—</w:t>
            </w:r>
          </w:p>
        </w:tc>
        <w:tc>
          <w:tcPr>
            <w:tcW w:w="260" w:type="dxa"/>
            <w:vAlign w:val="bottom"/>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BAD3EA"/>
          </w:tcPr>
          <w:p>
            <w:pPr>
              <w:jc w:val="right"/>
              <w:ind w:right="29"/>
              <w:spacing w:after="0"/>
              <w:rPr>
                <w:sz w:val="20"/>
                <w:szCs w:val="20"/>
                <w:color w:val="auto"/>
              </w:rPr>
            </w:pPr>
            <w:r>
              <w:rPr>
                <w:rFonts w:ascii="Arial" w:cs="Arial" w:eastAsia="Arial" w:hAnsi="Arial"/>
                <w:sz w:val="14"/>
                <w:szCs w:val="14"/>
                <w:color w:val="auto"/>
              </w:rPr>
              <w:t>2,337,051</w:t>
            </w:r>
          </w:p>
        </w:tc>
        <w:tc>
          <w:tcPr>
            <w:tcW w:w="440" w:type="dxa"/>
            <w:vAlign w:val="bottom"/>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BAD3EA"/>
          </w:tcPr>
          <w:p>
            <w:pPr>
              <w:jc w:val="right"/>
              <w:ind w:right="108"/>
              <w:spacing w:after="0"/>
              <w:rPr>
                <w:sz w:val="20"/>
                <w:szCs w:val="20"/>
                <w:color w:val="auto"/>
              </w:rPr>
            </w:pPr>
            <w:r>
              <w:rPr>
                <w:rFonts w:ascii="Arial" w:cs="Arial" w:eastAsia="Arial" w:hAnsi="Arial"/>
                <w:sz w:val="14"/>
                <w:szCs w:val="14"/>
                <w:color w:val="auto"/>
              </w:rPr>
              <w:t>589,514</w:t>
            </w:r>
          </w:p>
        </w:tc>
        <w:tc>
          <w:tcPr>
            <w:tcW w:w="980" w:type="dxa"/>
            <w:vAlign w:val="bottom"/>
            <w:gridSpan w:val="2"/>
            <w:shd w:val="clear" w:color="auto" w:fill="BAD3EA"/>
          </w:tcPr>
          <w:p>
            <w:pPr>
              <w:jc w:val="right"/>
              <w:ind w:right="88"/>
              <w:spacing w:after="0"/>
              <w:rPr>
                <w:sz w:val="20"/>
                <w:szCs w:val="20"/>
                <w:color w:val="auto"/>
              </w:rPr>
            </w:pPr>
            <w:r>
              <w:rPr>
                <w:rFonts w:ascii="Arial" w:cs="Arial" w:eastAsia="Arial" w:hAnsi="Arial"/>
                <w:sz w:val="14"/>
                <w:szCs w:val="14"/>
                <w:color w:val="auto"/>
              </w:rPr>
              <w:t>$133,726</w:t>
            </w:r>
          </w:p>
        </w:tc>
        <w:tc>
          <w:tcPr>
            <w:tcW w:w="1180" w:type="dxa"/>
            <w:vAlign w:val="bottom"/>
            <w:gridSpan w:val="2"/>
            <w:shd w:val="clear" w:color="auto" w:fill="BAD3EA"/>
          </w:tcPr>
          <w:p>
            <w:pPr>
              <w:jc w:val="right"/>
              <w:ind w:right="188"/>
              <w:spacing w:after="0"/>
              <w:rPr>
                <w:sz w:val="20"/>
                <w:szCs w:val="20"/>
                <w:color w:val="auto"/>
              </w:rPr>
            </w:pPr>
            <w:r>
              <w:rPr>
                <w:rFonts w:ascii="Arial" w:cs="Arial" w:eastAsia="Arial" w:hAnsi="Arial"/>
                <w:sz w:val="14"/>
                <w:szCs w:val="14"/>
                <w:color w:val="auto"/>
              </w:rPr>
              <w:t>$171,114</w:t>
            </w:r>
          </w:p>
        </w:tc>
        <w:tc>
          <w:tcPr>
            <w:tcW w:w="180" w:type="dxa"/>
            <w:vAlign w:val="bottom"/>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BAD3EA"/>
          </w:tcPr>
          <w:p>
            <w:pPr>
              <w:jc w:val="right"/>
              <w:ind w:right="128"/>
              <w:spacing w:after="0"/>
              <w:rPr>
                <w:sz w:val="20"/>
                <w:szCs w:val="20"/>
                <w:color w:val="auto"/>
              </w:rPr>
            </w:pPr>
            <w:r>
              <w:rPr>
                <w:rFonts w:ascii="Arial" w:cs="Arial" w:eastAsia="Arial" w:hAnsi="Arial"/>
                <w:sz w:val="14"/>
                <w:szCs w:val="14"/>
                <w:color w:val="auto"/>
              </w:rPr>
              <w:t>3,925,068</w:t>
            </w:r>
          </w:p>
        </w:tc>
      </w:tr>
      <w:tr>
        <w:trPr>
          <w:trHeight w:val="162"/>
        </w:trPr>
        <w:tc>
          <w:tcPr>
            <w:tcW w:w="2620" w:type="dxa"/>
            <w:vAlign w:val="bottom"/>
            <w:tcBorders>
              <w:bottom w:val="single" w:sz="8" w:color="auto"/>
            </w:tcBorders>
            <w:shd w:val="clear" w:color="auto" w:fill="BAD3EA"/>
          </w:tcPr>
          <w:p>
            <w:pPr>
              <w:ind w:left="20"/>
              <w:spacing w:after="0"/>
              <w:rPr>
                <w:sz w:val="20"/>
                <w:szCs w:val="20"/>
                <w:color w:val="auto"/>
              </w:rPr>
            </w:pPr>
            <w:r>
              <w:rPr>
                <w:rFonts w:ascii="Arial" w:cs="Arial" w:eastAsia="Arial" w:hAnsi="Arial"/>
                <w:sz w:val="14"/>
                <w:szCs w:val="14"/>
                <w:color w:val="auto"/>
              </w:rPr>
              <w:t>and Secretary</w:t>
            </w:r>
          </w:p>
        </w:tc>
        <w:tc>
          <w:tcPr>
            <w:tcW w:w="700" w:type="dxa"/>
            <w:vAlign w:val="bottom"/>
            <w:tcBorders>
              <w:bottom w:val="single" w:sz="8" w:color="auto"/>
            </w:tcBorders>
            <w:shd w:val="clear" w:color="auto" w:fill="BAD3EA"/>
          </w:tcPr>
          <w:p>
            <w:pPr>
              <w:spacing w:after="0"/>
              <w:rPr>
                <w:sz w:val="14"/>
                <w:szCs w:val="14"/>
                <w:color w:val="auto"/>
              </w:rPr>
            </w:pPr>
          </w:p>
        </w:tc>
        <w:tc>
          <w:tcPr>
            <w:tcW w:w="260" w:type="dxa"/>
            <w:vAlign w:val="bottom"/>
            <w:tcBorders>
              <w:bottom w:val="single" w:sz="8" w:color="auto"/>
            </w:tcBorders>
            <w:shd w:val="clear" w:color="auto" w:fill="BAD3EA"/>
          </w:tcPr>
          <w:p>
            <w:pPr>
              <w:spacing w:after="0"/>
              <w:rPr>
                <w:sz w:val="14"/>
                <w:szCs w:val="14"/>
                <w:color w:val="auto"/>
              </w:rPr>
            </w:pPr>
          </w:p>
        </w:tc>
        <w:tc>
          <w:tcPr>
            <w:tcW w:w="820" w:type="dxa"/>
            <w:vAlign w:val="bottom"/>
            <w:tcBorders>
              <w:bottom w:val="single" w:sz="8" w:color="auto"/>
            </w:tcBorders>
            <w:shd w:val="clear" w:color="auto" w:fill="BAD3EA"/>
          </w:tcPr>
          <w:p>
            <w:pPr>
              <w:spacing w:after="0"/>
              <w:rPr>
                <w:sz w:val="14"/>
                <w:szCs w:val="14"/>
                <w:color w:val="auto"/>
              </w:rPr>
            </w:pPr>
          </w:p>
        </w:tc>
        <w:tc>
          <w:tcPr>
            <w:tcW w:w="260" w:type="dxa"/>
            <w:vAlign w:val="bottom"/>
            <w:tcBorders>
              <w:bottom w:val="single" w:sz="8" w:color="auto"/>
            </w:tcBorders>
            <w:shd w:val="clear" w:color="auto" w:fill="BAD3EA"/>
          </w:tcPr>
          <w:p>
            <w:pPr>
              <w:spacing w:after="0"/>
              <w:rPr>
                <w:sz w:val="14"/>
                <w:szCs w:val="14"/>
                <w:color w:val="auto"/>
              </w:rPr>
            </w:pPr>
          </w:p>
        </w:tc>
        <w:tc>
          <w:tcPr>
            <w:tcW w:w="820" w:type="dxa"/>
            <w:vAlign w:val="bottom"/>
            <w:tcBorders>
              <w:bottom w:val="single" w:sz="8" w:color="auto"/>
            </w:tcBorders>
            <w:shd w:val="clear" w:color="auto" w:fill="BAD3EA"/>
          </w:tcPr>
          <w:p>
            <w:pPr>
              <w:spacing w:after="0"/>
              <w:rPr>
                <w:sz w:val="14"/>
                <w:szCs w:val="14"/>
                <w:color w:val="auto"/>
              </w:rPr>
            </w:pPr>
          </w:p>
        </w:tc>
        <w:tc>
          <w:tcPr>
            <w:tcW w:w="260" w:type="dxa"/>
            <w:vAlign w:val="bottom"/>
            <w:tcBorders>
              <w:bottom w:val="single" w:sz="8" w:color="auto"/>
            </w:tcBorders>
            <w:shd w:val="clear" w:color="auto" w:fill="BAD3EA"/>
          </w:tcPr>
          <w:p>
            <w:pPr>
              <w:spacing w:after="0"/>
              <w:rPr>
                <w:sz w:val="14"/>
                <w:szCs w:val="14"/>
                <w:color w:val="auto"/>
              </w:rPr>
            </w:pPr>
          </w:p>
        </w:tc>
        <w:tc>
          <w:tcPr>
            <w:tcW w:w="820" w:type="dxa"/>
            <w:vAlign w:val="bottom"/>
            <w:tcBorders>
              <w:bottom w:val="single" w:sz="8" w:color="auto"/>
            </w:tcBorders>
            <w:shd w:val="clear" w:color="auto" w:fill="BAD3EA"/>
          </w:tcPr>
          <w:p>
            <w:pPr>
              <w:spacing w:after="0"/>
              <w:rPr>
                <w:sz w:val="14"/>
                <w:szCs w:val="14"/>
                <w:color w:val="auto"/>
              </w:rPr>
            </w:pPr>
          </w:p>
        </w:tc>
        <w:tc>
          <w:tcPr>
            <w:tcW w:w="440" w:type="dxa"/>
            <w:vAlign w:val="bottom"/>
            <w:tcBorders>
              <w:bottom w:val="single" w:sz="8" w:color="auto"/>
            </w:tcBorders>
            <w:shd w:val="clear" w:color="auto" w:fill="BAD3EA"/>
          </w:tcPr>
          <w:p>
            <w:pPr>
              <w:spacing w:after="0"/>
              <w:rPr>
                <w:sz w:val="14"/>
                <w:szCs w:val="14"/>
                <w:color w:val="auto"/>
              </w:rPr>
            </w:pPr>
          </w:p>
        </w:tc>
        <w:tc>
          <w:tcPr>
            <w:tcW w:w="760" w:type="dxa"/>
            <w:vAlign w:val="bottom"/>
            <w:tcBorders>
              <w:bottom w:val="single" w:sz="8" w:color="auto"/>
            </w:tcBorders>
            <w:shd w:val="clear" w:color="auto" w:fill="BAD3EA"/>
          </w:tcPr>
          <w:p>
            <w:pPr>
              <w:spacing w:after="0"/>
              <w:rPr>
                <w:sz w:val="14"/>
                <w:szCs w:val="14"/>
                <w:color w:val="auto"/>
              </w:rPr>
            </w:pPr>
          </w:p>
        </w:tc>
        <w:tc>
          <w:tcPr>
            <w:tcW w:w="340" w:type="dxa"/>
            <w:vAlign w:val="bottom"/>
            <w:tcBorders>
              <w:bottom w:val="single" w:sz="8" w:color="auto"/>
            </w:tcBorders>
            <w:shd w:val="clear" w:color="auto" w:fill="BAD3EA"/>
          </w:tcPr>
          <w:p>
            <w:pPr>
              <w:spacing w:after="0"/>
              <w:rPr>
                <w:sz w:val="14"/>
                <w:szCs w:val="14"/>
                <w:color w:val="auto"/>
              </w:rPr>
            </w:pPr>
          </w:p>
        </w:tc>
        <w:tc>
          <w:tcPr>
            <w:tcW w:w="640" w:type="dxa"/>
            <w:vAlign w:val="bottom"/>
            <w:tcBorders>
              <w:bottom w:val="single" w:sz="8" w:color="auto"/>
            </w:tcBorders>
            <w:shd w:val="clear" w:color="auto" w:fill="BAD3EA"/>
          </w:tcPr>
          <w:p>
            <w:pPr>
              <w:spacing w:after="0"/>
              <w:rPr>
                <w:sz w:val="14"/>
                <w:szCs w:val="14"/>
                <w:color w:val="auto"/>
              </w:rPr>
            </w:pPr>
          </w:p>
        </w:tc>
        <w:tc>
          <w:tcPr>
            <w:tcW w:w="440" w:type="dxa"/>
            <w:vAlign w:val="bottom"/>
            <w:tcBorders>
              <w:bottom w:val="single" w:sz="8" w:color="auto"/>
            </w:tcBorders>
            <w:shd w:val="clear" w:color="auto" w:fill="BAD3EA"/>
          </w:tcPr>
          <w:p>
            <w:pPr>
              <w:spacing w:after="0"/>
              <w:rPr>
                <w:sz w:val="14"/>
                <w:szCs w:val="14"/>
                <w:color w:val="auto"/>
              </w:rPr>
            </w:pPr>
          </w:p>
        </w:tc>
        <w:tc>
          <w:tcPr>
            <w:tcW w:w="740" w:type="dxa"/>
            <w:vAlign w:val="bottom"/>
            <w:tcBorders>
              <w:bottom w:val="single" w:sz="8" w:color="auto"/>
            </w:tcBorders>
            <w:shd w:val="clear" w:color="auto" w:fill="BAD3EA"/>
          </w:tcPr>
          <w:p>
            <w:pPr>
              <w:spacing w:after="0"/>
              <w:rPr>
                <w:sz w:val="14"/>
                <w:szCs w:val="14"/>
                <w:color w:val="auto"/>
              </w:rPr>
            </w:pPr>
          </w:p>
        </w:tc>
        <w:tc>
          <w:tcPr>
            <w:tcW w:w="180" w:type="dxa"/>
            <w:vAlign w:val="bottom"/>
            <w:tcBorders>
              <w:bottom w:val="single" w:sz="8" w:color="auto"/>
            </w:tcBorders>
            <w:shd w:val="clear" w:color="auto" w:fill="BAD3EA"/>
          </w:tcPr>
          <w:p>
            <w:pPr>
              <w:spacing w:after="0"/>
              <w:rPr>
                <w:sz w:val="14"/>
                <w:szCs w:val="14"/>
                <w:color w:val="auto"/>
              </w:rPr>
            </w:pPr>
          </w:p>
        </w:tc>
        <w:tc>
          <w:tcPr>
            <w:tcW w:w="920" w:type="dxa"/>
            <w:vAlign w:val="bottom"/>
            <w:tcBorders>
              <w:bottom w:val="single" w:sz="8" w:color="auto"/>
            </w:tcBorders>
            <w:shd w:val="clear" w:color="auto" w:fill="BAD3EA"/>
          </w:tcPr>
          <w:p>
            <w:pPr>
              <w:spacing w:after="0"/>
              <w:rPr>
                <w:sz w:val="14"/>
                <w:szCs w:val="14"/>
                <w:color w:val="auto"/>
              </w:rPr>
            </w:pPr>
          </w:p>
        </w:tc>
      </w:tr>
      <w:tr>
        <w:trPr>
          <w:trHeight w:val="183"/>
        </w:trPr>
        <w:tc>
          <w:tcPr>
            <w:tcW w:w="2620" w:type="dxa"/>
            <w:vAlign w:val="bottom"/>
            <w:shd w:val="clear" w:color="auto" w:fill="E8F0F8"/>
          </w:tcPr>
          <w:p>
            <w:pPr>
              <w:ind w:left="20"/>
              <w:spacing w:after="0"/>
              <w:rPr>
                <w:sz w:val="20"/>
                <w:szCs w:val="20"/>
                <w:color w:val="auto"/>
              </w:rPr>
            </w:pPr>
            <w:r>
              <w:rPr>
                <w:rFonts w:ascii="Arial" w:cs="Arial" w:eastAsia="Arial" w:hAnsi="Arial"/>
                <w:sz w:val="14"/>
                <w:szCs w:val="14"/>
                <w:b w:val="1"/>
                <w:bCs w:val="1"/>
                <w:color w:val="auto"/>
              </w:rPr>
              <w:t>Paul F. McKenzie</w:t>
            </w:r>
          </w:p>
        </w:tc>
        <w:tc>
          <w:tcPr>
            <w:tcW w:w="700" w:type="dxa"/>
            <w:vAlign w:val="bottom"/>
            <w:shd w:val="clear" w:color="auto" w:fill="E8F0F8"/>
          </w:tcPr>
          <w:p>
            <w:pPr>
              <w:ind w:left="200"/>
              <w:spacing w:after="0"/>
              <w:rPr>
                <w:sz w:val="20"/>
                <w:szCs w:val="20"/>
                <w:color w:val="auto"/>
              </w:rPr>
            </w:pPr>
            <w:r>
              <w:rPr>
                <w:rFonts w:ascii="Arial" w:cs="Arial" w:eastAsia="Arial" w:hAnsi="Arial"/>
                <w:sz w:val="14"/>
                <w:szCs w:val="14"/>
                <w:color w:val="auto"/>
              </w:rPr>
              <w:t>2018</w:t>
            </w:r>
          </w:p>
        </w:tc>
        <w:tc>
          <w:tcPr>
            <w:tcW w:w="26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8F0F8"/>
          </w:tcPr>
          <w:p>
            <w:pPr>
              <w:jc w:val="right"/>
              <w:ind w:right="108"/>
              <w:spacing w:after="0"/>
              <w:rPr>
                <w:sz w:val="20"/>
                <w:szCs w:val="20"/>
                <w:color w:val="auto"/>
              </w:rPr>
            </w:pPr>
            <w:r>
              <w:rPr>
                <w:rFonts w:ascii="Arial" w:cs="Arial" w:eastAsia="Arial" w:hAnsi="Arial"/>
                <w:sz w:val="14"/>
                <w:szCs w:val="14"/>
                <w:color w:val="auto"/>
              </w:rPr>
              <w:t>630,455</w:t>
            </w:r>
          </w:p>
        </w:tc>
        <w:tc>
          <w:tcPr>
            <w:tcW w:w="260" w:type="dxa"/>
            <w:vAlign w:val="bottom"/>
            <w:shd w:val="clear" w:color="auto" w:fill="E8F0F8"/>
          </w:tcPr>
          <w:p>
            <w:pPr>
              <w:spacing w:after="0"/>
              <w:rPr>
                <w:sz w:val="15"/>
                <w:szCs w:val="15"/>
                <w:color w:val="auto"/>
              </w:rPr>
            </w:pPr>
          </w:p>
        </w:tc>
        <w:tc>
          <w:tcPr>
            <w:tcW w:w="820" w:type="dxa"/>
            <w:vAlign w:val="bottom"/>
            <w:shd w:val="clear" w:color="auto" w:fill="E8F0F8"/>
          </w:tcPr>
          <w:p>
            <w:pPr>
              <w:jc w:val="right"/>
              <w:ind w:right="109"/>
              <w:spacing w:after="0"/>
              <w:rPr>
                <w:sz w:val="20"/>
                <w:szCs w:val="20"/>
                <w:color w:val="auto"/>
              </w:rPr>
            </w:pPr>
            <w:r>
              <w:rPr>
                <w:rFonts w:ascii="Arial" w:cs="Arial" w:eastAsia="Arial" w:hAnsi="Arial"/>
                <w:sz w:val="14"/>
                <w:szCs w:val="14"/>
                <w:color w:val="auto"/>
              </w:rPr>
              <w:t>—</w:t>
            </w:r>
          </w:p>
        </w:tc>
        <w:tc>
          <w:tcPr>
            <w:tcW w:w="26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8F0F8"/>
          </w:tcPr>
          <w:p>
            <w:pPr>
              <w:jc w:val="right"/>
              <w:ind w:right="29"/>
              <w:spacing w:after="0"/>
              <w:rPr>
                <w:sz w:val="20"/>
                <w:szCs w:val="20"/>
                <w:color w:val="auto"/>
              </w:rPr>
            </w:pPr>
            <w:r>
              <w:rPr>
                <w:rFonts w:ascii="Arial" w:cs="Arial" w:eastAsia="Arial" w:hAnsi="Arial"/>
                <w:sz w:val="14"/>
                <w:szCs w:val="14"/>
                <w:color w:val="auto"/>
              </w:rPr>
              <w:t>4,083,884</w:t>
            </w:r>
          </w:p>
        </w:tc>
        <w:tc>
          <w:tcPr>
            <w:tcW w:w="44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8F0F8"/>
          </w:tcPr>
          <w:p>
            <w:pPr>
              <w:jc w:val="right"/>
              <w:ind w:right="108"/>
              <w:spacing w:after="0"/>
              <w:rPr>
                <w:sz w:val="20"/>
                <w:szCs w:val="20"/>
                <w:color w:val="auto"/>
              </w:rPr>
            </w:pPr>
            <w:r>
              <w:rPr>
                <w:rFonts w:ascii="Arial" w:cs="Arial" w:eastAsia="Arial" w:hAnsi="Arial"/>
                <w:sz w:val="14"/>
                <w:szCs w:val="14"/>
                <w:color w:val="auto"/>
              </w:rPr>
              <w:t>784,784</w:t>
            </w:r>
          </w:p>
        </w:tc>
        <w:tc>
          <w:tcPr>
            <w:tcW w:w="340" w:type="dxa"/>
            <w:vAlign w:val="bottom"/>
            <w:shd w:val="clear" w:color="auto" w:fill="E8F0F8"/>
          </w:tcPr>
          <w:p>
            <w:pPr>
              <w:ind w:lef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E8F0F8"/>
          </w:tcPr>
          <w:p>
            <w:pPr>
              <w:jc w:val="right"/>
              <w:ind w:right="88"/>
              <w:spacing w:after="0"/>
              <w:rPr>
                <w:sz w:val="20"/>
                <w:szCs w:val="20"/>
                <w:color w:val="auto"/>
              </w:rPr>
            </w:pPr>
            <w:r>
              <w:rPr>
                <w:rFonts w:ascii="Arial" w:cs="Arial" w:eastAsia="Arial" w:hAnsi="Arial"/>
                <w:sz w:val="14"/>
                <w:szCs w:val="14"/>
                <w:color w:val="auto"/>
              </w:rPr>
              <w:t>12,367</w:t>
            </w:r>
          </w:p>
        </w:tc>
        <w:tc>
          <w:tcPr>
            <w:tcW w:w="1180" w:type="dxa"/>
            <w:vAlign w:val="bottom"/>
            <w:gridSpan w:val="2"/>
            <w:shd w:val="clear" w:color="auto" w:fill="E8F0F8"/>
          </w:tcPr>
          <w:p>
            <w:pPr>
              <w:jc w:val="right"/>
              <w:ind w:right="188"/>
              <w:spacing w:after="0"/>
              <w:rPr>
                <w:sz w:val="20"/>
                <w:szCs w:val="20"/>
                <w:color w:val="auto"/>
              </w:rPr>
            </w:pPr>
            <w:r>
              <w:rPr>
                <w:rFonts w:ascii="Arial" w:cs="Arial" w:eastAsia="Arial" w:hAnsi="Arial"/>
                <w:sz w:val="14"/>
                <w:szCs w:val="14"/>
                <w:color w:val="auto"/>
              </w:rPr>
              <w:t>$154,406</w:t>
            </w:r>
          </w:p>
        </w:tc>
        <w:tc>
          <w:tcPr>
            <w:tcW w:w="18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8F0F8"/>
          </w:tcPr>
          <w:p>
            <w:pPr>
              <w:jc w:val="right"/>
              <w:ind w:right="128"/>
              <w:spacing w:after="0"/>
              <w:rPr>
                <w:sz w:val="20"/>
                <w:szCs w:val="20"/>
                <w:color w:val="auto"/>
              </w:rPr>
            </w:pPr>
            <w:r>
              <w:rPr>
                <w:rFonts w:ascii="Arial" w:cs="Arial" w:eastAsia="Arial" w:hAnsi="Arial"/>
                <w:sz w:val="14"/>
                <w:szCs w:val="14"/>
                <w:color w:val="auto"/>
              </w:rPr>
              <w:t>5,665,896</w:t>
            </w:r>
          </w:p>
        </w:tc>
      </w:tr>
      <w:tr>
        <w:trPr>
          <w:trHeight w:val="162"/>
        </w:trPr>
        <w:tc>
          <w:tcPr>
            <w:tcW w:w="2620" w:type="dxa"/>
            <w:vAlign w:val="bottom"/>
            <w:shd w:val="clear" w:color="auto" w:fill="E8F0F8"/>
          </w:tcPr>
          <w:p>
            <w:pPr>
              <w:ind w:left="20"/>
              <w:spacing w:after="0"/>
              <w:rPr>
                <w:sz w:val="20"/>
                <w:szCs w:val="20"/>
                <w:color w:val="auto"/>
              </w:rPr>
            </w:pPr>
            <w:r>
              <w:rPr>
                <w:rFonts w:ascii="Arial" w:cs="Arial" w:eastAsia="Arial" w:hAnsi="Arial"/>
                <w:sz w:val="14"/>
                <w:szCs w:val="14"/>
                <w:color w:val="auto"/>
              </w:rPr>
              <w:t>Executive Vice President,</w:t>
            </w:r>
          </w:p>
        </w:tc>
        <w:tc>
          <w:tcPr>
            <w:tcW w:w="700" w:type="dxa"/>
            <w:vAlign w:val="bottom"/>
            <w:shd w:val="clear" w:color="auto" w:fill="E8F0F8"/>
          </w:tcPr>
          <w:p>
            <w:pPr>
              <w:ind w:left="200"/>
              <w:spacing w:after="0"/>
              <w:rPr>
                <w:sz w:val="20"/>
                <w:szCs w:val="20"/>
                <w:color w:val="auto"/>
              </w:rPr>
            </w:pPr>
            <w:r>
              <w:rPr>
                <w:rFonts w:ascii="Arial" w:cs="Arial" w:eastAsia="Arial" w:hAnsi="Arial"/>
                <w:sz w:val="14"/>
                <w:szCs w:val="14"/>
                <w:color w:val="auto"/>
              </w:rPr>
              <w:t>2017</w:t>
            </w:r>
          </w:p>
        </w:tc>
        <w:tc>
          <w:tcPr>
            <w:tcW w:w="26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8F0F8"/>
          </w:tcPr>
          <w:p>
            <w:pPr>
              <w:jc w:val="right"/>
              <w:ind w:right="108"/>
              <w:spacing w:after="0"/>
              <w:rPr>
                <w:sz w:val="20"/>
                <w:szCs w:val="20"/>
                <w:color w:val="auto"/>
              </w:rPr>
            </w:pPr>
            <w:r>
              <w:rPr>
                <w:rFonts w:ascii="Arial" w:cs="Arial" w:eastAsia="Arial" w:hAnsi="Arial"/>
                <w:sz w:val="14"/>
                <w:szCs w:val="14"/>
                <w:color w:val="auto"/>
              </w:rPr>
              <w:t>600,433</w:t>
            </w:r>
          </w:p>
        </w:tc>
        <w:tc>
          <w:tcPr>
            <w:tcW w:w="260" w:type="dxa"/>
            <w:vAlign w:val="bottom"/>
            <w:shd w:val="clear" w:color="auto" w:fill="E8F0F8"/>
          </w:tcPr>
          <w:p>
            <w:pPr>
              <w:spacing w:after="0"/>
              <w:rPr>
                <w:sz w:val="14"/>
                <w:szCs w:val="14"/>
                <w:color w:val="auto"/>
              </w:rPr>
            </w:pPr>
          </w:p>
        </w:tc>
        <w:tc>
          <w:tcPr>
            <w:tcW w:w="820" w:type="dxa"/>
            <w:vAlign w:val="bottom"/>
            <w:shd w:val="clear" w:color="auto" w:fill="E8F0F8"/>
          </w:tcPr>
          <w:p>
            <w:pPr>
              <w:jc w:val="right"/>
              <w:ind w:right="109"/>
              <w:spacing w:after="0"/>
              <w:rPr>
                <w:sz w:val="20"/>
                <w:szCs w:val="20"/>
                <w:color w:val="auto"/>
              </w:rPr>
            </w:pPr>
            <w:r>
              <w:rPr>
                <w:rFonts w:ascii="Arial" w:cs="Arial" w:eastAsia="Arial" w:hAnsi="Arial"/>
                <w:sz w:val="14"/>
                <w:szCs w:val="14"/>
                <w:color w:val="auto"/>
              </w:rPr>
              <w:t>—</w:t>
            </w:r>
          </w:p>
        </w:tc>
        <w:tc>
          <w:tcPr>
            <w:tcW w:w="26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8F0F8"/>
          </w:tcPr>
          <w:p>
            <w:pPr>
              <w:jc w:val="right"/>
              <w:ind w:right="29"/>
              <w:spacing w:after="0"/>
              <w:rPr>
                <w:sz w:val="20"/>
                <w:szCs w:val="20"/>
                <w:color w:val="auto"/>
              </w:rPr>
            </w:pPr>
            <w:r>
              <w:rPr>
                <w:rFonts w:ascii="Arial" w:cs="Arial" w:eastAsia="Arial" w:hAnsi="Arial"/>
                <w:sz w:val="14"/>
                <w:szCs w:val="14"/>
                <w:color w:val="auto"/>
              </w:rPr>
              <w:t>3,514,451</w:t>
            </w:r>
          </w:p>
        </w:tc>
        <w:tc>
          <w:tcPr>
            <w:tcW w:w="44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8F0F8"/>
          </w:tcPr>
          <w:p>
            <w:pPr>
              <w:jc w:val="right"/>
              <w:ind w:right="108"/>
              <w:spacing w:after="0"/>
              <w:rPr>
                <w:sz w:val="20"/>
                <w:szCs w:val="20"/>
                <w:color w:val="auto"/>
              </w:rPr>
            </w:pPr>
            <w:r>
              <w:rPr>
                <w:rFonts w:ascii="Arial" w:cs="Arial" w:eastAsia="Arial" w:hAnsi="Arial"/>
                <w:sz w:val="14"/>
                <w:szCs w:val="14"/>
                <w:color w:val="auto"/>
              </w:rPr>
              <w:t>796,648</w:t>
            </w:r>
          </w:p>
        </w:tc>
        <w:tc>
          <w:tcPr>
            <w:tcW w:w="340" w:type="dxa"/>
            <w:vAlign w:val="bottom"/>
            <w:shd w:val="clear" w:color="auto" w:fill="E8F0F8"/>
          </w:tcPr>
          <w:p>
            <w:pPr>
              <w:ind w:lef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E8F0F8"/>
          </w:tcPr>
          <w:p>
            <w:pPr>
              <w:jc w:val="right"/>
              <w:ind w:right="88"/>
              <w:spacing w:after="0"/>
              <w:rPr>
                <w:sz w:val="20"/>
                <w:szCs w:val="20"/>
                <w:color w:val="auto"/>
              </w:rPr>
            </w:pPr>
            <w:r>
              <w:rPr>
                <w:rFonts w:ascii="Arial" w:cs="Arial" w:eastAsia="Arial" w:hAnsi="Arial"/>
                <w:sz w:val="14"/>
                <w:szCs w:val="14"/>
                <w:color w:val="auto"/>
              </w:rPr>
              <w:t>2,471</w:t>
            </w:r>
          </w:p>
        </w:tc>
        <w:tc>
          <w:tcPr>
            <w:tcW w:w="1180" w:type="dxa"/>
            <w:vAlign w:val="bottom"/>
            <w:gridSpan w:val="2"/>
            <w:shd w:val="clear" w:color="auto" w:fill="E8F0F8"/>
          </w:tcPr>
          <w:p>
            <w:pPr>
              <w:jc w:val="right"/>
              <w:ind w:right="188"/>
              <w:spacing w:after="0"/>
              <w:rPr>
                <w:sz w:val="20"/>
                <w:szCs w:val="20"/>
                <w:color w:val="auto"/>
              </w:rPr>
            </w:pPr>
            <w:r>
              <w:rPr>
                <w:rFonts w:ascii="Arial" w:cs="Arial" w:eastAsia="Arial" w:hAnsi="Arial"/>
                <w:sz w:val="14"/>
                <w:szCs w:val="14"/>
                <w:color w:val="auto"/>
              </w:rPr>
              <w:t>$101,254</w:t>
            </w:r>
          </w:p>
        </w:tc>
        <w:tc>
          <w:tcPr>
            <w:tcW w:w="18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8F0F8"/>
          </w:tcPr>
          <w:p>
            <w:pPr>
              <w:jc w:val="right"/>
              <w:ind w:right="128"/>
              <w:spacing w:after="0"/>
              <w:rPr>
                <w:sz w:val="20"/>
                <w:szCs w:val="20"/>
                <w:color w:val="auto"/>
              </w:rPr>
            </w:pPr>
            <w:r>
              <w:rPr>
                <w:rFonts w:ascii="Arial" w:cs="Arial" w:eastAsia="Arial" w:hAnsi="Arial"/>
                <w:sz w:val="14"/>
                <w:szCs w:val="14"/>
                <w:color w:val="auto"/>
              </w:rPr>
              <w:t>5,015,257</w:t>
            </w:r>
          </w:p>
        </w:tc>
      </w:tr>
      <w:tr>
        <w:trPr>
          <w:trHeight w:val="167"/>
        </w:trPr>
        <w:tc>
          <w:tcPr>
            <w:tcW w:w="2620" w:type="dxa"/>
            <w:vAlign w:val="bottom"/>
            <w:shd w:val="clear" w:color="auto" w:fill="E8F0F8"/>
          </w:tcPr>
          <w:p>
            <w:pPr>
              <w:ind w:left="20"/>
              <w:spacing w:after="0"/>
              <w:rPr>
                <w:sz w:val="20"/>
                <w:szCs w:val="20"/>
                <w:color w:val="auto"/>
              </w:rPr>
            </w:pPr>
            <w:r>
              <w:rPr>
                <w:rFonts w:ascii="Arial" w:cs="Arial" w:eastAsia="Arial" w:hAnsi="Arial"/>
                <w:sz w:val="14"/>
                <w:szCs w:val="14"/>
                <w:color w:val="auto"/>
              </w:rPr>
              <w:t>Pharmaceutical</w:t>
            </w:r>
          </w:p>
        </w:tc>
        <w:tc>
          <w:tcPr>
            <w:tcW w:w="700" w:type="dxa"/>
            <w:vAlign w:val="bottom"/>
            <w:shd w:val="clear" w:color="auto" w:fill="E8F0F8"/>
          </w:tcPr>
          <w:p>
            <w:pPr>
              <w:spacing w:after="0"/>
              <w:rPr>
                <w:sz w:val="14"/>
                <w:szCs w:val="14"/>
                <w:color w:val="auto"/>
              </w:rPr>
            </w:pPr>
          </w:p>
        </w:tc>
        <w:tc>
          <w:tcPr>
            <w:tcW w:w="260" w:type="dxa"/>
            <w:vAlign w:val="bottom"/>
            <w:shd w:val="clear" w:color="auto" w:fill="E8F0F8"/>
          </w:tcPr>
          <w:p>
            <w:pPr>
              <w:spacing w:after="0"/>
              <w:rPr>
                <w:sz w:val="14"/>
                <w:szCs w:val="14"/>
                <w:color w:val="auto"/>
              </w:rPr>
            </w:pPr>
          </w:p>
        </w:tc>
        <w:tc>
          <w:tcPr>
            <w:tcW w:w="820" w:type="dxa"/>
            <w:vAlign w:val="bottom"/>
            <w:shd w:val="clear" w:color="auto" w:fill="E8F0F8"/>
          </w:tcPr>
          <w:p>
            <w:pPr>
              <w:spacing w:after="0"/>
              <w:rPr>
                <w:sz w:val="14"/>
                <w:szCs w:val="14"/>
                <w:color w:val="auto"/>
              </w:rPr>
            </w:pPr>
          </w:p>
        </w:tc>
        <w:tc>
          <w:tcPr>
            <w:tcW w:w="260" w:type="dxa"/>
            <w:vAlign w:val="bottom"/>
            <w:shd w:val="clear" w:color="auto" w:fill="E8F0F8"/>
          </w:tcPr>
          <w:p>
            <w:pPr>
              <w:spacing w:after="0"/>
              <w:rPr>
                <w:sz w:val="14"/>
                <w:szCs w:val="14"/>
                <w:color w:val="auto"/>
              </w:rPr>
            </w:pPr>
          </w:p>
        </w:tc>
        <w:tc>
          <w:tcPr>
            <w:tcW w:w="820" w:type="dxa"/>
            <w:vAlign w:val="bottom"/>
            <w:shd w:val="clear" w:color="auto" w:fill="E8F0F8"/>
          </w:tcPr>
          <w:p>
            <w:pPr>
              <w:spacing w:after="0"/>
              <w:rPr>
                <w:sz w:val="14"/>
                <w:szCs w:val="14"/>
                <w:color w:val="auto"/>
              </w:rPr>
            </w:pPr>
          </w:p>
        </w:tc>
        <w:tc>
          <w:tcPr>
            <w:tcW w:w="260" w:type="dxa"/>
            <w:vAlign w:val="bottom"/>
            <w:shd w:val="clear" w:color="auto" w:fill="E8F0F8"/>
          </w:tcPr>
          <w:p>
            <w:pPr>
              <w:spacing w:after="0"/>
              <w:rPr>
                <w:sz w:val="14"/>
                <w:szCs w:val="14"/>
                <w:color w:val="auto"/>
              </w:rPr>
            </w:pPr>
          </w:p>
        </w:tc>
        <w:tc>
          <w:tcPr>
            <w:tcW w:w="820" w:type="dxa"/>
            <w:vAlign w:val="bottom"/>
            <w:shd w:val="clear" w:color="auto" w:fill="E8F0F8"/>
          </w:tcPr>
          <w:p>
            <w:pPr>
              <w:spacing w:after="0"/>
              <w:rPr>
                <w:sz w:val="14"/>
                <w:szCs w:val="14"/>
                <w:color w:val="auto"/>
              </w:rPr>
            </w:pPr>
          </w:p>
        </w:tc>
        <w:tc>
          <w:tcPr>
            <w:tcW w:w="440" w:type="dxa"/>
            <w:vAlign w:val="bottom"/>
            <w:shd w:val="clear" w:color="auto" w:fill="E8F0F8"/>
          </w:tcPr>
          <w:p>
            <w:pPr>
              <w:spacing w:after="0"/>
              <w:rPr>
                <w:sz w:val="14"/>
                <w:szCs w:val="14"/>
                <w:color w:val="auto"/>
              </w:rPr>
            </w:pPr>
          </w:p>
        </w:tc>
        <w:tc>
          <w:tcPr>
            <w:tcW w:w="760" w:type="dxa"/>
            <w:vAlign w:val="bottom"/>
            <w:shd w:val="clear" w:color="auto" w:fill="E8F0F8"/>
          </w:tcPr>
          <w:p>
            <w:pPr>
              <w:spacing w:after="0"/>
              <w:rPr>
                <w:sz w:val="14"/>
                <w:szCs w:val="14"/>
                <w:color w:val="auto"/>
              </w:rPr>
            </w:pPr>
          </w:p>
        </w:tc>
        <w:tc>
          <w:tcPr>
            <w:tcW w:w="340" w:type="dxa"/>
            <w:vAlign w:val="bottom"/>
            <w:shd w:val="clear" w:color="auto" w:fill="E8F0F8"/>
          </w:tcPr>
          <w:p>
            <w:pPr>
              <w:spacing w:after="0"/>
              <w:rPr>
                <w:sz w:val="14"/>
                <w:szCs w:val="14"/>
                <w:color w:val="auto"/>
              </w:rPr>
            </w:pPr>
          </w:p>
        </w:tc>
        <w:tc>
          <w:tcPr>
            <w:tcW w:w="640" w:type="dxa"/>
            <w:vAlign w:val="bottom"/>
            <w:shd w:val="clear" w:color="auto" w:fill="E8F0F8"/>
          </w:tcPr>
          <w:p>
            <w:pPr>
              <w:spacing w:after="0"/>
              <w:rPr>
                <w:sz w:val="14"/>
                <w:szCs w:val="14"/>
                <w:color w:val="auto"/>
              </w:rPr>
            </w:pPr>
          </w:p>
        </w:tc>
        <w:tc>
          <w:tcPr>
            <w:tcW w:w="440" w:type="dxa"/>
            <w:vAlign w:val="bottom"/>
            <w:shd w:val="clear" w:color="auto" w:fill="E8F0F8"/>
          </w:tcPr>
          <w:p>
            <w:pPr>
              <w:spacing w:after="0"/>
              <w:rPr>
                <w:sz w:val="14"/>
                <w:szCs w:val="14"/>
                <w:color w:val="auto"/>
              </w:rPr>
            </w:pPr>
          </w:p>
        </w:tc>
        <w:tc>
          <w:tcPr>
            <w:tcW w:w="740" w:type="dxa"/>
            <w:vAlign w:val="bottom"/>
            <w:shd w:val="clear" w:color="auto" w:fill="E8F0F8"/>
          </w:tcPr>
          <w:p>
            <w:pPr>
              <w:spacing w:after="0"/>
              <w:rPr>
                <w:sz w:val="14"/>
                <w:szCs w:val="14"/>
                <w:color w:val="auto"/>
              </w:rPr>
            </w:pPr>
          </w:p>
        </w:tc>
        <w:tc>
          <w:tcPr>
            <w:tcW w:w="180" w:type="dxa"/>
            <w:vAlign w:val="bottom"/>
            <w:shd w:val="clear" w:color="auto" w:fill="E8F0F8"/>
          </w:tcPr>
          <w:p>
            <w:pPr>
              <w:spacing w:after="0"/>
              <w:rPr>
                <w:sz w:val="14"/>
                <w:szCs w:val="14"/>
                <w:color w:val="auto"/>
              </w:rPr>
            </w:pPr>
          </w:p>
        </w:tc>
        <w:tc>
          <w:tcPr>
            <w:tcW w:w="920" w:type="dxa"/>
            <w:vAlign w:val="bottom"/>
            <w:shd w:val="clear" w:color="auto" w:fill="E8F0F8"/>
          </w:tcPr>
          <w:p>
            <w:pPr>
              <w:spacing w:after="0"/>
              <w:rPr>
                <w:sz w:val="14"/>
                <w:szCs w:val="14"/>
                <w:color w:val="auto"/>
              </w:rPr>
            </w:pPr>
          </w:p>
        </w:tc>
      </w:tr>
      <w:tr>
        <w:trPr>
          <w:trHeight w:val="171"/>
        </w:trPr>
        <w:tc>
          <w:tcPr>
            <w:tcW w:w="2620" w:type="dxa"/>
            <w:vAlign w:val="bottom"/>
            <w:tcBorders>
              <w:bottom w:val="single" w:sz="8" w:color="auto"/>
            </w:tcBorders>
            <w:shd w:val="clear" w:color="auto" w:fill="E8F0F8"/>
          </w:tcPr>
          <w:p>
            <w:pPr>
              <w:ind w:left="20"/>
              <w:spacing w:after="0"/>
              <w:rPr>
                <w:sz w:val="20"/>
                <w:szCs w:val="20"/>
                <w:color w:val="auto"/>
              </w:rPr>
            </w:pPr>
            <w:r>
              <w:rPr>
                <w:rFonts w:ascii="Arial" w:cs="Arial" w:eastAsia="Arial" w:hAnsi="Arial"/>
                <w:sz w:val="14"/>
                <w:szCs w:val="14"/>
                <w:color w:val="auto"/>
              </w:rPr>
              <w:t>Operations &amp; Technology</w:t>
            </w:r>
          </w:p>
        </w:tc>
        <w:tc>
          <w:tcPr>
            <w:tcW w:w="700" w:type="dxa"/>
            <w:vAlign w:val="bottom"/>
            <w:tcBorders>
              <w:bottom w:val="single" w:sz="8" w:color="auto"/>
            </w:tcBorders>
            <w:shd w:val="clear" w:color="auto" w:fill="E8F0F8"/>
          </w:tcPr>
          <w:p>
            <w:pPr>
              <w:spacing w:after="0"/>
              <w:rPr>
                <w:sz w:val="14"/>
                <w:szCs w:val="14"/>
                <w:color w:val="auto"/>
              </w:rPr>
            </w:pPr>
          </w:p>
        </w:tc>
        <w:tc>
          <w:tcPr>
            <w:tcW w:w="260" w:type="dxa"/>
            <w:vAlign w:val="bottom"/>
            <w:tcBorders>
              <w:bottom w:val="single" w:sz="8" w:color="auto"/>
            </w:tcBorders>
            <w:shd w:val="clear" w:color="auto" w:fill="E8F0F8"/>
          </w:tcPr>
          <w:p>
            <w:pPr>
              <w:spacing w:after="0"/>
              <w:rPr>
                <w:sz w:val="14"/>
                <w:szCs w:val="14"/>
                <w:color w:val="auto"/>
              </w:rPr>
            </w:pPr>
          </w:p>
        </w:tc>
        <w:tc>
          <w:tcPr>
            <w:tcW w:w="820" w:type="dxa"/>
            <w:vAlign w:val="bottom"/>
            <w:tcBorders>
              <w:bottom w:val="single" w:sz="8" w:color="auto"/>
            </w:tcBorders>
            <w:shd w:val="clear" w:color="auto" w:fill="E8F0F8"/>
          </w:tcPr>
          <w:p>
            <w:pPr>
              <w:spacing w:after="0"/>
              <w:rPr>
                <w:sz w:val="14"/>
                <w:szCs w:val="14"/>
                <w:color w:val="auto"/>
              </w:rPr>
            </w:pPr>
          </w:p>
        </w:tc>
        <w:tc>
          <w:tcPr>
            <w:tcW w:w="260" w:type="dxa"/>
            <w:vAlign w:val="bottom"/>
            <w:tcBorders>
              <w:bottom w:val="single" w:sz="8" w:color="auto"/>
            </w:tcBorders>
            <w:shd w:val="clear" w:color="auto" w:fill="E8F0F8"/>
          </w:tcPr>
          <w:p>
            <w:pPr>
              <w:spacing w:after="0"/>
              <w:rPr>
                <w:sz w:val="14"/>
                <w:szCs w:val="14"/>
                <w:color w:val="auto"/>
              </w:rPr>
            </w:pPr>
          </w:p>
        </w:tc>
        <w:tc>
          <w:tcPr>
            <w:tcW w:w="820" w:type="dxa"/>
            <w:vAlign w:val="bottom"/>
            <w:tcBorders>
              <w:bottom w:val="single" w:sz="8" w:color="auto"/>
            </w:tcBorders>
            <w:shd w:val="clear" w:color="auto" w:fill="E8F0F8"/>
          </w:tcPr>
          <w:p>
            <w:pPr>
              <w:spacing w:after="0"/>
              <w:rPr>
                <w:sz w:val="14"/>
                <w:szCs w:val="14"/>
                <w:color w:val="auto"/>
              </w:rPr>
            </w:pPr>
          </w:p>
        </w:tc>
        <w:tc>
          <w:tcPr>
            <w:tcW w:w="260" w:type="dxa"/>
            <w:vAlign w:val="bottom"/>
            <w:tcBorders>
              <w:bottom w:val="single" w:sz="8" w:color="auto"/>
            </w:tcBorders>
            <w:shd w:val="clear" w:color="auto" w:fill="E8F0F8"/>
          </w:tcPr>
          <w:p>
            <w:pPr>
              <w:spacing w:after="0"/>
              <w:rPr>
                <w:sz w:val="14"/>
                <w:szCs w:val="14"/>
                <w:color w:val="auto"/>
              </w:rPr>
            </w:pPr>
          </w:p>
        </w:tc>
        <w:tc>
          <w:tcPr>
            <w:tcW w:w="820" w:type="dxa"/>
            <w:vAlign w:val="bottom"/>
            <w:tcBorders>
              <w:bottom w:val="single" w:sz="8" w:color="auto"/>
            </w:tcBorders>
            <w:shd w:val="clear" w:color="auto" w:fill="E8F0F8"/>
          </w:tcPr>
          <w:p>
            <w:pPr>
              <w:spacing w:after="0"/>
              <w:rPr>
                <w:sz w:val="14"/>
                <w:szCs w:val="14"/>
                <w:color w:val="auto"/>
              </w:rPr>
            </w:pPr>
          </w:p>
        </w:tc>
        <w:tc>
          <w:tcPr>
            <w:tcW w:w="440" w:type="dxa"/>
            <w:vAlign w:val="bottom"/>
            <w:tcBorders>
              <w:bottom w:val="single" w:sz="8" w:color="auto"/>
            </w:tcBorders>
            <w:shd w:val="clear" w:color="auto" w:fill="E8F0F8"/>
          </w:tcPr>
          <w:p>
            <w:pPr>
              <w:spacing w:after="0"/>
              <w:rPr>
                <w:sz w:val="14"/>
                <w:szCs w:val="14"/>
                <w:color w:val="auto"/>
              </w:rPr>
            </w:pPr>
          </w:p>
        </w:tc>
        <w:tc>
          <w:tcPr>
            <w:tcW w:w="760" w:type="dxa"/>
            <w:vAlign w:val="bottom"/>
            <w:tcBorders>
              <w:bottom w:val="single" w:sz="8" w:color="auto"/>
            </w:tcBorders>
            <w:shd w:val="clear" w:color="auto" w:fill="E8F0F8"/>
          </w:tcPr>
          <w:p>
            <w:pPr>
              <w:spacing w:after="0"/>
              <w:rPr>
                <w:sz w:val="14"/>
                <w:szCs w:val="14"/>
                <w:color w:val="auto"/>
              </w:rPr>
            </w:pPr>
          </w:p>
        </w:tc>
        <w:tc>
          <w:tcPr>
            <w:tcW w:w="340" w:type="dxa"/>
            <w:vAlign w:val="bottom"/>
            <w:tcBorders>
              <w:bottom w:val="single" w:sz="8" w:color="auto"/>
            </w:tcBorders>
            <w:shd w:val="clear" w:color="auto" w:fill="E8F0F8"/>
          </w:tcPr>
          <w:p>
            <w:pPr>
              <w:spacing w:after="0"/>
              <w:rPr>
                <w:sz w:val="14"/>
                <w:szCs w:val="14"/>
                <w:color w:val="auto"/>
              </w:rPr>
            </w:pPr>
          </w:p>
        </w:tc>
        <w:tc>
          <w:tcPr>
            <w:tcW w:w="640" w:type="dxa"/>
            <w:vAlign w:val="bottom"/>
            <w:tcBorders>
              <w:bottom w:val="single" w:sz="8" w:color="auto"/>
            </w:tcBorders>
            <w:shd w:val="clear" w:color="auto" w:fill="E8F0F8"/>
          </w:tcPr>
          <w:p>
            <w:pPr>
              <w:spacing w:after="0"/>
              <w:rPr>
                <w:sz w:val="14"/>
                <w:szCs w:val="14"/>
                <w:color w:val="auto"/>
              </w:rPr>
            </w:pPr>
          </w:p>
        </w:tc>
        <w:tc>
          <w:tcPr>
            <w:tcW w:w="440" w:type="dxa"/>
            <w:vAlign w:val="bottom"/>
            <w:tcBorders>
              <w:bottom w:val="single" w:sz="8" w:color="auto"/>
            </w:tcBorders>
            <w:shd w:val="clear" w:color="auto" w:fill="E8F0F8"/>
          </w:tcPr>
          <w:p>
            <w:pPr>
              <w:spacing w:after="0"/>
              <w:rPr>
                <w:sz w:val="14"/>
                <w:szCs w:val="14"/>
                <w:color w:val="auto"/>
              </w:rPr>
            </w:pPr>
          </w:p>
        </w:tc>
        <w:tc>
          <w:tcPr>
            <w:tcW w:w="740" w:type="dxa"/>
            <w:vAlign w:val="bottom"/>
            <w:tcBorders>
              <w:bottom w:val="single" w:sz="8" w:color="auto"/>
            </w:tcBorders>
            <w:shd w:val="clear" w:color="auto" w:fill="E8F0F8"/>
          </w:tcPr>
          <w:p>
            <w:pPr>
              <w:spacing w:after="0"/>
              <w:rPr>
                <w:sz w:val="14"/>
                <w:szCs w:val="14"/>
                <w:color w:val="auto"/>
              </w:rPr>
            </w:pPr>
          </w:p>
        </w:tc>
        <w:tc>
          <w:tcPr>
            <w:tcW w:w="180" w:type="dxa"/>
            <w:vAlign w:val="bottom"/>
            <w:tcBorders>
              <w:bottom w:val="single" w:sz="8" w:color="auto"/>
            </w:tcBorders>
            <w:shd w:val="clear" w:color="auto" w:fill="E8F0F8"/>
          </w:tcPr>
          <w:p>
            <w:pPr>
              <w:spacing w:after="0"/>
              <w:rPr>
                <w:sz w:val="14"/>
                <w:szCs w:val="14"/>
                <w:color w:val="auto"/>
              </w:rPr>
            </w:pPr>
          </w:p>
        </w:tc>
        <w:tc>
          <w:tcPr>
            <w:tcW w:w="920" w:type="dxa"/>
            <w:vAlign w:val="bottom"/>
            <w:tcBorders>
              <w:bottom w:val="single" w:sz="8" w:color="auto"/>
            </w:tcBorders>
            <w:shd w:val="clear" w:color="auto" w:fill="E8F0F8"/>
          </w:tcPr>
          <w:p>
            <w:pPr>
              <w:spacing w:after="0"/>
              <w:rPr>
                <w:sz w:val="14"/>
                <w:szCs w:val="14"/>
                <w:color w:val="auto"/>
              </w:rPr>
            </w:pPr>
          </w:p>
        </w:tc>
      </w:tr>
    </w:tbl>
    <w:p>
      <w:pPr>
        <w:ind w:left="200"/>
        <w:spacing w:after="0"/>
        <w:rPr>
          <w:sz w:val="20"/>
          <w:szCs w:val="20"/>
          <w:color w:val="auto"/>
        </w:rPr>
      </w:pPr>
      <w:r>
        <w:rPr>
          <w:rFonts w:ascii="Arial" w:cs="Arial" w:eastAsia="Arial" w:hAnsi="Arial"/>
          <w:sz w:val="14"/>
          <w:szCs w:val="14"/>
          <w:i w:val="1"/>
          <w:iCs w:val="1"/>
          <w:color w:val="auto"/>
        </w:rPr>
        <w:t>Notes to the Summary Compensation Table</w:t>
      </w:r>
    </w:p>
    <w:p>
      <w:pPr>
        <w:spacing w:after="0" w:line="127" w:lineRule="exact"/>
        <w:rPr>
          <w:sz w:val="20"/>
          <w:szCs w:val="20"/>
          <w:color w:val="auto"/>
        </w:rPr>
      </w:pPr>
    </w:p>
    <w:p>
      <w:pPr>
        <w:ind w:left="520" w:right="60" w:hanging="316"/>
        <w:spacing w:after="0" w:line="241" w:lineRule="auto"/>
        <w:tabs>
          <w:tab w:leader="none" w:pos="52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amounts in column (d) reflect sign-on bonuses paid to Messrs. Vounatsos and Capello and Dr. Ehlers at the time of hire. All other cash bonuses, which were based on achievement of performance goals under our annual bonus plan, are disclosed in column (f).</w:t>
      </w:r>
    </w:p>
    <w:p>
      <w:pPr>
        <w:ind w:left="520" w:right="160" w:hanging="316"/>
        <w:spacing w:after="0" w:line="241" w:lineRule="auto"/>
        <w:tabs>
          <w:tab w:leader="none" w:pos="52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amounts in column (e) reflect the grant date fair value computed in accordance with ASC 718 for RSUs, MSUs, PSUs and CSPUs granted during 2018, 2017 and 2016, as applicable, excluding the effect of estimated forfeitures. The cash portion of PSUs are included in the year when goals are set and fair value is determinable. The 2018 amounts include one-third of the 2018 Cash-Settled PSUs, which is the tranche of the award for which goals had been set in 2018 relating to the 2018 performance period. The 2018 amounts also include one-time transition awards of RSUs granted to each of the NEOs, except Messrs. Vounatsos and Capello, as described under “2018 One-Time Transition Awards” above. The 2017 amounts for Dr. McKenzie represent grants of MSUs, CSPUs and RSUs, as described in “Executive Compensation Matters—Compensation Discussion and Analysis—2017 and 2018 Hiring- and Transition-Related Compensation Decisions—Arrangement with Dr. McKenzie” in our 2018 proxy statement. The 2016 amounts for Dr. Ehlers represent grants of MSUs, CSPUs and RSUs as described in “Executive Compensation Matters—Compensation Discussion and Analysis—2016 and 2017 Hiring- and Transition-Related Compensation Decisions—Arrangements with</w:t>
      </w:r>
    </w:p>
    <w:p>
      <w:pPr>
        <w:spacing w:after="0" w:line="3" w:lineRule="exact"/>
        <w:rPr>
          <w:rFonts w:ascii="Arial" w:cs="Arial" w:eastAsia="Arial" w:hAnsi="Arial"/>
          <w:sz w:val="14"/>
          <w:szCs w:val="14"/>
          <w:color w:val="auto"/>
        </w:rPr>
      </w:pPr>
    </w:p>
    <w:p>
      <w:pPr>
        <w:ind w:left="520" w:right="80"/>
        <w:spacing w:after="0" w:line="244" w:lineRule="auto"/>
        <w:rPr>
          <w:rFonts w:ascii="Arial" w:cs="Arial" w:eastAsia="Arial" w:hAnsi="Arial"/>
          <w:sz w:val="14"/>
          <w:szCs w:val="14"/>
          <w:color w:val="auto"/>
        </w:rPr>
      </w:pPr>
      <w:r>
        <w:rPr>
          <w:rFonts w:ascii="Arial" w:cs="Arial" w:eastAsia="Arial" w:hAnsi="Arial"/>
          <w:sz w:val="14"/>
          <w:szCs w:val="14"/>
          <w:color w:val="auto"/>
        </w:rPr>
        <w:t>Mr. Vounatsos and Dr. Ehlers” in our 2017 proxy statement. The awards granted before February 1, 2017, were subsequently adjusted pursuant to the anti-dilution provisions of such awards in connection with the spin-off of our hemophilia business on February 1, 2017. The amounts reported in this column were not impacted by such anti-dilution adjustments. The grant date fair value for MSU awards are estimated as of the date of grant using a lattice model with a Monte Carlo simulation, based on the probable outcome of applicable performance conditions. The grant date fair value for PSU, CSPU and RSU awards was determined by multiplying the number of shares subject to the award (assuming target performance for PSUs and CSPUs) by the closing price of the Company’s common stock on the grant date. The assumptions used to calculate the grant date fair value of stock awards are included in footnote 16 of our 2018 Annual Report on Form 10-K. The table below shows the target and maximum payouts possible for the 2018, 2017 and 2016 MSU, PSU and CSPU awards based on the value at the date of grant and the target and maximum payout levels.</w:t>
      </w:r>
    </w:p>
    <w:p>
      <w:pPr>
        <w:spacing w:after="0" w:line="268"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3280" w:type="dxa"/>
            <w:vAlign w:val="bottom"/>
            <w:shd w:val="clear" w:color="auto" w:fill="1A6DBB"/>
          </w:tcPr>
          <w:p>
            <w:pPr>
              <w:spacing w:after="0"/>
              <w:rPr>
                <w:sz w:val="16"/>
                <w:szCs w:val="16"/>
                <w:color w:val="auto"/>
              </w:rPr>
            </w:pPr>
          </w:p>
        </w:tc>
        <w:tc>
          <w:tcPr>
            <w:tcW w:w="540" w:type="dxa"/>
            <w:vAlign w:val="bottom"/>
            <w:shd w:val="clear" w:color="auto" w:fill="1A6DBB"/>
          </w:tcPr>
          <w:p>
            <w:pPr>
              <w:spacing w:after="0"/>
              <w:rPr>
                <w:sz w:val="16"/>
                <w:szCs w:val="16"/>
                <w:color w:val="auto"/>
              </w:rPr>
            </w:pPr>
          </w:p>
        </w:tc>
        <w:tc>
          <w:tcPr>
            <w:tcW w:w="700" w:type="dxa"/>
            <w:vAlign w:val="bottom"/>
            <w:shd w:val="clear" w:color="auto" w:fill="1A6DBB"/>
          </w:tcPr>
          <w:p>
            <w:pPr>
              <w:spacing w:after="0"/>
              <w:rPr>
                <w:sz w:val="16"/>
                <w:szCs w:val="16"/>
                <w:color w:val="auto"/>
              </w:rPr>
            </w:pPr>
          </w:p>
        </w:tc>
        <w:tc>
          <w:tcPr>
            <w:tcW w:w="580" w:type="dxa"/>
            <w:vAlign w:val="bottom"/>
            <w:shd w:val="clear" w:color="auto" w:fill="1A6DBB"/>
          </w:tcPr>
          <w:p>
            <w:pPr>
              <w:ind w:left="20"/>
              <w:spacing w:after="0"/>
              <w:rPr>
                <w:sz w:val="20"/>
                <w:szCs w:val="20"/>
                <w:color w:val="auto"/>
              </w:rPr>
            </w:pPr>
            <w:r>
              <w:rPr>
                <w:rFonts w:ascii="Arial" w:cs="Arial" w:eastAsia="Arial" w:hAnsi="Arial"/>
                <w:sz w:val="14"/>
                <w:szCs w:val="14"/>
                <w:color w:val="FFFFFF"/>
              </w:rPr>
              <w:t>2018</w:t>
            </w:r>
          </w:p>
        </w:tc>
        <w:tc>
          <w:tcPr>
            <w:tcW w:w="900" w:type="dxa"/>
            <w:vAlign w:val="bottom"/>
            <w:shd w:val="clear" w:color="auto" w:fill="1A6DBB"/>
          </w:tcPr>
          <w:p>
            <w:pPr>
              <w:spacing w:after="0"/>
              <w:rPr>
                <w:sz w:val="16"/>
                <w:szCs w:val="16"/>
                <w:color w:val="auto"/>
              </w:rPr>
            </w:pPr>
          </w:p>
        </w:tc>
        <w:tc>
          <w:tcPr>
            <w:tcW w:w="920" w:type="dxa"/>
            <w:vAlign w:val="bottom"/>
            <w:shd w:val="clear" w:color="auto" w:fill="1A6DBB"/>
          </w:tcPr>
          <w:p>
            <w:pPr>
              <w:spacing w:after="0"/>
              <w:rPr>
                <w:sz w:val="16"/>
                <w:szCs w:val="16"/>
                <w:color w:val="auto"/>
              </w:rPr>
            </w:pPr>
          </w:p>
        </w:tc>
        <w:tc>
          <w:tcPr>
            <w:tcW w:w="520" w:type="dxa"/>
            <w:vAlign w:val="bottom"/>
            <w:shd w:val="clear" w:color="auto" w:fill="1A6DBB"/>
          </w:tcPr>
          <w:p>
            <w:pPr>
              <w:ind w:left="20"/>
              <w:spacing w:after="0"/>
              <w:rPr>
                <w:sz w:val="20"/>
                <w:szCs w:val="20"/>
                <w:color w:val="auto"/>
              </w:rPr>
            </w:pPr>
            <w:r>
              <w:rPr>
                <w:rFonts w:ascii="Arial" w:cs="Arial" w:eastAsia="Arial" w:hAnsi="Arial"/>
                <w:sz w:val="14"/>
                <w:szCs w:val="14"/>
                <w:color w:val="FFFFFF"/>
              </w:rPr>
              <w:t>2017</w:t>
            </w:r>
          </w:p>
        </w:tc>
        <w:tc>
          <w:tcPr>
            <w:tcW w:w="940" w:type="dxa"/>
            <w:vAlign w:val="bottom"/>
            <w:shd w:val="clear" w:color="auto" w:fill="1A6DBB"/>
          </w:tcPr>
          <w:p>
            <w:pPr>
              <w:spacing w:after="0"/>
              <w:rPr>
                <w:sz w:val="16"/>
                <w:szCs w:val="16"/>
                <w:color w:val="auto"/>
              </w:rPr>
            </w:pPr>
          </w:p>
        </w:tc>
        <w:tc>
          <w:tcPr>
            <w:tcW w:w="1300" w:type="dxa"/>
            <w:vAlign w:val="bottom"/>
            <w:shd w:val="clear" w:color="auto" w:fill="1A6DBB"/>
          </w:tcPr>
          <w:p>
            <w:pPr>
              <w:jc w:val="right"/>
              <w:spacing w:after="0"/>
              <w:rPr>
                <w:sz w:val="20"/>
                <w:szCs w:val="20"/>
                <w:color w:val="auto"/>
              </w:rPr>
            </w:pPr>
            <w:r>
              <w:rPr>
                <w:rFonts w:ascii="Arial" w:cs="Arial" w:eastAsia="Arial" w:hAnsi="Arial"/>
                <w:sz w:val="14"/>
                <w:szCs w:val="14"/>
                <w:color w:val="FFFFFF"/>
              </w:rPr>
              <w:t>2016</w:t>
            </w:r>
          </w:p>
        </w:tc>
        <w:tc>
          <w:tcPr>
            <w:tcW w:w="900" w:type="dxa"/>
            <w:vAlign w:val="bottom"/>
            <w:shd w:val="clear" w:color="auto" w:fill="1A6DBB"/>
          </w:tcPr>
          <w:p>
            <w:pPr>
              <w:spacing w:after="0"/>
              <w:rPr>
                <w:sz w:val="16"/>
                <w:szCs w:val="16"/>
                <w:color w:val="auto"/>
              </w:rPr>
            </w:pPr>
          </w:p>
        </w:tc>
      </w:tr>
      <w:tr>
        <w:trPr>
          <w:trHeight w:val="164"/>
        </w:trPr>
        <w:tc>
          <w:tcPr>
            <w:tcW w:w="3280" w:type="dxa"/>
            <w:vAlign w:val="bottom"/>
            <w:shd w:val="clear" w:color="auto" w:fill="1A6DBB"/>
          </w:tcPr>
          <w:p>
            <w:pPr>
              <w:spacing w:after="0"/>
              <w:rPr>
                <w:sz w:val="14"/>
                <w:szCs w:val="14"/>
                <w:color w:val="auto"/>
              </w:rPr>
            </w:pPr>
          </w:p>
        </w:tc>
        <w:tc>
          <w:tcPr>
            <w:tcW w:w="540" w:type="dxa"/>
            <w:vAlign w:val="bottom"/>
            <w:shd w:val="clear" w:color="auto" w:fill="1A6DBB"/>
          </w:tcPr>
          <w:p>
            <w:pPr>
              <w:spacing w:after="0"/>
              <w:rPr>
                <w:sz w:val="14"/>
                <w:szCs w:val="14"/>
                <w:color w:val="auto"/>
              </w:rPr>
            </w:pPr>
          </w:p>
        </w:tc>
        <w:tc>
          <w:tcPr>
            <w:tcW w:w="700" w:type="dxa"/>
            <w:vAlign w:val="bottom"/>
            <w:shd w:val="clear" w:color="auto" w:fill="1A6DBB"/>
          </w:tcPr>
          <w:p>
            <w:pPr>
              <w:jc w:val="right"/>
              <w:ind w:right="188"/>
              <w:spacing w:after="0"/>
              <w:rPr>
                <w:sz w:val="20"/>
                <w:szCs w:val="20"/>
                <w:color w:val="auto"/>
              </w:rPr>
            </w:pPr>
            <w:r>
              <w:rPr>
                <w:rFonts w:ascii="Arial" w:cs="Arial" w:eastAsia="Arial" w:hAnsi="Arial"/>
                <w:sz w:val="14"/>
                <w:szCs w:val="14"/>
                <w:color w:val="FFFFFF"/>
              </w:rPr>
              <w:t>Target</w:t>
            </w:r>
          </w:p>
        </w:tc>
        <w:tc>
          <w:tcPr>
            <w:tcW w:w="1480" w:type="dxa"/>
            <w:vAlign w:val="bottom"/>
            <w:gridSpan w:val="2"/>
            <w:shd w:val="clear" w:color="auto" w:fill="1A6DBB"/>
          </w:tcPr>
          <w:p>
            <w:pPr>
              <w:ind w:left="500"/>
              <w:spacing w:after="0"/>
              <w:rPr>
                <w:sz w:val="20"/>
                <w:szCs w:val="20"/>
                <w:color w:val="auto"/>
              </w:rPr>
            </w:pPr>
            <w:r>
              <w:rPr>
                <w:rFonts w:ascii="Arial" w:cs="Arial" w:eastAsia="Arial" w:hAnsi="Arial"/>
                <w:sz w:val="14"/>
                <w:szCs w:val="14"/>
                <w:color w:val="FFFFFF"/>
              </w:rPr>
              <w:t>Maximum</w:t>
            </w:r>
          </w:p>
        </w:tc>
        <w:tc>
          <w:tcPr>
            <w:tcW w:w="920" w:type="dxa"/>
            <w:vAlign w:val="bottom"/>
            <w:shd w:val="clear" w:color="auto" w:fill="1A6DBB"/>
          </w:tcPr>
          <w:p>
            <w:pPr>
              <w:jc w:val="right"/>
              <w:ind w:right="168"/>
              <w:spacing w:after="0"/>
              <w:rPr>
                <w:sz w:val="20"/>
                <w:szCs w:val="20"/>
                <w:color w:val="auto"/>
              </w:rPr>
            </w:pPr>
            <w:r>
              <w:rPr>
                <w:rFonts w:ascii="Arial" w:cs="Arial" w:eastAsia="Arial" w:hAnsi="Arial"/>
                <w:sz w:val="14"/>
                <w:szCs w:val="14"/>
                <w:color w:val="FFFFFF"/>
              </w:rPr>
              <w:t>Target</w:t>
            </w:r>
          </w:p>
        </w:tc>
        <w:tc>
          <w:tcPr>
            <w:tcW w:w="1460" w:type="dxa"/>
            <w:vAlign w:val="bottom"/>
            <w:gridSpan w:val="2"/>
            <w:shd w:val="clear" w:color="auto" w:fill="1A6DBB"/>
          </w:tcPr>
          <w:p>
            <w:pPr>
              <w:ind w:left="440"/>
              <w:spacing w:after="0"/>
              <w:rPr>
                <w:sz w:val="20"/>
                <w:szCs w:val="20"/>
                <w:color w:val="auto"/>
              </w:rPr>
            </w:pPr>
            <w:r>
              <w:rPr>
                <w:rFonts w:ascii="Arial" w:cs="Arial" w:eastAsia="Arial" w:hAnsi="Arial"/>
                <w:sz w:val="14"/>
                <w:szCs w:val="14"/>
                <w:color w:val="FFFFFF"/>
              </w:rPr>
              <w:t>Maximum</w:t>
            </w:r>
          </w:p>
        </w:tc>
        <w:tc>
          <w:tcPr>
            <w:tcW w:w="1300" w:type="dxa"/>
            <w:vAlign w:val="bottom"/>
            <w:shd w:val="clear" w:color="auto" w:fill="1A6DBB"/>
          </w:tcPr>
          <w:p>
            <w:pPr>
              <w:jc w:val="right"/>
              <w:ind w:right="528"/>
              <w:spacing w:after="0"/>
              <w:rPr>
                <w:sz w:val="20"/>
                <w:szCs w:val="20"/>
                <w:color w:val="auto"/>
              </w:rPr>
            </w:pPr>
            <w:r>
              <w:rPr>
                <w:rFonts w:ascii="Arial" w:cs="Arial" w:eastAsia="Arial" w:hAnsi="Arial"/>
                <w:sz w:val="14"/>
                <w:szCs w:val="14"/>
                <w:color w:val="FFFFFF"/>
              </w:rPr>
              <w:t>Target</w:t>
            </w:r>
          </w:p>
        </w:tc>
        <w:tc>
          <w:tcPr>
            <w:tcW w:w="900" w:type="dxa"/>
            <w:vAlign w:val="bottom"/>
            <w:shd w:val="clear" w:color="auto" w:fill="1A6DBB"/>
          </w:tcPr>
          <w:p>
            <w:pPr>
              <w:jc w:val="right"/>
              <w:ind w:right="148"/>
              <w:spacing w:after="0"/>
              <w:rPr>
                <w:sz w:val="20"/>
                <w:szCs w:val="20"/>
                <w:color w:val="auto"/>
              </w:rPr>
            </w:pPr>
            <w:r>
              <w:rPr>
                <w:rFonts w:ascii="Arial" w:cs="Arial" w:eastAsia="Arial" w:hAnsi="Arial"/>
                <w:sz w:val="14"/>
                <w:szCs w:val="14"/>
                <w:color w:val="FFFFFF"/>
              </w:rPr>
              <w:t>Maximum</w:t>
            </w:r>
          </w:p>
        </w:tc>
      </w:tr>
      <w:tr>
        <w:trPr>
          <w:trHeight w:val="171"/>
        </w:trPr>
        <w:tc>
          <w:tcPr>
            <w:tcW w:w="3280" w:type="dxa"/>
            <w:vAlign w:val="bottom"/>
            <w:shd w:val="clear" w:color="auto" w:fill="1A6DBB"/>
          </w:tcPr>
          <w:p>
            <w:pPr>
              <w:ind w:left="80"/>
              <w:spacing w:after="0"/>
              <w:rPr>
                <w:sz w:val="20"/>
                <w:szCs w:val="20"/>
                <w:color w:val="auto"/>
              </w:rPr>
            </w:pPr>
            <w:r>
              <w:rPr>
                <w:rFonts w:ascii="Arial" w:cs="Arial" w:eastAsia="Arial" w:hAnsi="Arial"/>
                <w:sz w:val="14"/>
                <w:szCs w:val="14"/>
                <w:color w:val="FFFFFF"/>
              </w:rPr>
              <w:t>Executive Officer</w:t>
            </w:r>
          </w:p>
        </w:tc>
        <w:tc>
          <w:tcPr>
            <w:tcW w:w="540" w:type="dxa"/>
            <w:vAlign w:val="bottom"/>
            <w:shd w:val="clear" w:color="auto" w:fill="1A6DBB"/>
          </w:tcPr>
          <w:p>
            <w:pPr>
              <w:spacing w:after="0"/>
              <w:rPr>
                <w:sz w:val="14"/>
                <w:szCs w:val="14"/>
                <w:color w:val="auto"/>
              </w:rPr>
            </w:pPr>
          </w:p>
        </w:tc>
        <w:tc>
          <w:tcPr>
            <w:tcW w:w="700" w:type="dxa"/>
            <w:vAlign w:val="bottom"/>
            <w:shd w:val="clear" w:color="auto" w:fill="1A6DBB"/>
          </w:tcPr>
          <w:p>
            <w:pPr>
              <w:jc w:val="right"/>
              <w:ind w:right="168"/>
              <w:spacing w:after="0"/>
              <w:rPr>
                <w:sz w:val="20"/>
                <w:szCs w:val="20"/>
                <w:color w:val="auto"/>
              </w:rPr>
            </w:pPr>
            <w:r>
              <w:rPr>
                <w:rFonts w:ascii="Arial" w:cs="Arial" w:eastAsia="Arial" w:hAnsi="Arial"/>
                <w:sz w:val="14"/>
                <w:szCs w:val="14"/>
                <w:color w:val="FFFFFF"/>
              </w:rPr>
              <w:t>Payout</w:t>
            </w:r>
          </w:p>
        </w:tc>
        <w:tc>
          <w:tcPr>
            <w:tcW w:w="580" w:type="dxa"/>
            <w:vAlign w:val="bottom"/>
            <w:shd w:val="clear" w:color="auto" w:fill="1A6DBB"/>
          </w:tcPr>
          <w:p>
            <w:pPr>
              <w:spacing w:after="0"/>
              <w:rPr>
                <w:sz w:val="14"/>
                <w:szCs w:val="14"/>
                <w:color w:val="auto"/>
              </w:rPr>
            </w:pPr>
          </w:p>
        </w:tc>
        <w:tc>
          <w:tcPr>
            <w:tcW w:w="900" w:type="dxa"/>
            <w:vAlign w:val="bottom"/>
            <w:shd w:val="clear" w:color="auto" w:fill="1A6DBB"/>
          </w:tcPr>
          <w:p>
            <w:pPr>
              <w:jc w:val="right"/>
              <w:ind w:right="368"/>
              <w:spacing w:after="0"/>
              <w:rPr>
                <w:sz w:val="20"/>
                <w:szCs w:val="20"/>
                <w:color w:val="auto"/>
              </w:rPr>
            </w:pPr>
            <w:r>
              <w:rPr>
                <w:rFonts w:ascii="Arial" w:cs="Arial" w:eastAsia="Arial" w:hAnsi="Arial"/>
                <w:sz w:val="14"/>
                <w:szCs w:val="14"/>
                <w:color w:val="FFFFFF"/>
              </w:rPr>
              <w:t>Payout</w:t>
            </w:r>
          </w:p>
        </w:tc>
        <w:tc>
          <w:tcPr>
            <w:tcW w:w="920" w:type="dxa"/>
            <w:vAlign w:val="bottom"/>
            <w:shd w:val="clear" w:color="auto" w:fill="1A6DBB"/>
          </w:tcPr>
          <w:p>
            <w:pPr>
              <w:jc w:val="right"/>
              <w:ind w:right="148"/>
              <w:spacing w:after="0"/>
              <w:rPr>
                <w:sz w:val="20"/>
                <w:szCs w:val="20"/>
                <w:color w:val="auto"/>
              </w:rPr>
            </w:pPr>
            <w:r>
              <w:rPr>
                <w:rFonts w:ascii="Arial" w:cs="Arial" w:eastAsia="Arial" w:hAnsi="Arial"/>
                <w:sz w:val="14"/>
                <w:szCs w:val="14"/>
                <w:color w:val="FFFFFF"/>
              </w:rPr>
              <w:t>Payout</w:t>
            </w:r>
          </w:p>
        </w:tc>
        <w:tc>
          <w:tcPr>
            <w:tcW w:w="520" w:type="dxa"/>
            <w:vAlign w:val="bottom"/>
            <w:shd w:val="clear" w:color="auto" w:fill="1A6DBB"/>
          </w:tcPr>
          <w:p>
            <w:pPr>
              <w:spacing w:after="0"/>
              <w:rPr>
                <w:sz w:val="14"/>
                <w:szCs w:val="14"/>
                <w:color w:val="auto"/>
              </w:rPr>
            </w:pPr>
          </w:p>
        </w:tc>
        <w:tc>
          <w:tcPr>
            <w:tcW w:w="940" w:type="dxa"/>
            <w:vAlign w:val="bottom"/>
            <w:shd w:val="clear" w:color="auto" w:fill="1A6DBB"/>
          </w:tcPr>
          <w:p>
            <w:pPr>
              <w:jc w:val="right"/>
              <w:ind w:right="408"/>
              <w:spacing w:after="0"/>
              <w:rPr>
                <w:sz w:val="20"/>
                <w:szCs w:val="20"/>
                <w:color w:val="auto"/>
              </w:rPr>
            </w:pPr>
            <w:r>
              <w:rPr>
                <w:rFonts w:ascii="Arial" w:cs="Arial" w:eastAsia="Arial" w:hAnsi="Arial"/>
                <w:sz w:val="14"/>
                <w:szCs w:val="14"/>
                <w:color w:val="FFFFFF"/>
              </w:rPr>
              <w:t>Payout</w:t>
            </w:r>
          </w:p>
        </w:tc>
        <w:tc>
          <w:tcPr>
            <w:tcW w:w="1300" w:type="dxa"/>
            <w:vAlign w:val="bottom"/>
            <w:shd w:val="clear" w:color="auto" w:fill="1A6DBB"/>
          </w:tcPr>
          <w:p>
            <w:pPr>
              <w:jc w:val="right"/>
              <w:ind w:right="508"/>
              <w:spacing w:after="0"/>
              <w:rPr>
                <w:sz w:val="20"/>
                <w:szCs w:val="20"/>
                <w:color w:val="auto"/>
              </w:rPr>
            </w:pPr>
            <w:r>
              <w:rPr>
                <w:rFonts w:ascii="Arial" w:cs="Arial" w:eastAsia="Arial" w:hAnsi="Arial"/>
                <w:sz w:val="14"/>
                <w:szCs w:val="14"/>
                <w:color w:val="FFFFFF"/>
              </w:rPr>
              <w:t>Payout</w:t>
            </w:r>
          </w:p>
        </w:tc>
        <w:tc>
          <w:tcPr>
            <w:tcW w:w="900" w:type="dxa"/>
            <w:vAlign w:val="bottom"/>
            <w:shd w:val="clear" w:color="auto" w:fill="1A6DBB"/>
          </w:tcPr>
          <w:p>
            <w:pPr>
              <w:jc w:val="right"/>
              <w:ind w:right="228"/>
              <w:spacing w:after="0"/>
              <w:rPr>
                <w:sz w:val="20"/>
                <w:szCs w:val="20"/>
                <w:color w:val="auto"/>
              </w:rPr>
            </w:pPr>
            <w:r>
              <w:rPr>
                <w:rFonts w:ascii="Arial" w:cs="Arial" w:eastAsia="Arial" w:hAnsi="Arial"/>
                <w:sz w:val="14"/>
                <w:szCs w:val="14"/>
                <w:color w:val="FFFFFF"/>
              </w:rPr>
              <w:t>Payout</w:t>
            </w:r>
          </w:p>
        </w:tc>
      </w:tr>
      <w:tr>
        <w:trPr>
          <w:trHeight w:val="250"/>
        </w:trPr>
        <w:tc>
          <w:tcPr>
            <w:tcW w:w="3280" w:type="dxa"/>
            <w:vAlign w:val="bottom"/>
            <w:tcBorders>
              <w:bottom w:val="single" w:sz="8" w:color="E8F0F8"/>
            </w:tcBorders>
            <w:shd w:val="clear" w:color="auto" w:fill="E8F0F8"/>
          </w:tcPr>
          <w:p>
            <w:pPr>
              <w:ind w:left="80"/>
              <w:spacing w:after="0"/>
              <w:rPr>
                <w:sz w:val="20"/>
                <w:szCs w:val="20"/>
                <w:color w:val="auto"/>
              </w:rPr>
            </w:pPr>
            <w:r>
              <w:rPr>
                <w:rFonts w:ascii="Arial" w:cs="Arial" w:eastAsia="Arial" w:hAnsi="Arial"/>
                <w:sz w:val="14"/>
                <w:szCs w:val="14"/>
                <w:color w:val="auto"/>
              </w:rPr>
              <w:t>Mr. Vounatsos</w:t>
            </w:r>
          </w:p>
        </w:tc>
        <w:tc>
          <w:tcPr>
            <w:tcW w:w="1240" w:type="dxa"/>
            <w:vAlign w:val="bottom"/>
            <w:tcBorders>
              <w:bottom w:val="single" w:sz="8" w:color="E8F0F8"/>
            </w:tcBorders>
            <w:gridSpan w:val="2"/>
            <w:shd w:val="clear" w:color="auto" w:fill="E8F0F8"/>
          </w:tcPr>
          <w:p>
            <w:pPr>
              <w:jc w:val="right"/>
              <w:spacing w:after="0"/>
              <w:rPr>
                <w:sz w:val="20"/>
                <w:szCs w:val="20"/>
                <w:color w:val="auto"/>
              </w:rPr>
            </w:pPr>
            <w:r>
              <w:rPr>
                <w:rFonts w:ascii="Arial" w:cs="Arial" w:eastAsia="Arial" w:hAnsi="Arial"/>
                <w:sz w:val="14"/>
                <w:szCs w:val="14"/>
                <w:color w:val="auto"/>
              </w:rPr>
              <w:t>$11,064,897</w:t>
            </w:r>
          </w:p>
        </w:tc>
        <w:tc>
          <w:tcPr>
            <w:tcW w:w="1480" w:type="dxa"/>
            <w:vAlign w:val="bottom"/>
            <w:tcBorders>
              <w:bottom w:val="single" w:sz="8" w:color="E8F0F8"/>
            </w:tcBorders>
            <w:gridSpan w:val="2"/>
            <w:shd w:val="clear" w:color="auto" w:fill="E8F0F8"/>
          </w:tcPr>
          <w:p>
            <w:pPr>
              <w:jc w:val="right"/>
              <w:ind w:right="108"/>
              <w:spacing w:after="0"/>
              <w:rPr>
                <w:sz w:val="20"/>
                <w:szCs w:val="20"/>
                <w:color w:val="auto"/>
              </w:rPr>
            </w:pPr>
            <w:r>
              <w:rPr>
                <w:rFonts w:ascii="Arial" w:cs="Arial" w:eastAsia="Arial" w:hAnsi="Arial"/>
                <w:sz w:val="14"/>
                <w:szCs w:val="14"/>
                <w:color w:val="auto"/>
              </w:rPr>
              <w:t>$22,129,794</w:t>
            </w:r>
          </w:p>
        </w:tc>
        <w:tc>
          <w:tcPr>
            <w:tcW w:w="92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4"/>
                <w:szCs w:val="14"/>
                <w:color w:val="auto"/>
              </w:rPr>
              <w:t>$9,868,540</w:t>
            </w:r>
          </w:p>
        </w:tc>
        <w:tc>
          <w:tcPr>
            <w:tcW w:w="1460" w:type="dxa"/>
            <w:vAlign w:val="bottom"/>
            <w:tcBorders>
              <w:bottom w:val="single" w:sz="8" w:color="E8F0F8"/>
            </w:tcBorders>
            <w:gridSpan w:val="2"/>
            <w:shd w:val="clear" w:color="auto" w:fill="E8F0F8"/>
          </w:tcPr>
          <w:p>
            <w:pPr>
              <w:jc w:val="right"/>
              <w:ind w:right="148"/>
              <w:spacing w:after="0"/>
              <w:rPr>
                <w:sz w:val="20"/>
                <w:szCs w:val="20"/>
                <w:color w:val="auto"/>
              </w:rPr>
            </w:pPr>
            <w:r>
              <w:rPr>
                <w:rFonts w:ascii="Arial" w:cs="Arial" w:eastAsia="Arial" w:hAnsi="Arial"/>
                <w:sz w:val="14"/>
                <w:szCs w:val="14"/>
                <w:color w:val="auto"/>
              </w:rPr>
              <w:t>$19,737,080</w:t>
            </w:r>
          </w:p>
        </w:tc>
        <w:tc>
          <w:tcPr>
            <w:tcW w:w="1300" w:type="dxa"/>
            <w:vAlign w:val="bottom"/>
            <w:tcBorders>
              <w:bottom w:val="single" w:sz="8" w:color="E8F0F8"/>
            </w:tcBorders>
            <w:shd w:val="clear" w:color="auto" w:fill="E8F0F8"/>
          </w:tcPr>
          <w:p>
            <w:pPr>
              <w:jc w:val="right"/>
              <w:ind w:right="288"/>
              <w:spacing w:after="0"/>
              <w:rPr>
                <w:sz w:val="20"/>
                <w:szCs w:val="20"/>
                <w:color w:val="auto"/>
              </w:rPr>
            </w:pPr>
            <w:r>
              <w:rPr>
                <w:rFonts w:ascii="Arial" w:cs="Arial" w:eastAsia="Arial" w:hAnsi="Arial"/>
                <w:sz w:val="14"/>
                <w:szCs w:val="14"/>
                <w:color w:val="auto"/>
              </w:rPr>
              <w:t>$3,151,199</w:t>
            </w:r>
          </w:p>
        </w:tc>
        <w:tc>
          <w:tcPr>
            <w:tcW w:w="900" w:type="dxa"/>
            <w:vAlign w:val="bottom"/>
            <w:tcBorders>
              <w:bottom w:val="single" w:sz="8" w:color="E8F0F8"/>
            </w:tcBorders>
            <w:shd w:val="clear" w:color="auto" w:fill="E8F0F8"/>
          </w:tcPr>
          <w:p>
            <w:pPr>
              <w:jc w:val="right"/>
              <w:ind w:right="28"/>
              <w:spacing w:after="0"/>
              <w:rPr>
                <w:sz w:val="20"/>
                <w:szCs w:val="20"/>
                <w:color w:val="auto"/>
              </w:rPr>
            </w:pPr>
            <w:r>
              <w:rPr>
                <w:rFonts w:ascii="Arial" w:cs="Arial" w:eastAsia="Arial" w:hAnsi="Arial"/>
                <w:sz w:val="14"/>
                <w:szCs w:val="14"/>
                <w:color w:val="auto"/>
              </w:rPr>
              <w:t>$6,302,398</w:t>
            </w:r>
          </w:p>
        </w:tc>
      </w:tr>
      <w:tr>
        <w:trPr>
          <w:trHeight w:val="250"/>
        </w:trPr>
        <w:tc>
          <w:tcPr>
            <w:tcW w:w="3280" w:type="dxa"/>
            <w:vAlign w:val="bottom"/>
            <w:tcBorders>
              <w:bottom w:val="single" w:sz="8" w:color="BAD3EA"/>
            </w:tcBorders>
            <w:shd w:val="clear" w:color="auto" w:fill="BAD3EA"/>
          </w:tcPr>
          <w:p>
            <w:pPr>
              <w:ind w:left="80"/>
              <w:spacing w:after="0"/>
              <w:rPr>
                <w:sz w:val="20"/>
                <w:szCs w:val="20"/>
                <w:color w:val="auto"/>
              </w:rPr>
            </w:pPr>
            <w:r>
              <w:rPr>
                <w:rFonts w:ascii="Arial" w:cs="Arial" w:eastAsia="Arial" w:hAnsi="Arial"/>
                <w:sz w:val="14"/>
                <w:szCs w:val="14"/>
                <w:color w:val="auto"/>
              </w:rPr>
              <w:t>Mr. Capello</w:t>
            </w:r>
          </w:p>
        </w:tc>
        <w:tc>
          <w:tcPr>
            <w:tcW w:w="54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4"/>
                <w:szCs w:val="14"/>
                <w:color w:val="auto"/>
              </w:rPr>
              <w:t>2,889,224</w:t>
            </w:r>
          </w:p>
        </w:tc>
        <w:tc>
          <w:tcPr>
            <w:tcW w:w="580" w:type="dxa"/>
            <w:vAlign w:val="bottom"/>
            <w:tcBorders>
              <w:bottom w:val="single" w:sz="8" w:color="BAD3EA"/>
            </w:tcBorders>
            <w:shd w:val="clear" w:color="auto" w:fill="BAD3EA"/>
          </w:tcPr>
          <w:p>
            <w:pPr>
              <w:ind w:left="50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BAD3EA"/>
            </w:tcBorders>
            <w:shd w:val="clear" w:color="auto" w:fill="BAD3EA"/>
          </w:tcPr>
          <w:p>
            <w:pPr>
              <w:jc w:val="right"/>
              <w:ind w:right="108"/>
              <w:spacing w:after="0"/>
              <w:rPr>
                <w:sz w:val="20"/>
                <w:szCs w:val="20"/>
                <w:color w:val="auto"/>
              </w:rPr>
            </w:pPr>
            <w:r>
              <w:rPr>
                <w:rFonts w:ascii="Arial" w:cs="Arial" w:eastAsia="Arial" w:hAnsi="Arial"/>
                <w:sz w:val="14"/>
                <w:szCs w:val="14"/>
                <w:color w:val="auto"/>
              </w:rPr>
              <w:t>5,778,448</w:t>
            </w:r>
          </w:p>
        </w:tc>
        <w:tc>
          <w:tcPr>
            <w:tcW w:w="92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BAD3EA"/>
            </w:tcBorders>
            <w:shd w:val="clear" w:color="auto" w:fill="BAD3EA"/>
          </w:tcPr>
          <w:p>
            <w:pPr>
              <w:spacing w:after="0"/>
              <w:rPr>
                <w:sz w:val="21"/>
                <w:szCs w:val="21"/>
                <w:color w:val="auto"/>
              </w:rPr>
            </w:pPr>
          </w:p>
        </w:tc>
        <w:tc>
          <w:tcPr>
            <w:tcW w:w="940" w:type="dxa"/>
            <w:vAlign w:val="bottom"/>
            <w:tcBorders>
              <w:bottom w:val="single" w:sz="8" w:color="BAD3EA"/>
            </w:tcBorders>
            <w:shd w:val="clear" w:color="auto" w:fill="BAD3EA"/>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BAD3EA"/>
            </w:tcBorders>
            <w:shd w:val="clear" w:color="auto" w:fill="BAD3EA"/>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BAD3EA"/>
            </w:tcBorders>
            <w:shd w:val="clear" w:color="auto" w:fill="BAD3EA"/>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3280" w:type="dxa"/>
            <w:vAlign w:val="bottom"/>
            <w:tcBorders>
              <w:bottom w:val="single" w:sz="8" w:color="E8F0F8"/>
            </w:tcBorders>
            <w:shd w:val="clear" w:color="auto" w:fill="E8F0F8"/>
          </w:tcPr>
          <w:p>
            <w:pPr>
              <w:ind w:left="80"/>
              <w:spacing w:after="0"/>
              <w:rPr>
                <w:sz w:val="20"/>
                <w:szCs w:val="20"/>
                <w:color w:val="auto"/>
              </w:rPr>
            </w:pPr>
            <w:r>
              <w:rPr>
                <w:rFonts w:ascii="Arial" w:cs="Arial" w:eastAsia="Arial" w:hAnsi="Arial"/>
                <w:sz w:val="14"/>
                <w:szCs w:val="14"/>
                <w:color w:val="auto"/>
              </w:rPr>
              <w:t>Dr. Ehlers</w:t>
            </w:r>
          </w:p>
        </w:tc>
        <w:tc>
          <w:tcPr>
            <w:tcW w:w="5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4"/>
                <w:szCs w:val="14"/>
                <w:color w:val="auto"/>
              </w:rPr>
              <w:t>3,608,292</w:t>
            </w:r>
          </w:p>
        </w:tc>
        <w:tc>
          <w:tcPr>
            <w:tcW w:w="580" w:type="dxa"/>
            <w:vAlign w:val="bottom"/>
            <w:tcBorders>
              <w:bottom w:val="single" w:sz="8" w:color="E8F0F8"/>
            </w:tcBorders>
            <w:shd w:val="clear" w:color="auto" w:fill="E8F0F8"/>
          </w:tcPr>
          <w:p>
            <w:pPr>
              <w:ind w:left="50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E8F0F8"/>
            </w:tcBorders>
            <w:shd w:val="clear" w:color="auto" w:fill="E8F0F8"/>
          </w:tcPr>
          <w:p>
            <w:pPr>
              <w:jc w:val="right"/>
              <w:ind w:right="108"/>
              <w:spacing w:after="0"/>
              <w:rPr>
                <w:sz w:val="20"/>
                <w:szCs w:val="20"/>
                <w:color w:val="auto"/>
              </w:rPr>
            </w:pPr>
            <w:r>
              <w:rPr>
                <w:rFonts w:ascii="Arial" w:cs="Arial" w:eastAsia="Arial" w:hAnsi="Arial"/>
                <w:sz w:val="14"/>
                <w:szCs w:val="14"/>
                <w:color w:val="auto"/>
              </w:rPr>
              <w:t>7,216,584</w:t>
            </w:r>
          </w:p>
        </w:tc>
        <w:tc>
          <w:tcPr>
            <w:tcW w:w="92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4"/>
                <w:szCs w:val="14"/>
                <w:color w:val="auto"/>
              </w:rPr>
              <w:t>$3,157,338</w:t>
            </w:r>
          </w:p>
        </w:tc>
        <w:tc>
          <w:tcPr>
            <w:tcW w:w="520" w:type="dxa"/>
            <w:vAlign w:val="bottom"/>
            <w:tcBorders>
              <w:bottom w:val="single" w:sz="8" w:color="E8F0F8"/>
            </w:tcBorders>
            <w:shd w:val="clear" w:color="auto" w:fill="E8F0F8"/>
          </w:tcPr>
          <w:p>
            <w:pPr>
              <w:ind w:left="44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E8F0F8"/>
            </w:tcBorders>
            <w:shd w:val="clear" w:color="auto" w:fill="E8F0F8"/>
          </w:tcPr>
          <w:p>
            <w:pPr>
              <w:jc w:val="right"/>
              <w:ind w:right="148"/>
              <w:spacing w:after="0"/>
              <w:rPr>
                <w:sz w:val="20"/>
                <w:szCs w:val="20"/>
                <w:color w:val="auto"/>
              </w:rPr>
            </w:pPr>
            <w:r>
              <w:rPr>
                <w:rFonts w:ascii="Arial" w:cs="Arial" w:eastAsia="Arial" w:hAnsi="Arial"/>
                <w:sz w:val="14"/>
                <w:szCs w:val="14"/>
                <w:color w:val="auto"/>
              </w:rPr>
              <w:t>6,314,676</w:t>
            </w:r>
          </w:p>
        </w:tc>
        <w:tc>
          <w:tcPr>
            <w:tcW w:w="1300" w:type="dxa"/>
            <w:vAlign w:val="bottom"/>
            <w:tcBorders>
              <w:bottom w:val="single" w:sz="8" w:color="E8F0F8"/>
            </w:tcBorders>
            <w:shd w:val="clear" w:color="auto" w:fill="E8F0F8"/>
          </w:tcPr>
          <w:p>
            <w:pPr>
              <w:jc w:val="right"/>
              <w:ind w:right="288"/>
              <w:spacing w:after="0"/>
              <w:rPr>
                <w:sz w:val="20"/>
                <w:szCs w:val="20"/>
                <w:color w:val="auto"/>
              </w:rPr>
            </w:pPr>
            <w:r>
              <w:rPr>
                <w:rFonts w:ascii="Arial" w:cs="Arial" w:eastAsia="Arial" w:hAnsi="Arial"/>
                <w:sz w:val="14"/>
                <w:szCs w:val="14"/>
                <w:color w:val="auto"/>
              </w:rPr>
              <w:t>$2,540,438</w:t>
            </w:r>
          </w:p>
        </w:tc>
        <w:tc>
          <w:tcPr>
            <w:tcW w:w="900" w:type="dxa"/>
            <w:vAlign w:val="bottom"/>
            <w:tcBorders>
              <w:bottom w:val="single" w:sz="8" w:color="E8F0F8"/>
            </w:tcBorders>
            <w:shd w:val="clear" w:color="auto" w:fill="E8F0F8"/>
          </w:tcPr>
          <w:p>
            <w:pPr>
              <w:jc w:val="right"/>
              <w:ind w:right="28"/>
              <w:spacing w:after="0"/>
              <w:rPr>
                <w:sz w:val="20"/>
                <w:szCs w:val="20"/>
                <w:color w:val="auto"/>
              </w:rPr>
            </w:pPr>
            <w:r>
              <w:rPr>
                <w:rFonts w:ascii="Arial" w:cs="Arial" w:eastAsia="Arial" w:hAnsi="Arial"/>
                <w:sz w:val="14"/>
                <w:szCs w:val="14"/>
                <w:color w:val="auto"/>
              </w:rPr>
              <w:t>$5,080,876</w:t>
            </w:r>
          </w:p>
        </w:tc>
      </w:tr>
      <w:tr>
        <w:trPr>
          <w:trHeight w:val="250"/>
        </w:trPr>
        <w:tc>
          <w:tcPr>
            <w:tcW w:w="3280" w:type="dxa"/>
            <w:vAlign w:val="bottom"/>
            <w:tcBorders>
              <w:bottom w:val="single" w:sz="8" w:color="BAD3EA"/>
            </w:tcBorders>
            <w:shd w:val="clear" w:color="auto" w:fill="BAD3EA"/>
          </w:tcPr>
          <w:p>
            <w:pPr>
              <w:ind w:left="80"/>
              <w:spacing w:after="0"/>
              <w:rPr>
                <w:sz w:val="20"/>
                <w:szCs w:val="20"/>
                <w:color w:val="auto"/>
              </w:rPr>
            </w:pPr>
            <w:r>
              <w:rPr>
                <w:rFonts w:ascii="Arial" w:cs="Arial" w:eastAsia="Arial" w:hAnsi="Arial"/>
                <w:sz w:val="14"/>
                <w:szCs w:val="14"/>
                <w:color w:val="auto"/>
              </w:rPr>
              <w:t>Ms. Alexander</w:t>
            </w:r>
          </w:p>
        </w:tc>
        <w:tc>
          <w:tcPr>
            <w:tcW w:w="54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4"/>
                <w:szCs w:val="14"/>
                <w:color w:val="auto"/>
              </w:rPr>
              <w:t>3,078,822</w:t>
            </w:r>
          </w:p>
        </w:tc>
        <w:tc>
          <w:tcPr>
            <w:tcW w:w="580" w:type="dxa"/>
            <w:vAlign w:val="bottom"/>
            <w:tcBorders>
              <w:bottom w:val="single" w:sz="8" w:color="BAD3EA"/>
            </w:tcBorders>
            <w:shd w:val="clear" w:color="auto" w:fill="BAD3EA"/>
          </w:tcPr>
          <w:p>
            <w:pPr>
              <w:ind w:left="50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BAD3EA"/>
            </w:tcBorders>
            <w:shd w:val="clear" w:color="auto" w:fill="BAD3EA"/>
          </w:tcPr>
          <w:p>
            <w:pPr>
              <w:jc w:val="right"/>
              <w:ind w:right="108"/>
              <w:spacing w:after="0"/>
              <w:rPr>
                <w:sz w:val="20"/>
                <w:szCs w:val="20"/>
                <w:color w:val="auto"/>
              </w:rPr>
            </w:pPr>
            <w:r>
              <w:rPr>
                <w:rFonts w:ascii="Arial" w:cs="Arial" w:eastAsia="Arial" w:hAnsi="Arial"/>
                <w:sz w:val="14"/>
                <w:szCs w:val="14"/>
                <w:color w:val="auto"/>
              </w:rPr>
              <w:t>6,157,644</w:t>
            </w:r>
          </w:p>
        </w:tc>
        <w:tc>
          <w:tcPr>
            <w:tcW w:w="92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4"/>
                <w:szCs w:val="14"/>
                <w:color w:val="auto"/>
              </w:rPr>
              <w:t>$3,157,338</w:t>
            </w:r>
          </w:p>
        </w:tc>
        <w:tc>
          <w:tcPr>
            <w:tcW w:w="520" w:type="dxa"/>
            <w:vAlign w:val="bottom"/>
            <w:tcBorders>
              <w:bottom w:val="single" w:sz="8" w:color="BAD3EA"/>
            </w:tcBorders>
            <w:shd w:val="clear" w:color="auto" w:fill="BAD3EA"/>
          </w:tcPr>
          <w:p>
            <w:pPr>
              <w:ind w:left="44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BAD3EA"/>
            </w:tcBorders>
            <w:shd w:val="clear" w:color="auto" w:fill="BAD3EA"/>
          </w:tcPr>
          <w:p>
            <w:pPr>
              <w:jc w:val="right"/>
              <w:ind w:right="148"/>
              <w:spacing w:after="0"/>
              <w:rPr>
                <w:sz w:val="20"/>
                <w:szCs w:val="20"/>
                <w:color w:val="auto"/>
              </w:rPr>
            </w:pPr>
            <w:r>
              <w:rPr>
                <w:rFonts w:ascii="Arial" w:cs="Arial" w:eastAsia="Arial" w:hAnsi="Arial"/>
                <w:sz w:val="14"/>
                <w:szCs w:val="14"/>
                <w:color w:val="auto"/>
              </w:rPr>
              <w:t>6,314,676</w:t>
            </w:r>
          </w:p>
        </w:tc>
        <w:tc>
          <w:tcPr>
            <w:tcW w:w="1300" w:type="dxa"/>
            <w:vAlign w:val="bottom"/>
            <w:tcBorders>
              <w:bottom w:val="single" w:sz="8" w:color="BAD3EA"/>
            </w:tcBorders>
            <w:shd w:val="clear" w:color="auto" w:fill="BAD3EA"/>
          </w:tcPr>
          <w:p>
            <w:pPr>
              <w:jc w:val="right"/>
              <w:ind w:right="288"/>
              <w:spacing w:after="0"/>
              <w:rPr>
                <w:sz w:val="20"/>
                <w:szCs w:val="20"/>
                <w:color w:val="auto"/>
              </w:rPr>
            </w:pPr>
            <w:r>
              <w:rPr>
                <w:rFonts w:ascii="Arial" w:cs="Arial" w:eastAsia="Arial" w:hAnsi="Arial"/>
                <w:sz w:val="14"/>
                <w:szCs w:val="14"/>
                <w:color w:val="auto"/>
              </w:rPr>
              <w:t>$2,337,051</w:t>
            </w:r>
          </w:p>
        </w:tc>
        <w:tc>
          <w:tcPr>
            <w:tcW w:w="900" w:type="dxa"/>
            <w:vAlign w:val="bottom"/>
            <w:tcBorders>
              <w:bottom w:val="single" w:sz="8" w:color="BAD3EA"/>
            </w:tcBorders>
            <w:shd w:val="clear" w:color="auto" w:fill="BAD3EA"/>
          </w:tcPr>
          <w:p>
            <w:pPr>
              <w:jc w:val="right"/>
              <w:ind w:right="28"/>
              <w:spacing w:after="0"/>
              <w:rPr>
                <w:sz w:val="20"/>
                <w:szCs w:val="20"/>
                <w:color w:val="auto"/>
              </w:rPr>
            </w:pPr>
            <w:r>
              <w:rPr>
                <w:rFonts w:ascii="Arial" w:cs="Arial" w:eastAsia="Arial" w:hAnsi="Arial"/>
                <w:sz w:val="14"/>
                <w:szCs w:val="14"/>
                <w:color w:val="auto"/>
              </w:rPr>
              <w:t>$4,674,102</w:t>
            </w:r>
          </w:p>
        </w:tc>
      </w:tr>
      <w:tr>
        <w:trPr>
          <w:trHeight w:val="250"/>
        </w:trPr>
        <w:tc>
          <w:tcPr>
            <w:tcW w:w="3280" w:type="dxa"/>
            <w:vAlign w:val="bottom"/>
            <w:tcBorders>
              <w:bottom w:val="single" w:sz="8" w:color="E8F0F8"/>
            </w:tcBorders>
            <w:shd w:val="clear" w:color="auto" w:fill="E8F0F8"/>
          </w:tcPr>
          <w:p>
            <w:pPr>
              <w:ind w:left="80"/>
              <w:spacing w:after="0"/>
              <w:rPr>
                <w:sz w:val="20"/>
                <w:szCs w:val="20"/>
                <w:color w:val="auto"/>
              </w:rPr>
            </w:pPr>
            <w:r>
              <w:rPr>
                <w:rFonts w:ascii="Arial" w:cs="Arial" w:eastAsia="Arial" w:hAnsi="Arial"/>
                <w:sz w:val="14"/>
                <w:szCs w:val="14"/>
                <w:color w:val="auto"/>
              </w:rPr>
              <w:t>Dr. McKenzie</w:t>
            </w:r>
          </w:p>
        </w:tc>
        <w:tc>
          <w:tcPr>
            <w:tcW w:w="5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4"/>
                <w:szCs w:val="14"/>
                <w:color w:val="auto"/>
              </w:rPr>
              <w:t>2,883,856</w:t>
            </w:r>
          </w:p>
        </w:tc>
        <w:tc>
          <w:tcPr>
            <w:tcW w:w="580" w:type="dxa"/>
            <w:vAlign w:val="bottom"/>
            <w:tcBorders>
              <w:bottom w:val="single" w:sz="8" w:color="E8F0F8"/>
            </w:tcBorders>
            <w:shd w:val="clear" w:color="auto" w:fill="E8F0F8"/>
          </w:tcPr>
          <w:p>
            <w:pPr>
              <w:ind w:left="50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E8F0F8"/>
            </w:tcBorders>
            <w:shd w:val="clear" w:color="auto" w:fill="E8F0F8"/>
          </w:tcPr>
          <w:p>
            <w:pPr>
              <w:jc w:val="right"/>
              <w:ind w:right="108"/>
              <w:spacing w:after="0"/>
              <w:rPr>
                <w:sz w:val="20"/>
                <w:szCs w:val="20"/>
                <w:color w:val="auto"/>
              </w:rPr>
            </w:pPr>
            <w:r>
              <w:rPr>
                <w:rFonts w:ascii="Arial" w:cs="Arial" w:eastAsia="Arial" w:hAnsi="Arial"/>
                <w:sz w:val="14"/>
                <w:szCs w:val="14"/>
                <w:color w:val="auto"/>
              </w:rPr>
              <w:t>5,767,712</w:t>
            </w:r>
          </w:p>
        </w:tc>
        <w:tc>
          <w:tcPr>
            <w:tcW w:w="92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4"/>
                <w:szCs w:val="14"/>
                <w:color w:val="auto"/>
              </w:rPr>
              <w:t>$2,713,851</w:t>
            </w:r>
          </w:p>
        </w:tc>
        <w:tc>
          <w:tcPr>
            <w:tcW w:w="520" w:type="dxa"/>
            <w:vAlign w:val="bottom"/>
            <w:tcBorders>
              <w:bottom w:val="single" w:sz="8" w:color="E8F0F8"/>
            </w:tcBorders>
            <w:shd w:val="clear" w:color="auto" w:fill="E8F0F8"/>
          </w:tcPr>
          <w:p>
            <w:pPr>
              <w:ind w:left="44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E8F0F8"/>
            </w:tcBorders>
            <w:shd w:val="clear" w:color="auto" w:fill="E8F0F8"/>
          </w:tcPr>
          <w:p>
            <w:pPr>
              <w:jc w:val="right"/>
              <w:ind w:right="148"/>
              <w:spacing w:after="0"/>
              <w:rPr>
                <w:sz w:val="20"/>
                <w:szCs w:val="20"/>
                <w:color w:val="auto"/>
              </w:rPr>
            </w:pPr>
            <w:r>
              <w:rPr>
                <w:rFonts w:ascii="Arial" w:cs="Arial" w:eastAsia="Arial" w:hAnsi="Arial"/>
                <w:sz w:val="14"/>
                <w:szCs w:val="14"/>
                <w:color w:val="auto"/>
              </w:rPr>
              <w:t>5,427,702</w:t>
            </w:r>
          </w:p>
        </w:tc>
        <w:tc>
          <w:tcPr>
            <w:tcW w:w="1300" w:type="dxa"/>
            <w:vAlign w:val="bottom"/>
            <w:tcBorders>
              <w:bottom w:val="single" w:sz="8" w:color="E8F0F8"/>
            </w:tcBorders>
            <w:shd w:val="clear" w:color="auto" w:fill="E8F0F8"/>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E8F0F8"/>
            </w:tcBorders>
            <w:shd w:val="clear" w:color="auto" w:fill="E8F0F8"/>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3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-1088390</wp:posOffset>
            </wp:positionV>
            <wp:extent cx="444246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4442460"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85725</wp:posOffset>
            </wp:positionV>
            <wp:extent cx="685800" cy="15430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-71120</wp:posOffset>
            </wp:positionV>
            <wp:extent cx="102870" cy="946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1"/>
          <w:numId w:val="125"/>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0" w:lineRule="exact"/>
        <w:rPr>
          <w:rFonts w:ascii="Arial" w:cs="Arial" w:eastAsia="Arial" w:hAnsi="Arial"/>
          <w:sz w:val="90"/>
          <w:szCs w:val="90"/>
          <w:color w:val="1A6DBB"/>
        </w:rPr>
      </w:pPr>
    </w:p>
    <w:p>
      <w:pPr>
        <w:spacing w:after="0" w:line="200" w:lineRule="exact"/>
        <w:rPr>
          <w:rFonts w:ascii="Arial" w:cs="Arial" w:eastAsia="Arial" w:hAnsi="Arial"/>
          <w:sz w:val="90"/>
          <w:szCs w:val="90"/>
          <w:color w:val="1A6DBB"/>
        </w:rPr>
      </w:pPr>
    </w:p>
    <w:p>
      <w:pPr>
        <w:spacing w:after="0" w:line="225" w:lineRule="exact"/>
        <w:rPr>
          <w:rFonts w:ascii="Arial" w:cs="Arial" w:eastAsia="Arial" w:hAnsi="Arial"/>
          <w:sz w:val="90"/>
          <w:szCs w:val="90"/>
          <w:color w:val="1A6DBB"/>
        </w:rPr>
      </w:pPr>
    </w:p>
    <w:p>
      <w:pPr>
        <w:ind w:left="520" w:hanging="316"/>
        <w:spacing w:after="0"/>
        <w:tabs>
          <w:tab w:leader="none" w:pos="52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amounts in column (f) reflect actual bonuses paid under our annual bonus plan for the applicable year.</w:t>
      </w:r>
    </w:p>
    <w:p>
      <w:pPr>
        <w:spacing w:after="0" w:line="1" w:lineRule="exact"/>
        <w:rPr>
          <w:rFonts w:ascii="Arial" w:cs="Arial" w:eastAsia="Arial" w:hAnsi="Arial"/>
          <w:sz w:val="14"/>
          <w:szCs w:val="14"/>
          <w:color w:val="auto"/>
        </w:rPr>
      </w:pPr>
    </w:p>
    <w:p>
      <w:pPr>
        <w:ind w:left="520" w:hanging="316"/>
        <w:spacing w:after="0" w:line="241" w:lineRule="auto"/>
        <w:tabs>
          <w:tab w:leader="none" w:pos="52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amounts in column (g) reflect earnings in the SSP that are in excess of 120% of the applicable federal long-term rate. The federal long-term rates applied in this calculation are 3.06%, 3.26% and 3.14% for 2018, 2017 and 2016, respectively. The SSP is described under the heading “2018 Non-Qualified Deferred Compensation” below.</w:t>
      </w:r>
    </w:p>
    <w:p>
      <w:pPr>
        <w:spacing w:after="0" w:line="1" w:lineRule="exact"/>
        <w:rPr>
          <w:rFonts w:ascii="Arial" w:cs="Arial" w:eastAsia="Arial" w:hAnsi="Arial"/>
          <w:sz w:val="14"/>
          <w:szCs w:val="14"/>
          <w:color w:val="auto"/>
        </w:rPr>
      </w:pPr>
    </w:p>
    <w:p>
      <w:pPr>
        <w:ind w:left="520" w:hanging="316"/>
        <w:spacing w:after="0"/>
        <w:tabs>
          <w:tab w:leader="none" w:pos="52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amounts in column (h) for 2018 reflect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-636270</wp:posOffset>
            </wp:positionV>
            <wp:extent cx="6997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8" w:lineRule="exact"/>
        <w:rPr>
          <w:sz w:val="20"/>
          <w:szCs w:val="20"/>
          <w:color w:val="auto"/>
        </w:rPr>
      </w:pPr>
    </w:p>
    <w:tbl>
      <w:tblPr>
        <w:tblLayout w:type="fixed"/>
        <w:tblInd w:w="480" w:type="dxa"/>
        <w:tblCellMar>
          <w:top w:w="0" w:type="dxa"/>
          <w:left w:w="0" w:type="dxa"/>
          <w:bottom w:w="0" w:type="dxa"/>
          <w:right w:w="0" w:type="dxa"/>
        </w:tblCellMar>
      </w:tblPr>
      <w:tr>
        <w:trPr>
          <w:trHeight w:val="180"/>
        </w:trPr>
        <w:tc>
          <w:tcPr>
            <w:tcW w:w="5820" w:type="dxa"/>
            <w:vAlign w:val="bottom"/>
            <w:shd w:val="clear" w:color="auto" w:fill="1A6DBB"/>
          </w:tcPr>
          <w:p>
            <w:pPr>
              <w:spacing w:after="0"/>
              <w:rPr>
                <w:sz w:val="15"/>
                <w:szCs w:val="15"/>
                <w:color w:val="auto"/>
              </w:rPr>
            </w:pPr>
          </w:p>
        </w:tc>
        <w:tc>
          <w:tcPr>
            <w:tcW w:w="96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Company</w:t>
            </w:r>
          </w:p>
        </w:tc>
        <w:tc>
          <w:tcPr>
            <w:tcW w:w="260" w:type="dxa"/>
            <w:vAlign w:val="bottom"/>
            <w:shd w:val="clear" w:color="auto" w:fill="1A6DBB"/>
          </w:tcPr>
          <w:p>
            <w:pPr>
              <w:spacing w:after="0"/>
              <w:rPr>
                <w:sz w:val="15"/>
                <w:szCs w:val="15"/>
                <w:color w:val="auto"/>
              </w:rPr>
            </w:pPr>
          </w:p>
        </w:tc>
        <w:tc>
          <w:tcPr>
            <w:tcW w:w="740" w:type="dxa"/>
            <w:vAlign w:val="bottom"/>
            <w:shd w:val="clear" w:color="auto" w:fill="1A6DBB"/>
          </w:tcPr>
          <w:p>
            <w:pPr>
              <w:spacing w:after="0"/>
              <w:rPr>
                <w:sz w:val="15"/>
                <w:szCs w:val="15"/>
                <w:color w:val="auto"/>
              </w:rPr>
            </w:pPr>
          </w:p>
        </w:tc>
        <w:tc>
          <w:tcPr>
            <w:tcW w:w="900" w:type="dxa"/>
            <w:vAlign w:val="bottom"/>
            <w:shd w:val="clear" w:color="auto" w:fill="1A6DBB"/>
          </w:tcPr>
          <w:p>
            <w:pPr>
              <w:spacing w:after="0"/>
              <w:rPr>
                <w:sz w:val="15"/>
                <w:szCs w:val="15"/>
                <w:color w:val="auto"/>
              </w:rPr>
            </w:pPr>
          </w:p>
        </w:tc>
        <w:tc>
          <w:tcPr>
            <w:tcW w:w="820" w:type="dxa"/>
            <w:vAlign w:val="bottom"/>
            <w:shd w:val="clear" w:color="auto" w:fill="1A6DBB"/>
          </w:tcPr>
          <w:p>
            <w:pPr>
              <w:spacing w:after="0"/>
              <w:rPr>
                <w:sz w:val="15"/>
                <w:szCs w:val="15"/>
                <w:color w:val="auto"/>
              </w:rPr>
            </w:pPr>
          </w:p>
        </w:tc>
        <w:tc>
          <w:tcPr>
            <w:tcW w:w="980" w:type="dxa"/>
            <w:vAlign w:val="bottom"/>
            <w:shd w:val="clear" w:color="auto" w:fill="1A6DBB"/>
          </w:tcPr>
          <w:p>
            <w:pPr>
              <w:spacing w:after="0"/>
              <w:rPr>
                <w:sz w:val="15"/>
                <w:szCs w:val="15"/>
                <w:color w:val="auto"/>
              </w:rPr>
            </w:pPr>
          </w:p>
        </w:tc>
      </w:tr>
      <w:tr>
        <w:trPr>
          <w:trHeight w:val="162"/>
        </w:trPr>
        <w:tc>
          <w:tcPr>
            <w:tcW w:w="5820" w:type="dxa"/>
            <w:vAlign w:val="bottom"/>
            <w:shd w:val="clear" w:color="auto" w:fill="1A6DBB"/>
          </w:tcPr>
          <w:p>
            <w:pPr>
              <w:spacing w:after="0"/>
              <w:rPr>
                <w:sz w:val="14"/>
                <w:szCs w:val="14"/>
                <w:color w:val="auto"/>
              </w:rPr>
            </w:pPr>
          </w:p>
        </w:tc>
        <w:tc>
          <w:tcPr>
            <w:tcW w:w="96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Matching</w:t>
            </w:r>
          </w:p>
        </w:tc>
        <w:tc>
          <w:tcPr>
            <w:tcW w:w="260" w:type="dxa"/>
            <w:vAlign w:val="bottom"/>
            <w:shd w:val="clear" w:color="auto" w:fill="1A6DBB"/>
          </w:tcPr>
          <w:p>
            <w:pPr>
              <w:spacing w:after="0"/>
              <w:rPr>
                <w:sz w:val="14"/>
                <w:szCs w:val="14"/>
                <w:color w:val="auto"/>
              </w:rPr>
            </w:pPr>
          </w:p>
        </w:tc>
        <w:tc>
          <w:tcPr>
            <w:tcW w:w="740" w:type="dxa"/>
            <w:vAlign w:val="bottom"/>
            <w:shd w:val="clear" w:color="auto" w:fill="1A6DBB"/>
          </w:tcPr>
          <w:p>
            <w:pPr>
              <w:spacing w:after="0"/>
              <w:rPr>
                <w:sz w:val="14"/>
                <w:szCs w:val="14"/>
                <w:color w:val="auto"/>
              </w:rPr>
            </w:pPr>
          </w:p>
        </w:tc>
        <w:tc>
          <w:tcPr>
            <w:tcW w:w="900" w:type="dxa"/>
            <w:vAlign w:val="bottom"/>
            <w:shd w:val="clear" w:color="auto" w:fill="1A6DBB"/>
          </w:tcPr>
          <w:p>
            <w:pPr>
              <w:spacing w:after="0"/>
              <w:rPr>
                <w:sz w:val="14"/>
                <w:szCs w:val="14"/>
                <w:color w:val="auto"/>
              </w:rPr>
            </w:pPr>
          </w:p>
        </w:tc>
        <w:tc>
          <w:tcPr>
            <w:tcW w:w="82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Value of</w:t>
            </w:r>
          </w:p>
        </w:tc>
        <w:tc>
          <w:tcPr>
            <w:tcW w:w="980" w:type="dxa"/>
            <w:vAlign w:val="bottom"/>
            <w:shd w:val="clear" w:color="auto" w:fill="1A6DBB"/>
          </w:tcPr>
          <w:p>
            <w:pPr>
              <w:spacing w:after="0"/>
              <w:rPr>
                <w:sz w:val="14"/>
                <w:szCs w:val="14"/>
                <w:color w:val="auto"/>
              </w:rPr>
            </w:pPr>
          </w:p>
        </w:tc>
      </w:tr>
      <w:tr>
        <w:trPr>
          <w:trHeight w:val="162"/>
        </w:trPr>
        <w:tc>
          <w:tcPr>
            <w:tcW w:w="5820" w:type="dxa"/>
            <w:vAlign w:val="bottom"/>
            <w:shd w:val="clear" w:color="auto" w:fill="1A6DBB"/>
          </w:tcPr>
          <w:p>
            <w:pPr>
              <w:spacing w:after="0"/>
              <w:rPr>
                <w:sz w:val="14"/>
                <w:szCs w:val="14"/>
                <w:color w:val="auto"/>
              </w:rPr>
            </w:pPr>
          </w:p>
        </w:tc>
        <w:tc>
          <w:tcPr>
            <w:tcW w:w="96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Contribution</w:t>
            </w:r>
          </w:p>
        </w:tc>
        <w:tc>
          <w:tcPr>
            <w:tcW w:w="1000" w:type="dxa"/>
            <w:vAlign w:val="bottom"/>
            <w:gridSpan w:val="2"/>
            <w:shd w:val="clear" w:color="auto" w:fill="1A6DBB"/>
          </w:tcPr>
          <w:p>
            <w:pPr>
              <w:jc w:val="center"/>
              <w:spacing w:after="0"/>
              <w:rPr>
                <w:sz w:val="20"/>
                <w:szCs w:val="20"/>
                <w:color w:val="auto"/>
              </w:rPr>
            </w:pPr>
            <w:r>
              <w:rPr>
                <w:rFonts w:ascii="Arial" w:cs="Arial" w:eastAsia="Arial" w:hAnsi="Arial"/>
                <w:sz w:val="14"/>
                <w:szCs w:val="14"/>
                <w:color w:val="FFFFFF"/>
              </w:rPr>
              <w:t>Company</w:t>
            </w:r>
          </w:p>
        </w:tc>
        <w:tc>
          <w:tcPr>
            <w:tcW w:w="90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Personal</w:t>
            </w:r>
          </w:p>
        </w:tc>
        <w:tc>
          <w:tcPr>
            <w:tcW w:w="82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Company-</w:t>
            </w:r>
          </w:p>
        </w:tc>
        <w:tc>
          <w:tcPr>
            <w:tcW w:w="980" w:type="dxa"/>
            <w:vAlign w:val="bottom"/>
            <w:shd w:val="clear" w:color="auto" w:fill="1A6DBB"/>
          </w:tcPr>
          <w:p>
            <w:pPr>
              <w:spacing w:after="0"/>
              <w:rPr>
                <w:sz w:val="14"/>
                <w:szCs w:val="14"/>
                <w:color w:val="auto"/>
              </w:rPr>
            </w:pPr>
          </w:p>
        </w:tc>
      </w:tr>
      <w:tr>
        <w:trPr>
          <w:trHeight w:val="162"/>
        </w:trPr>
        <w:tc>
          <w:tcPr>
            <w:tcW w:w="5820" w:type="dxa"/>
            <w:vAlign w:val="bottom"/>
            <w:shd w:val="clear" w:color="auto" w:fill="1A6DBB"/>
          </w:tcPr>
          <w:p>
            <w:pPr>
              <w:spacing w:after="0"/>
              <w:rPr>
                <w:sz w:val="14"/>
                <w:szCs w:val="14"/>
                <w:color w:val="auto"/>
              </w:rPr>
            </w:pPr>
          </w:p>
        </w:tc>
        <w:tc>
          <w:tcPr>
            <w:tcW w:w="96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to 401(k)</w:t>
            </w:r>
          </w:p>
        </w:tc>
        <w:tc>
          <w:tcPr>
            <w:tcW w:w="1000" w:type="dxa"/>
            <w:vAlign w:val="bottom"/>
            <w:gridSpan w:val="2"/>
            <w:shd w:val="clear" w:color="auto" w:fill="1A6DBB"/>
          </w:tcPr>
          <w:p>
            <w:pPr>
              <w:jc w:val="center"/>
              <w:spacing w:after="0"/>
              <w:rPr>
                <w:sz w:val="20"/>
                <w:szCs w:val="20"/>
                <w:color w:val="auto"/>
              </w:rPr>
            </w:pPr>
            <w:r>
              <w:rPr>
                <w:rFonts w:ascii="Arial" w:cs="Arial" w:eastAsia="Arial" w:hAnsi="Arial"/>
                <w:sz w:val="14"/>
                <w:szCs w:val="14"/>
                <w:color w:val="FFFFFF"/>
              </w:rPr>
              <w:t>Contribution</w:t>
            </w:r>
          </w:p>
        </w:tc>
        <w:tc>
          <w:tcPr>
            <w:tcW w:w="90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Health and</w:t>
            </w:r>
          </w:p>
        </w:tc>
        <w:tc>
          <w:tcPr>
            <w:tcW w:w="82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Paid Life</w:t>
            </w:r>
          </w:p>
        </w:tc>
        <w:tc>
          <w:tcPr>
            <w:tcW w:w="980" w:type="dxa"/>
            <w:vAlign w:val="bottom"/>
            <w:shd w:val="clear" w:color="auto" w:fill="1A6DBB"/>
          </w:tcPr>
          <w:p>
            <w:pPr>
              <w:spacing w:after="0"/>
              <w:rPr>
                <w:sz w:val="14"/>
                <w:szCs w:val="14"/>
                <w:color w:val="auto"/>
              </w:rPr>
            </w:pPr>
          </w:p>
        </w:tc>
      </w:tr>
      <w:tr>
        <w:trPr>
          <w:trHeight w:val="155"/>
        </w:trPr>
        <w:tc>
          <w:tcPr>
            <w:tcW w:w="5820" w:type="dxa"/>
            <w:vAlign w:val="bottom"/>
            <w:shd w:val="clear" w:color="auto" w:fill="1A6DBB"/>
          </w:tcPr>
          <w:p>
            <w:pPr>
              <w:spacing w:after="0"/>
              <w:rPr>
                <w:sz w:val="13"/>
                <w:szCs w:val="13"/>
                <w:color w:val="auto"/>
              </w:rPr>
            </w:pPr>
          </w:p>
        </w:tc>
        <w:tc>
          <w:tcPr>
            <w:tcW w:w="960" w:type="dxa"/>
            <w:vAlign w:val="bottom"/>
            <w:shd w:val="clear" w:color="auto" w:fill="1A6DBB"/>
          </w:tcPr>
          <w:p>
            <w:pPr>
              <w:jc w:val="center"/>
              <w:spacing w:after="0" w:line="155" w:lineRule="exact"/>
              <w:rPr>
                <w:sz w:val="20"/>
                <w:szCs w:val="20"/>
                <w:color w:val="auto"/>
              </w:rPr>
            </w:pPr>
            <w:r>
              <w:rPr>
                <w:rFonts w:ascii="Arial" w:cs="Arial" w:eastAsia="Arial" w:hAnsi="Arial"/>
                <w:sz w:val="14"/>
                <w:szCs w:val="14"/>
                <w:color w:val="FFFFFF"/>
              </w:rPr>
              <w:t>Plan</w:t>
            </w:r>
          </w:p>
        </w:tc>
        <w:tc>
          <w:tcPr>
            <w:tcW w:w="260" w:type="dxa"/>
            <w:vAlign w:val="bottom"/>
            <w:shd w:val="clear" w:color="auto" w:fill="1A6DBB"/>
          </w:tcPr>
          <w:p>
            <w:pPr>
              <w:spacing w:after="0"/>
              <w:rPr>
                <w:sz w:val="13"/>
                <w:szCs w:val="13"/>
                <w:color w:val="auto"/>
              </w:rPr>
            </w:pPr>
          </w:p>
        </w:tc>
        <w:tc>
          <w:tcPr>
            <w:tcW w:w="740" w:type="dxa"/>
            <w:vAlign w:val="bottom"/>
            <w:shd w:val="clear" w:color="auto" w:fill="1A6DBB"/>
          </w:tcPr>
          <w:p>
            <w:pPr>
              <w:jc w:val="center"/>
              <w:ind w:right="180"/>
              <w:spacing w:after="0" w:line="155" w:lineRule="exact"/>
              <w:rPr>
                <w:sz w:val="20"/>
                <w:szCs w:val="20"/>
                <w:color w:val="auto"/>
              </w:rPr>
            </w:pPr>
            <w:r>
              <w:rPr>
                <w:rFonts w:ascii="Arial" w:cs="Arial" w:eastAsia="Arial" w:hAnsi="Arial"/>
                <w:sz w:val="14"/>
                <w:szCs w:val="14"/>
                <w:color w:val="FFFFFF"/>
              </w:rPr>
              <w:t>to SSP</w:t>
            </w:r>
          </w:p>
        </w:tc>
        <w:tc>
          <w:tcPr>
            <w:tcW w:w="900" w:type="dxa"/>
            <w:vAlign w:val="bottom"/>
            <w:shd w:val="clear" w:color="auto" w:fill="1A6DBB"/>
          </w:tcPr>
          <w:p>
            <w:pPr>
              <w:jc w:val="center"/>
              <w:spacing w:after="0" w:line="155" w:lineRule="exact"/>
              <w:rPr>
                <w:sz w:val="20"/>
                <w:szCs w:val="20"/>
                <w:color w:val="auto"/>
              </w:rPr>
            </w:pPr>
            <w:r>
              <w:rPr>
                <w:rFonts w:ascii="Arial" w:cs="Arial" w:eastAsia="Arial" w:hAnsi="Arial"/>
                <w:sz w:val="14"/>
                <w:szCs w:val="14"/>
                <w:color w:val="FFFFFF"/>
              </w:rPr>
              <w:t>Financial</w:t>
            </w:r>
          </w:p>
        </w:tc>
        <w:tc>
          <w:tcPr>
            <w:tcW w:w="820" w:type="dxa"/>
            <w:vAlign w:val="bottom"/>
            <w:shd w:val="clear" w:color="auto" w:fill="1A6DBB"/>
          </w:tcPr>
          <w:p>
            <w:pPr>
              <w:jc w:val="center"/>
              <w:spacing w:after="0" w:line="155" w:lineRule="exact"/>
              <w:rPr>
                <w:sz w:val="20"/>
                <w:szCs w:val="20"/>
                <w:color w:val="auto"/>
              </w:rPr>
            </w:pPr>
            <w:r>
              <w:rPr>
                <w:rFonts w:ascii="Arial" w:cs="Arial" w:eastAsia="Arial" w:hAnsi="Arial"/>
                <w:sz w:val="14"/>
                <w:szCs w:val="14"/>
                <w:color w:val="FFFFFF"/>
              </w:rPr>
              <w:t>Insurance</w:t>
            </w:r>
          </w:p>
        </w:tc>
        <w:tc>
          <w:tcPr>
            <w:tcW w:w="980" w:type="dxa"/>
            <w:vAlign w:val="bottom"/>
            <w:shd w:val="clear" w:color="auto" w:fill="1A6DBB"/>
          </w:tcPr>
          <w:p>
            <w:pPr>
              <w:spacing w:after="0"/>
              <w:rPr>
                <w:sz w:val="13"/>
                <w:szCs w:val="13"/>
                <w:color w:val="auto"/>
              </w:rPr>
            </w:pPr>
          </w:p>
        </w:tc>
      </w:tr>
      <w:tr>
        <w:trPr>
          <w:trHeight w:val="178"/>
        </w:trPr>
        <w:tc>
          <w:tcPr>
            <w:tcW w:w="5820" w:type="dxa"/>
            <w:vAlign w:val="bottom"/>
            <w:shd w:val="clear" w:color="auto" w:fill="1A6DBB"/>
          </w:tcPr>
          <w:p>
            <w:pPr>
              <w:ind w:left="80"/>
              <w:spacing w:after="0"/>
              <w:rPr>
                <w:sz w:val="20"/>
                <w:szCs w:val="20"/>
                <w:color w:val="auto"/>
              </w:rPr>
            </w:pPr>
            <w:r>
              <w:rPr>
                <w:rFonts w:ascii="Arial" w:cs="Arial" w:eastAsia="Arial" w:hAnsi="Arial"/>
                <w:sz w:val="14"/>
                <w:szCs w:val="14"/>
                <w:color w:val="FFFFFF"/>
              </w:rPr>
              <w:t>Executive Officer</w:t>
            </w:r>
          </w:p>
        </w:tc>
        <w:tc>
          <w:tcPr>
            <w:tcW w:w="96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Account</w:t>
            </w:r>
          </w:p>
        </w:tc>
        <w:tc>
          <w:tcPr>
            <w:tcW w:w="1000" w:type="dxa"/>
            <w:vAlign w:val="bottom"/>
            <w:gridSpan w:val="2"/>
            <w:shd w:val="clear" w:color="auto" w:fill="1A6DBB"/>
          </w:tcPr>
          <w:p>
            <w:pPr>
              <w:jc w:val="center"/>
              <w:spacing w:after="0"/>
              <w:rPr>
                <w:sz w:val="20"/>
                <w:szCs w:val="20"/>
                <w:color w:val="auto"/>
              </w:rPr>
            </w:pPr>
            <w:r>
              <w:rPr>
                <w:rFonts w:ascii="Arial" w:cs="Arial" w:eastAsia="Arial" w:hAnsi="Arial"/>
                <w:sz w:val="14"/>
                <w:szCs w:val="14"/>
                <w:color w:val="FFFFFF"/>
              </w:rPr>
              <w:t>Account</w:t>
            </w:r>
          </w:p>
        </w:tc>
        <w:tc>
          <w:tcPr>
            <w:tcW w:w="900" w:type="dxa"/>
            <w:vAlign w:val="bottom"/>
            <w:shd w:val="clear" w:color="auto" w:fill="1A6DBB"/>
          </w:tcPr>
          <w:p>
            <w:pPr>
              <w:jc w:val="center"/>
              <w:spacing w:after="0" w:line="179" w:lineRule="exact"/>
              <w:rPr>
                <w:sz w:val="20"/>
                <w:szCs w:val="20"/>
                <w:color w:val="auto"/>
              </w:rPr>
            </w:pPr>
            <w:r>
              <w:rPr>
                <w:rFonts w:ascii="Arial" w:cs="Arial" w:eastAsia="Arial" w:hAnsi="Arial"/>
                <w:sz w:val="12"/>
                <w:szCs w:val="12"/>
                <w:color w:val="FFFFFF"/>
              </w:rPr>
              <w:t>Planning</w:t>
            </w:r>
            <w:r>
              <w:rPr>
                <w:rFonts w:ascii="Arial" w:cs="Arial" w:eastAsia="Arial" w:hAnsi="Arial"/>
                <w:sz w:val="20"/>
                <w:szCs w:val="20"/>
                <w:color w:val="FFFFFF"/>
                <w:vertAlign w:val="superscript"/>
              </w:rPr>
              <w:t>(8)</w:t>
            </w:r>
          </w:p>
        </w:tc>
        <w:tc>
          <w:tcPr>
            <w:tcW w:w="82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Premiums</w:t>
            </w:r>
          </w:p>
        </w:tc>
        <w:tc>
          <w:tcPr>
            <w:tcW w:w="980" w:type="dxa"/>
            <w:vAlign w:val="bottom"/>
            <w:shd w:val="clear" w:color="auto" w:fill="1A6DBB"/>
          </w:tcPr>
          <w:p>
            <w:pPr>
              <w:jc w:val="right"/>
              <w:spacing w:after="0" w:line="179" w:lineRule="exact"/>
              <w:rPr>
                <w:sz w:val="20"/>
                <w:szCs w:val="20"/>
                <w:color w:val="auto"/>
              </w:rPr>
            </w:pPr>
            <w:r>
              <w:rPr>
                <w:rFonts w:ascii="Arial" w:cs="Arial" w:eastAsia="Arial" w:hAnsi="Arial"/>
                <w:sz w:val="12"/>
                <w:szCs w:val="12"/>
                <w:color w:val="FFFFFF"/>
              </w:rPr>
              <w:t>Relocation</w:t>
            </w:r>
            <w:r>
              <w:rPr>
                <w:rFonts w:ascii="Arial" w:cs="Arial" w:eastAsia="Arial" w:hAnsi="Arial"/>
                <w:sz w:val="20"/>
                <w:szCs w:val="20"/>
                <w:color w:val="FFFFFF"/>
                <w:vertAlign w:val="superscript"/>
              </w:rPr>
              <w:t>(9)</w:t>
            </w:r>
          </w:p>
        </w:tc>
      </w:tr>
      <w:tr>
        <w:trPr>
          <w:trHeight w:val="250"/>
        </w:trPr>
        <w:tc>
          <w:tcPr>
            <w:tcW w:w="5820" w:type="dxa"/>
            <w:vAlign w:val="bottom"/>
            <w:tcBorders>
              <w:bottom w:val="single" w:sz="8" w:color="E8F0F8"/>
            </w:tcBorders>
            <w:shd w:val="clear" w:color="auto" w:fill="E8F0F8"/>
          </w:tcPr>
          <w:p>
            <w:pPr>
              <w:ind w:left="80"/>
              <w:spacing w:after="0"/>
              <w:rPr>
                <w:sz w:val="20"/>
                <w:szCs w:val="20"/>
                <w:color w:val="auto"/>
              </w:rPr>
            </w:pPr>
            <w:r>
              <w:rPr>
                <w:rFonts w:ascii="Arial" w:cs="Arial" w:eastAsia="Arial" w:hAnsi="Arial"/>
                <w:sz w:val="16"/>
                <w:szCs w:val="16"/>
                <w:color w:val="auto"/>
              </w:rPr>
              <w:t>Mr. Vounatsos</w:t>
            </w:r>
          </w:p>
        </w:tc>
        <w:tc>
          <w:tcPr>
            <w:tcW w:w="96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6"/>
                <w:szCs w:val="16"/>
                <w:color w:val="auto"/>
              </w:rPr>
              <w:t>$16,500</w:t>
            </w:r>
          </w:p>
        </w:tc>
        <w:tc>
          <w:tcPr>
            <w:tcW w:w="26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8F0F8"/>
            </w:tcBorders>
            <w:shd w:val="clear" w:color="auto" w:fill="E8F0F8"/>
          </w:tcPr>
          <w:p>
            <w:pPr>
              <w:jc w:val="right"/>
              <w:ind w:right="80"/>
              <w:spacing w:after="0"/>
              <w:rPr>
                <w:sz w:val="20"/>
                <w:szCs w:val="20"/>
                <w:color w:val="auto"/>
              </w:rPr>
            </w:pPr>
            <w:r>
              <w:rPr>
                <w:rFonts w:ascii="Arial" w:cs="Arial" w:eastAsia="Arial" w:hAnsi="Arial"/>
                <w:sz w:val="16"/>
                <w:szCs w:val="16"/>
                <w:color w:val="auto"/>
                <w:w w:val="96"/>
              </w:rPr>
              <w:t>387,134</w:t>
            </w:r>
          </w:p>
        </w:tc>
        <w:tc>
          <w:tcPr>
            <w:tcW w:w="900" w:type="dxa"/>
            <w:vAlign w:val="bottom"/>
            <w:tcBorders>
              <w:bottom w:val="single" w:sz="8" w:color="E8F0F8"/>
            </w:tcBorders>
            <w:shd w:val="clear" w:color="auto" w:fill="E8F0F8"/>
          </w:tcPr>
          <w:p>
            <w:pPr>
              <w:jc w:val="right"/>
              <w:ind w:right="124"/>
              <w:spacing w:after="0"/>
              <w:rPr>
                <w:sz w:val="20"/>
                <w:szCs w:val="20"/>
                <w:color w:val="auto"/>
              </w:rPr>
            </w:pPr>
            <w:r>
              <w:rPr>
                <w:rFonts w:ascii="Arial" w:cs="Arial" w:eastAsia="Arial" w:hAnsi="Arial"/>
                <w:sz w:val="16"/>
                <w:szCs w:val="16"/>
                <w:color w:val="auto"/>
              </w:rPr>
              <w:t>$ 3,594</w:t>
            </w:r>
          </w:p>
        </w:tc>
        <w:tc>
          <w:tcPr>
            <w:tcW w:w="82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6"/>
                <w:szCs w:val="16"/>
                <w:color w:val="auto"/>
                <w:w w:val="97"/>
              </w:rPr>
              <w:t>$ 1,055</w:t>
            </w:r>
          </w:p>
        </w:tc>
        <w:tc>
          <w:tcPr>
            <w:tcW w:w="980" w:type="dxa"/>
            <w:vAlign w:val="bottom"/>
            <w:tcBorders>
              <w:bottom w:val="single" w:sz="8" w:color="E8F0F8"/>
            </w:tcBorders>
            <w:shd w:val="clear" w:color="auto" w:fill="E8F0F8"/>
          </w:tcPr>
          <w:p>
            <w:pPr>
              <w:jc w:val="right"/>
              <w:ind w:right="102"/>
              <w:spacing w:after="0"/>
              <w:rPr>
                <w:sz w:val="20"/>
                <w:szCs w:val="20"/>
                <w:color w:val="auto"/>
              </w:rPr>
            </w:pPr>
            <w:r>
              <w:rPr>
                <w:rFonts w:ascii="Arial" w:cs="Arial" w:eastAsia="Arial" w:hAnsi="Arial"/>
                <w:sz w:val="16"/>
                <w:szCs w:val="16"/>
                <w:color w:val="auto"/>
              </w:rPr>
              <w:t>—</w:t>
            </w:r>
          </w:p>
        </w:tc>
      </w:tr>
      <w:tr>
        <w:trPr>
          <w:trHeight w:val="250"/>
        </w:trPr>
        <w:tc>
          <w:tcPr>
            <w:tcW w:w="5820" w:type="dxa"/>
            <w:vAlign w:val="bottom"/>
            <w:tcBorders>
              <w:bottom w:val="single" w:sz="8" w:color="BAD3EA"/>
            </w:tcBorders>
            <w:shd w:val="clear" w:color="auto" w:fill="BAD3EA"/>
          </w:tcPr>
          <w:p>
            <w:pPr>
              <w:ind w:left="80"/>
              <w:spacing w:after="0"/>
              <w:rPr>
                <w:sz w:val="20"/>
                <w:szCs w:val="20"/>
                <w:color w:val="auto"/>
              </w:rPr>
            </w:pPr>
            <w:r>
              <w:rPr>
                <w:rFonts w:ascii="Arial" w:cs="Arial" w:eastAsia="Arial" w:hAnsi="Arial"/>
                <w:sz w:val="16"/>
                <w:szCs w:val="16"/>
                <w:color w:val="auto"/>
              </w:rPr>
              <w:t>Mr. Capello</w:t>
            </w:r>
          </w:p>
        </w:tc>
        <w:tc>
          <w:tcPr>
            <w:tcW w:w="96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6"/>
                <w:szCs w:val="16"/>
                <w:color w:val="auto"/>
              </w:rPr>
              <w:t>$16,500</w:t>
            </w:r>
          </w:p>
        </w:tc>
        <w:tc>
          <w:tcPr>
            <w:tcW w:w="26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BAD3EA"/>
            </w:tcBorders>
            <w:shd w:val="clear" w:color="auto" w:fill="BAD3EA"/>
          </w:tcPr>
          <w:p>
            <w:pPr>
              <w:jc w:val="right"/>
              <w:ind w:right="80"/>
              <w:spacing w:after="0"/>
              <w:rPr>
                <w:sz w:val="20"/>
                <w:szCs w:val="20"/>
                <w:color w:val="auto"/>
              </w:rPr>
            </w:pPr>
            <w:r>
              <w:rPr>
                <w:rFonts w:ascii="Arial" w:cs="Arial" w:eastAsia="Arial" w:hAnsi="Arial"/>
                <w:sz w:val="16"/>
                <w:szCs w:val="16"/>
                <w:color w:val="auto"/>
              </w:rPr>
              <w:t>28,500</w:t>
            </w:r>
          </w:p>
        </w:tc>
        <w:tc>
          <w:tcPr>
            <w:tcW w:w="900" w:type="dxa"/>
            <w:vAlign w:val="bottom"/>
            <w:tcBorders>
              <w:bottom w:val="single" w:sz="8" w:color="BAD3EA"/>
            </w:tcBorders>
            <w:shd w:val="clear" w:color="auto" w:fill="BAD3EA"/>
          </w:tcPr>
          <w:p>
            <w:pPr>
              <w:jc w:val="right"/>
              <w:ind w:right="124"/>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6"/>
                <w:szCs w:val="16"/>
                <w:color w:val="auto"/>
                <w:w w:val="97"/>
              </w:rPr>
              <w:t>$ 1,582</w:t>
            </w:r>
          </w:p>
        </w:tc>
        <w:tc>
          <w:tcPr>
            <w:tcW w:w="980" w:type="dxa"/>
            <w:vAlign w:val="bottom"/>
            <w:tcBorders>
              <w:bottom w:val="single" w:sz="8" w:color="BAD3EA"/>
            </w:tcBorders>
            <w:shd w:val="clear" w:color="auto" w:fill="BAD3EA"/>
          </w:tcPr>
          <w:p>
            <w:pPr>
              <w:jc w:val="right"/>
              <w:ind w:right="102"/>
              <w:spacing w:after="0"/>
              <w:rPr>
                <w:sz w:val="20"/>
                <w:szCs w:val="20"/>
                <w:color w:val="auto"/>
              </w:rPr>
            </w:pPr>
            <w:r>
              <w:rPr>
                <w:rFonts w:ascii="Arial" w:cs="Arial" w:eastAsia="Arial" w:hAnsi="Arial"/>
                <w:sz w:val="16"/>
                <w:szCs w:val="16"/>
                <w:color w:val="auto"/>
              </w:rPr>
              <w:t>—</w:t>
            </w:r>
          </w:p>
        </w:tc>
      </w:tr>
      <w:tr>
        <w:trPr>
          <w:trHeight w:val="250"/>
        </w:trPr>
        <w:tc>
          <w:tcPr>
            <w:tcW w:w="5820" w:type="dxa"/>
            <w:vAlign w:val="bottom"/>
            <w:tcBorders>
              <w:bottom w:val="single" w:sz="8" w:color="E8F0F8"/>
            </w:tcBorders>
            <w:shd w:val="clear" w:color="auto" w:fill="E8F0F8"/>
          </w:tcPr>
          <w:p>
            <w:pPr>
              <w:ind w:left="80"/>
              <w:spacing w:after="0"/>
              <w:rPr>
                <w:sz w:val="20"/>
                <w:szCs w:val="20"/>
                <w:color w:val="auto"/>
              </w:rPr>
            </w:pPr>
            <w:r>
              <w:rPr>
                <w:rFonts w:ascii="Arial" w:cs="Arial" w:eastAsia="Arial" w:hAnsi="Arial"/>
                <w:sz w:val="16"/>
                <w:szCs w:val="16"/>
                <w:color w:val="auto"/>
              </w:rPr>
              <w:t>Dr. Ehlers</w:t>
            </w:r>
          </w:p>
        </w:tc>
        <w:tc>
          <w:tcPr>
            <w:tcW w:w="96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6"/>
                <w:szCs w:val="16"/>
                <w:color w:val="auto"/>
              </w:rPr>
              <w:t>$16,500</w:t>
            </w:r>
          </w:p>
        </w:tc>
        <w:tc>
          <w:tcPr>
            <w:tcW w:w="26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8F0F8"/>
            </w:tcBorders>
            <w:shd w:val="clear" w:color="auto" w:fill="E8F0F8"/>
          </w:tcPr>
          <w:p>
            <w:pPr>
              <w:jc w:val="right"/>
              <w:ind w:right="80"/>
              <w:spacing w:after="0"/>
              <w:rPr>
                <w:sz w:val="20"/>
                <w:szCs w:val="20"/>
                <w:color w:val="auto"/>
              </w:rPr>
            </w:pPr>
            <w:r>
              <w:rPr>
                <w:rFonts w:ascii="Arial" w:cs="Arial" w:eastAsia="Arial" w:hAnsi="Arial"/>
                <w:sz w:val="16"/>
                <w:szCs w:val="16"/>
                <w:color w:val="auto"/>
                <w:w w:val="96"/>
              </w:rPr>
              <w:t>168,428</w:t>
            </w:r>
          </w:p>
        </w:tc>
        <w:tc>
          <w:tcPr>
            <w:tcW w:w="900" w:type="dxa"/>
            <w:vAlign w:val="bottom"/>
            <w:tcBorders>
              <w:bottom w:val="single" w:sz="8" w:color="E8F0F8"/>
            </w:tcBorders>
            <w:shd w:val="clear" w:color="auto" w:fill="E8F0F8"/>
          </w:tcPr>
          <w:p>
            <w:pPr>
              <w:jc w:val="right"/>
              <w:ind w:right="124"/>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6"/>
                <w:szCs w:val="16"/>
                <w:color w:val="auto"/>
                <w:w w:val="97"/>
              </w:rPr>
              <w:t>$ 1,582</w:t>
            </w:r>
          </w:p>
        </w:tc>
        <w:tc>
          <w:tcPr>
            <w:tcW w:w="980" w:type="dxa"/>
            <w:vAlign w:val="bottom"/>
            <w:tcBorders>
              <w:bottom w:val="single" w:sz="8" w:color="E8F0F8"/>
            </w:tcBorders>
            <w:shd w:val="clear" w:color="auto" w:fill="E8F0F8"/>
          </w:tcPr>
          <w:p>
            <w:pPr>
              <w:jc w:val="right"/>
              <w:ind w:right="102"/>
              <w:spacing w:after="0"/>
              <w:rPr>
                <w:sz w:val="20"/>
                <w:szCs w:val="20"/>
                <w:color w:val="auto"/>
              </w:rPr>
            </w:pPr>
            <w:r>
              <w:rPr>
                <w:rFonts w:ascii="Arial" w:cs="Arial" w:eastAsia="Arial" w:hAnsi="Arial"/>
                <w:sz w:val="16"/>
                <w:szCs w:val="16"/>
                <w:color w:val="auto"/>
              </w:rPr>
              <w:t>—</w:t>
            </w:r>
          </w:p>
        </w:tc>
      </w:tr>
      <w:tr>
        <w:trPr>
          <w:trHeight w:val="250"/>
        </w:trPr>
        <w:tc>
          <w:tcPr>
            <w:tcW w:w="5820" w:type="dxa"/>
            <w:vAlign w:val="bottom"/>
            <w:tcBorders>
              <w:bottom w:val="single" w:sz="8" w:color="BAD3EA"/>
            </w:tcBorders>
            <w:shd w:val="clear" w:color="auto" w:fill="BAD3EA"/>
          </w:tcPr>
          <w:p>
            <w:pPr>
              <w:ind w:left="80"/>
              <w:spacing w:after="0"/>
              <w:rPr>
                <w:sz w:val="20"/>
                <w:szCs w:val="20"/>
                <w:color w:val="auto"/>
              </w:rPr>
            </w:pPr>
            <w:r>
              <w:rPr>
                <w:rFonts w:ascii="Arial" w:cs="Arial" w:eastAsia="Arial" w:hAnsi="Arial"/>
                <w:sz w:val="16"/>
                <w:szCs w:val="16"/>
                <w:color w:val="auto"/>
              </w:rPr>
              <w:t>Ms. Alexander</w:t>
            </w:r>
          </w:p>
        </w:tc>
        <w:tc>
          <w:tcPr>
            <w:tcW w:w="96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6"/>
                <w:szCs w:val="16"/>
                <w:color w:val="auto"/>
              </w:rPr>
              <w:t>$16,500</w:t>
            </w:r>
          </w:p>
        </w:tc>
        <w:tc>
          <w:tcPr>
            <w:tcW w:w="26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BAD3EA"/>
            </w:tcBorders>
            <w:shd w:val="clear" w:color="auto" w:fill="BAD3EA"/>
          </w:tcPr>
          <w:p>
            <w:pPr>
              <w:jc w:val="right"/>
              <w:ind w:right="80"/>
              <w:spacing w:after="0"/>
              <w:rPr>
                <w:sz w:val="20"/>
                <w:szCs w:val="20"/>
                <w:color w:val="auto"/>
              </w:rPr>
            </w:pPr>
            <w:r>
              <w:rPr>
                <w:rFonts w:ascii="Arial" w:cs="Arial" w:eastAsia="Arial" w:hAnsi="Arial"/>
                <w:sz w:val="16"/>
                <w:szCs w:val="16"/>
                <w:color w:val="auto"/>
                <w:w w:val="96"/>
              </w:rPr>
              <w:t>176,553</w:t>
            </w:r>
          </w:p>
        </w:tc>
        <w:tc>
          <w:tcPr>
            <w:tcW w:w="900" w:type="dxa"/>
            <w:vAlign w:val="bottom"/>
            <w:tcBorders>
              <w:bottom w:val="single" w:sz="8" w:color="BAD3EA"/>
            </w:tcBorders>
            <w:shd w:val="clear" w:color="auto" w:fill="BAD3EA"/>
          </w:tcPr>
          <w:p>
            <w:pPr>
              <w:jc w:val="right"/>
              <w:ind w:right="124"/>
              <w:spacing w:after="0"/>
              <w:rPr>
                <w:sz w:val="20"/>
                <w:szCs w:val="20"/>
                <w:color w:val="auto"/>
              </w:rPr>
            </w:pPr>
            <w:r>
              <w:rPr>
                <w:rFonts w:ascii="Arial" w:cs="Arial" w:eastAsia="Arial" w:hAnsi="Arial"/>
                <w:sz w:val="16"/>
                <w:szCs w:val="16"/>
                <w:color w:val="auto"/>
              </w:rPr>
              <w:t>$ 6,560</w:t>
            </w:r>
          </w:p>
        </w:tc>
        <w:tc>
          <w:tcPr>
            <w:tcW w:w="82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6"/>
                <w:szCs w:val="16"/>
                <w:color w:val="auto"/>
                <w:w w:val="97"/>
              </w:rPr>
              <w:t>$ 1,527</w:t>
            </w:r>
          </w:p>
        </w:tc>
        <w:tc>
          <w:tcPr>
            <w:tcW w:w="980" w:type="dxa"/>
            <w:vAlign w:val="bottom"/>
            <w:tcBorders>
              <w:bottom w:val="single" w:sz="8" w:color="BAD3EA"/>
            </w:tcBorders>
            <w:shd w:val="clear" w:color="auto" w:fill="BAD3EA"/>
          </w:tcPr>
          <w:p>
            <w:pPr>
              <w:jc w:val="right"/>
              <w:ind w:right="102"/>
              <w:spacing w:after="0"/>
              <w:rPr>
                <w:sz w:val="20"/>
                <w:szCs w:val="20"/>
                <w:color w:val="auto"/>
              </w:rPr>
            </w:pPr>
            <w:r>
              <w:rPr>
                <w:rFonts w:ascii="Arial" w:cs="Arial" w:eastAsia="Arial" w:hAnsi="Arial"/>
                <w:sz w:val="16"/>
                <w:szCs w:val="16"/>
                <w:color w:val="auto"/>
              </w:rPr>
              <w:t>—</w:t>
            </w:r>
          </w:p>
        </w:tc>
      </w:tr>
      <w:tr>
        <w:trPr>
          <w:trHeight w:val="250"/>
        </w:trPr>
        <w:tc>
          <w:tcPr>
            <w:tcW w:w="5820" w:type="dxa"/>
            <w:vAlign w:val="bottom"/>
            <w:tcBorders>
              <w:bottom w:val="single" w:sz="8" w:color="E8F0F8"/>
            </w:tcBorders>
            <w:shd w:val="clear" w:color="auto" w:fill="E8F0F8"/>
          </w:tcPr>
          <w:p>
            <w:pPr>
              <w:ind w:left="80"/>
              <w:spacing w:after="0"/>
              <w:rPr>
                <w:sz w:val="20"/>
                <w:szCs w:val="20"/>
                <w:color w:val="auto"/>
              </w:rPr>
            </w:pPr>
            <w:r>
              <w:rPr>
                <w:rFonts w:ascii="Arial" w:cs="Arial" w:eastAsia="Arial" w:hAnsi="Arial"/>
                <w:sz w:val="16"/>
                <w:szCs w:val="16"/>
                <w:color w:val="auto"/>
              </w:rPr>
              <w:t>Dr. McKenzie</w:t>
            </w:r>
          </w:p>
        </w:tc>
        <w:tc>
          <w:tcPr>
            <w:tcW w:w="96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6"/>
                <w:szCs w:val="16"/>
                <w:color w:val="auto"/>
              </w:rPr>
              <w:t>$16,500</w:t>
            </w:r>
          </w:p>
        </w:tc>
        <w:tc>
          <w:tcPr>
            <w:tcW w:w="26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8F0F8"/>
            </w:tcBorders>
            <w:shd w:val="clear" w:color="auto" w:fill="E8F0F8"/>
          </w:tcPr>
          <w:p>
            <w:pPr>
              <w:jc w:val="right"/>
              <w:ind w:right="80"/>
              <w:spacing w:after="0"/>
              <w:rPr>
                <w:sz w:val="20"/>
                <w:szCs w:val="20"/>
                <w:color w:val="auto"/>
              </w:rPr>
            </w:pPr>
            <w:r>
              <w:rPr>
                <w:rFonts w:ascii="Arial" w:cs="Arial" w:eastAsia="Arial" w:hAnsi="Arial"/>
                <w:sz w:val="16"/>
                <w:szCs w:val="16"/>
                <w:color w:val="auto"/>
                <w:w w:val="96"/>
              </w:rPr>
              <w:t>118,612</w:t>
            </w:r>
          </w:p>
        </w:tc>
        <w:tc>
          <w:tcPr>
            <w:tcW w:w="900" w:type="dxa"/>
            <w:vAlign w:val="bottom"/>
            <w:tcBorders>
              <w:bottom w:val="single" w:sz="8" w:color="E8F0F8"/>
            </w:tcBorders>
            <w:shd w:val="clear" w:color="auto" w:fill="E8F0F8"/>
          </w:tcPr>
          <w:p>
            <w:pPr>
              <w:jc w:val="right"/>
              <w:ind w:right="124"/>
              <w:spacing w:after="0"/>
              <w:rPr>
                <w:sz w:val="20"/>
                <w:szCs w:val="20"/>
                <w:color w:val="auto"/>
              </w:rPr>
            </w:pPr>
            <w:r>
              <w:rPr>
                <w:rFonts w:ascii="Arial" w:cs="Arial" w:eastAsia="Arial" w:hAnsi="Arial"/>
                <w:sz w:val="16"/>
                <w:szCs w:val="16"/>
                <w:color w:val="auto"/>
              </w:rPr>
              <w:t>$ 5,179</w:t>
            </w:r>
          </w:p>
        </w:tc>
        <w:tc>
          <w:tcPr>
            <w:tcW w:w="82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6"/>
                <w:szCs w:val="16"/>
                <w:color w:val="auto"/>
                <w:w w:val="97"/>
              </w:rPr>
              <w:t>$ 1,274</w:t>
            </w:r>
          </w:p>
        </w:tc>
        <w:tc>
          <w:tcPr>
            <w:tcW w:w="980" w:type="dxa"/>
            <w:vAlign w:val="bottom"/>
            <w:tcBorders>
              <w:bottom w:val="single" w:sz="8" w:color="E8F0F8"/>
            </w:tcBorders>
            <w:shd w:val="clear" w:color="auto" w:fill="E8F0F8"/>
          </w:tcPr>
          <w:p>
            <w:pPr>
              <w:jc w:val="right"/>
              <w:ind w:right="102"/>
              <w:spacing w:after="0"/>
              <w:rPr>
                <w:sz w:val="20"/>
                <w:szCs w:val="20"/>
                <w:color w:val="auto"/>
              </w:rPr>
            </w:pPr>
            <w:r>
              <w:rPr>
                <w:rFonts w:ascii="Arial" w:cs="Arial" w:eastAsia="Arial" w:hAnsi="Arial"/>
                <w:sz w:val="16"/>
                <w:szCs w:val="16"/>
                <w:color w:val="auto"/>
              </w:rPr>
              <w:t>$12,841</w:t>
            </w:r>
          </w:p>
        </w:tc>
      </w:tr>
      <w:tr>
        <w:trPr>
          <w:trHeight w:val="20"/>
        </w:trPr>
        <w:tc>
          <w:tcPr>
            <w:tcW w:w="58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45" w:lineRule="exact"/>
        <w:rPr>
          <w:sz w:val="20"/>
          <w:szCs w:val="20"/>
          <w:color w:val="auto"/>
        </w:rPr>
      </w:pPr>
    </w:p>
    <w:p>
      <w:pPr>
        <w:ind w:left="520" w:right="300" w:hanging="316"/>
        <w:spacing w:after="0" w:line="241" w:lineRule="auto"/>
        <w:tabs>
          <w:tab w:leader="none" w:pos="52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Mr. Vounatsos joined Biogen as our Executive Vice President, Chief Commercial Officer effective April 18, 2016. Mr. Vounatsos was appointed our Chief Executive Officer and a member of our Board of Directors effective January 6, 2017. His base salary for 2017 was $1,100,000, of which he received a pro rata share from January 6, 2017 to December 31, 2017. From January 1, 2017 to January 5, 2017, he was paid at his prior rate of base salary ($750,000).</w:t>
      </w:r>
    </w:p>
    <w:p>
      <w:pPr>
        <w:spacing w:after="0" w:line="1" w:lineRule="exact"/>
        <w:rPr>
          <w:rFonts w:ascii="Arial" w:cs="Arial" w:eastAsia="Arial" w:hAnsi="Arial"/>
          <w:sz w:val="14"/>
          <w:szCs w:val="14"/>
          <w:color w:val="auto"/>
        </w:rPr>
      </w:pPr>
    </w:p>
    <w:p>
      <w:pPr>
        <w:ind w:left="520" w:right="80" w:hanging="316"/>
        <w:spacing w:after="0" w:line="241" w:lineRule="auto"/>
        <w:tabs>
          <w:tab w:leader="none" w:pos="52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Mr. Capello was appointed as our Executive Vice President and Chief Financial Officer effective December 11, 2017. His base salary for 2017 was $750,000, of which he received a pro rata share from December 11, 2017 to December 31, 2017. Mr. Capello was not eligible to participate in our 2017 annual bonus plan and was not granted any stock awards in 2017.</w:t>
      </w:r>
    </w:p>
    <w:p>
      <w:pPr>
        <w:spacing w:after="0" w:line="1" w:lineRule="exact"/>
        <w:rPr>
          <w:rFonts w:ascii="Arial" w:cs="Arial" w:eastAsia="Arial" w:hAnsi="Arial"/>
          <w:sz w:val="14"/>
          <w:szCs w:val="14"/>
          <w:color w:val="auto"/>
        </w:rPr>
      </w:pPr>
    </w:p>
    <w:p>
      <w:pPr>
        <w:ind w:left="520" w:right="180" w:hanging="316"/>
        <w:spacing w:after="0" w:line="241" w:lineRule="auto"/>
        <w:tabs>
          <w:tab w:leader="none" w:pos="52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Represents reimbursements of expenses relating to tax, financial and estate planning and executive physicals as described under the heading “Executive Physicals, Tax Preparation, Financial and Estate Planning” above.</w:t>
      </w:r>
    </w:p>
    <w:p>
      <w:pPr>
        <w:ind w:left="520" w:hanging="316"/>
        <w:spacing w:after="0"/>
        <w:tabs>
          <w:tab w:leader="none" w:pos="52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amount for Dr. McKenzie reflects relocation benefits under the Company’s Executive Relocation Policy and includes a tax gross-up of $1,518.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83820</wp:posOffset>
            </wp:positionV>
            <wp:extent cx="685800" cy="15430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-71120</wp:posOffset>
            </wp:positionV>
            <wp:extent cx="102870" cy="946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127"/>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1A6DBB"/>
        </w:rPr>
        <w:t>2018 Grants of Plan-Based Awards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shows additional information regarding all grants of plan-based awards made to our NEOs for the year ended December 31, 2018.</w:t>
      </w: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180"/>
        </w:trPr>
        <w:tc>
          <w:tcPr>
            <w:tcW w:w="2520" w:type="dxa"/>
            <w:vAlign w:val="bottom"/>
            <w:shd w:val="clear" w:color="auto" w:fill="1A6DBB"/>
          </w:tcPr>
          <w:p>
            <w:pPr>
              <w:spacing w:after="0"/>
              <w:rPr>
                <w:sz w:val="15"/>
                <w:szCs w:val="15"/>
                <w:color w:val="auto"/>
              </w:rPr>
            </w:pPr>
          </w:p>
        </w:tc>
        <w:tc>
          <w:tcPr>
            <w:tcW w:w="940" w:type="dxa"/>
            <w:vAlign w:val="bottom"/>
            <w:shd w:val="clear" w:color="auto" w:fill="1A6DBB"/>
          </w:tcPr>
          <w:p>
            <w:pPr>
              <w:spacing w:after="0"/>
              <w:rPr>
                <w:sz w:val="15"/>
                <w:szCs w:val="15"/>
                <w:color w:val="auto"/>
              </w:rPr>
            </w:pPr>
          </w:p>
        </w:tc>
        <w:tc>
          <w:tcPr>
            <w:tcW w:w="480" w:type="dxa"/>
            <w:vAlign w:val="bottom"/>
            <w:shd w:val="clear" w:color="auto" w:fill="1A6DBB"/>
          </w:tcPr>
          <w:p>
            <w:pPr>
              <w:spacing w:after="0"/>
              <w:rPr>
                <w:sz w:val="15"/>
                <w:szCs w:val="15"/>
                <w:color w:val="auto"/>
              </w:rPr>
            </w:pPr>
          </w:p>
        </w:tc>
        <w:tc>
          <w:tcPr>
            <w:tcW w:w="760" w:type="dxa"/>
            <w:vAlign w:val="bottom"/>
            <w:shd w:val="clear" w:color="auto" w:fill="1A6DBB"/>
          </w:tcPr>
          <w:p>
            <w:pPr>
              <w:spacing w:after="0"/>
              <w:rPr>
                <w:sz w:val="15"/>
                <w:szCs w:val="15"/>
                <w:color w:val="auto"/>
              </w:rPr>
            </w:pPr>
          </w:p>
        </w:tc>
        <w:tc>
          <w:tcPr>
            <w:tcW w:w="140" w:type="dxa"/>
            <w:vAlign w:val="bottom"/>
            <w:shd w:val="clear" w:color="auto" w:fill="1A6DBB"/>
          </w:tcPr>
          <w:p>
            <w:pPr>
              <w:spacing w:after="0"/>
              <w:rPr>
                <w:sz w:val="15"/>
                <w:szCs w:val="15"/>
                <w:color w:val="auto"/>
              </w:rPr>
            </w:pPr>
          </w:p>
        </w:tc>
        <w:tc>
          <w:tcPr>
            <w:tcW w:w="720" w:type="dxa"/>
            <w:vAlign w:val="bottom"/>
            <w:shd w:val="clear" w:color="auto" w:fill="1A6DBB"/>
          </w:tcPr>
          <w:p>
            <w:pPr>
              <w:spacing w:after="0"/>
              <w:rPr>
                <w:sz w:val="15"/>
                <w:szCs w:val="15"/>
                <w:color w:val="auto"/>
              </w:rPr>
            </w:pPr>
          </w:p>
        </w:tc>
        <w:tc>
          <w:tcPr>
            <w:tcW w:w="140" w:type="dxa"/>
            <w:vAlign w:val="bottom"/>
            <w:shd w:val="clear" w:color="auto" w:fill="1A6DBB"/>
          </w:tcPr>
          <w:p>
            <w:pPr>
              <w:spacing w:after="0"/>
              <w:rPr>
                <w:sz w:val="15"/>
                <w:szCs w:val="15"/>
                <w:color w:val="auto"/>
              </w:rPr>
            </w:pPr>
          </w:p>
        </w:tc>
        <w:tc>
          <w:tcPr>
            <w:tcW w:w="900" w:type="dxa"/>
            <w:vAlign w:val="bottom"/>
            <w:shd w:val="clear" w:color="auto" w:fill="1A6DBB"/>
          </w:tcPr>
          <w:p>
            <w:pPr>
              <w:spacing w:after="0"/>
              <w:rPr>
                <w:sz w:val="15"/>
                <w:szCs w:val="15"/>
                <w:color w:val="auto"/>
              </w:rPr>
            </w:pPr>
          </w:p>
        </w:tc>
        <w:tc>
          <w:tcPr>
            <w:tcW w:w="980" w:type="dxa"/>
            <w:vAlign w:val="bottom"/>
            <w:shd w:val="clear" w:color="auto" w:fill="1A6DBB"/>
          </w:tcPr>
          <w:p>
            <w:pPr>
              <w:spacing w:after="0"/>
              <w:rPr>
                <w:sz w:val="15"/>
                <w:szCs w:val="15"/>
                <w:color w:val="auto"/>
              </w:rPr>
            </w:pPr>
          </w:p>
        </w:tc>
        <w:tc>
          <w:tcPr>
            <w:tcW w:w="940" w:type="dxa"/>
            <w:vAlign w:val="bottom"/>
            <w:shd w:val="clear" w:color="auto" w:fill="1A6DBB"/>
          </w:tcPr>
          <w:p>
            <w:pPr>
              <w:spacing w:after="0"/>
              <w:rPr>
                <w:sz w:val="15"/>
                <w:szCs w:val="15"/>
                <w:color w:val="auto"/>
              </w:rPr>
            </w:pPr>
          </w:p>
        </w:tc>
        <w:tc>
          <w:tcPr>
            <w:tcW w:w="920" w:type="dxa"/>
            <w:vAlign w:val="bottom"/>
            <w:shd w:val="clear" w:color="auto" w:fill="1A6DBB"/>
          </w:tcPr>
          <w:p>
            <w:pPr>
              <w:spacing w:after="0"/>
              <w:rPr>
                <w:sz w:val="15"/>
                <w:szCs w:val="15"/>
                <w:color w:val="auto"/>
              </w:rPr>
            </w:pPr>
          </w:p>
        </w:tc>
        <w:tc>
          <w:tcPr>
            <w:tcW w:w="68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All</w:t>
            </w:r>
          </w:p>
        </w:tc>
        <w:tc>
          <w:tcPr>
            <w:tcW w:w="900" w:type="dxa"/>
            <w:vAlign w:val="bottom"/>
            <w:shd w:val="clear" w:color="auto" w:fill="1A6DBB"/>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20" w:type="dxa"/>
            <w:vAlign w:val="bottom"/>
            <w:shd w:val="clear" w:color="auto" w:fill="1A6DBB"/>
          </w:tcPr>
          <w:p>
            <w:pPr>
              <w:spacing w:after="0"/>
              <w:rPr>
                <w:sz w:val="14"/>
                <w:szCs w:val="14"/>
                <w:color w:val="auto"/>
              </w:rPr>
            </w:pPr>
          </w:p>
        </w:tc>
        <w:tc>
          <w:tcPr>
            <w:tcW w:w="940" w:type="dxa"/>
            <w:vAlign w:val="bottom"/>
            <w:shd w:val="clear" w:color="auto" w:fill="1A6DBB"/>
          </w:tcPr>
          <w:p>
            <w:pPr>
              <w:spacing w:after="0"/>
              <w:rPr>
                <w:sz w:val="14"/>
                <w:szCs w:val="14"/>
                <w:color w:val="auto"/>
              </w:rPr>
            </w:pPr>
          </w:p>
        </w:tc>
        <w:tc>
          <w:tcPr>
            <w:tcW w:w="480" w:type="dxa"/>
            <w:vAlign w:val="bottom"/>
            <w:shd w:val="clear" w:color="auto" w:fill="1A6DBB"/>
          </w:tcPr>
          <w:p>
            <w:pPr>
              <w:spacing w:after="0"/>
              <w:rPr>
                <w:sz w:val="14"/>
                <w:szCs w:val="14"/>
                <w:color w:val="auto"/>
              </w:rPr>
            </w:pPr>
          </w:p>
        </w:tc>
        <w:tc>
          <w:tcPr>
            <w:tcW w:w="760" w:type="dxa"/>
            <w:vAlign w:val="bottom"/>
            <w:shd w:val="clear" w:color="auto" w:fill="1A6DBB"/>
          </w:tcPr>
          <w:p>
            <w:pPr>
              <w:spacing w:after="0"/>
              <w:rPr>
                <w:sz w:val="14"/>
                <w:szCs w:val="14"/>
                <w:color w:val="auto"/>
              </w:rPr>
            </w:pPr>
          </w:p>
        </w:tc>
        <w:tc>
          <w:tcPr>
            <w:tcW w:w="140" w:type="dxa"/>
            <w:vAlign w:val="bottom"/>
            <w:shd w:val="clear" w:color="auto" w:fill="1A6DBB"/>
          </w:tcPr>
          <w:p>
            <w:pPr>
              <w:spacing w:after="0"/>
              <w:rPr>
                <w:sz w:val="14"/>
                <w:szCs w:val="14"/>
                <w:color w:val="auto"/>
              </w:rPr>
            </w:pPr>
          </w:p>
        </w:tc>
        <w:tc>
          <w:tcPr>
            <w:tcW w:w="720" w:type="dxa"/>
            <w:vAlign w:val="bottom"/>
            <w:shd w:val="clear" w:color="auto" w:fill="1A6DBB"/>
          </w:tcPr>
          <w:p>
            <w:pPr>
              <w:spacing w:after="0"/>
              <w:rPr>
                <w:sz w:val="14"/>
                <w:szCs w:val="14"/>
                <w:color w:val="auto"/>
              </w:rPr>
            </w:pPr>
          </w:p>
        </w:tc>
        <w:tc>
          <w:tcPr>
            <w:tcW w:w="140" w:type="dxa"/>
            <w:vAlign w:val="bottom"/>
            <w:shd w:val="clear" w:color="auto" w:fill="1A6DBB"/>
          </w:tcPr>
          <w:p>
            <w:pPr>
              <w:spacing w:after="0"/>
              <w:rPr>
                <w:sz w:val="14"/>
                <w:szCs w:val="14"/>
                <w:color w:val="auto"/>
              </w:rPr>
            </w:pPr>
          </w:p>
        </w:tc>
        <w:tc>
          <w:tcPr>
            <w:tcW w:w="900" w:type="dxa"/>
            <w:vAlign w:val="bottom"/>
            <w:shd w:val="clear" w:color="auto" w:fill="1A6DBB"/>
          </w:tcPr>
          <w:p>
            <w:pPr>
              <w:spacing w:after="0"/>
              <w:rPr>
                <w:sz w:val="14"/>
                <w:szCs w:val="14"/>
                <w:color w:val="auto"/>
              </w:rPr>
            </w:pPr>
          </w:p>
        </w:tc>
        <w:tc>
          <w:tcPr>
            <w:tcW w:w="980" w:type="dxa"/>
            <w:vAlign w:val="bottom"/>
            <w:shd w:val="clear" w:color="auto" w:fill="1A6DBB"/>
          </w:tcPr>
          <w:p>
            <w:pPr>
              <w:spacing w:after="0"/>
              <w:rPr>
                <w:sz w:val="14"/>
                <w:szCs w:val="14"/>
                <w:color w:val="auto"/>
              </w:rPr>
            </w:pPr>
          </w:p>
        </w:tc>
        <w:tc>
          <w:tcPr>
            <w:tcW w:w="940" w:type="dxa"/>
            <w:vAlign w:val="bottom"/>
            <w:shd w:val="clear" w:color="auto" w:fill="1A6DBB"/>
          </w:tcPr>
          <w:p>
            <w:pPr>
              <w:spacing w:after="0"/>
              <w:rPr>
                <w:sz w:val="14"/>
                <w:szCs w:val="14"/>
                <w:color w:val="auto"/>
              </w:rPr>
            </w:pPr>
          </w:p>
        </w:tc>
        <w:tc>
          <w:tcPr>
            <w:tcW w:w="920" w:type="dxa"/>
            <w:vAlign w:val="bottom"/>
            <w:shd w:val="clear" w:color="auto" w:fill="1A6DBB"/>
          </w:tcPr>
          <w:p>
            <w:pPr>
              <w:spacing w:after="0"/>
              <w:rPr>
                <w:sz w:val="14"/>
                <w:szCs w:val="14"/>
                <w:color w:val="auto"/>
              </w:rPr>
            </w:pPr>
          </w:p>
        </w:tc>
        <w:tc>
          <w:tcPr>
            <w:tcW w:w="68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Other</w:t>
            </w:r>
          </w:p>
        </w:tc>
        <w:tc>
          <w:tcPr>
            <w:tcW w:w="900" w:type="dxa"/>
            <w:vAlign w:val="bottom"/>
            <w:shd w:val="clear" w:color="auto" w:fill="1A6DB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shd w:val="clear" w:color="auto" w:fill="1A6DBB"/>
          </w:tcPr>
          <w:p>
            <w:pPr>
              <w:spacing w:after="0"/>
              <w:rPr>
                <w:sz w:val="14"/>
                <w:szCs w:val="14"/>
                <w:color w:val="auto"/>
              </w:rPr>
            </w:pPr>
          </w:p>
        </w:tc>
        <w:tc>
          <w:tcPr>
            <w:tcW w:w="940" w:type="dxa"/>
            <w:vAlign w:val="bottom"/>
            <w:shd w:val="clear" w:color="auto" w:fill="1A6DBB"/>
          </w:tcPr>
          <w:p>
            <w:pPr>
              <w:spacing w:after="0"/>
              <w:rPr>
                <w:sz w:val="14"/>
                <w:szCs w:val="14"/>
                <w:color w:val="auto"/>
              </w:rPr>
            </w:pPr>
          </w:p>
        </w:tc>
        <w:tc>
          <w:tcPr>
            <w:tcW w:w="480" w:type="dxa"/>
            <w:vAlign w:val="bottom"/>
            <w:shd w:val="clear" w:color="auto" w:fill="1A6DBB"/>
          </w:tcPr>
          <w:p>
            <w:pPr>
              <w:spacing w:after="0"/>
              <w:rPr>
                <w:sz w:val="14"/>
                <w:szCs w:val="14"/>
                <w:color w:val="auto"/>
              </w:rPr>
            </w:pPr>
          </w:p>
        </w:tc>
        <w:tc>
          <w:tcPr>
            <w:tcW w:w="760" w:type="dxa"/>
            <w:vAlign w:val="bottom"/>
            <w:shd w:val="clear" w:color="auto" w:fill="1A6DBB"/>
          </w:tcPr>
          <w:p>
            <w:pPr>
              <w:spacing w:after="0"/>
              <w:rPr>
                <w:sz w:val="14"/>
                <w:szCs w:val="14"/>
                <w:color w:val="auto"/>
              </w:rPr>
            </w:pPr>
          </w:p>
        </w:tc>
        <w:tc>
          <w:tcPr>
            <w:tcW w:w="140" w:type="dxa"/>
            <w:vAlign w:val="bottom"/>
            <w:shd w:val="clear" w:color="auto" w:fill="1A6DBB"/>
          </w:tcPr>
          <w:p>
            <w:pPr>
              <w:spacing w:after="0"/>
              <w:rPr>
                <w:sz w:val="14"/>
                <w:szCs w:val="14"/>
                <w:color w:val="auto"/>
              </w:rPr>
            </w:pPr>
          </w:p>
        </w:tc>
        <w:tc>
          <w:tcPr>
            <w:tcW w:w="720" w:type="dxa"/>
            <w:vAlign w:val="bottom"/>
            <w:shd w:val="clear" w:color="auto" w:fill="1A6DBB"/>
          </w:tcPr>
          <w:p>
            <w:pPr>
              <w:spacing w:after="0"/>
              <w:rPr>
                <w:sz w:val="14"/>
                <w:szCs w:val="14"/>
                <w:color w:val="auto"/>
              </w:rPr>
            </w:pPr>
          </w:p>
        </w:tc>
        <w:tc>
          <w:tcPr>
            <w:tcW w:w="140" w:type="dxa"/>
            <w:vAlign w:val="bottom"/>
            <w:shd w:val="clear" w:color="auto" w:fill="1A6DBB"/>
          </w:tcPr>
          <w:p>
            <w:pPr>
              <w:spacing w:after="0"/>
              <w:rPr>
                <w:sz w:val="14"/>
                <w:szCs w:val="14"/>
                <w:color w:val="auto"/>
              </w:rPr>
            </w:pPr>
          </w:p>
        </w:tc>
        <w:tc>
          <w:tcPr>
            <w:tcW w:w="900" w:type="dxa"/>
            <w:vAlign w:val="bottom"/>
            <w:shd w:val="clear" w:color="auto" w:fill="1A6DBB"/>
          </w:tcPr>
          <w:p>
            <w:pPr>
              <w:spacing w:after="0"/>
              <w:rPr>
                <w:sz w:val="14"/>
                <w:szCs w:val="14"/>
                <w:color w:val="auto"/>
              </w:rPr>
            </w:pPr>
          </w:p>
        </w:tc>
        <w:tc>
          <w:tcPr>
            <w:tcW w:w="980" w:type="dxa"/>
            <w:vAlign w:val="bottom"/>
            <w:shd w:val="clear" w:color="auto" w:fill="1A6DBB"/>
          </w:tcPr>
          <w:p>
            <w:pPr>
              <w:spacing w:after="0"/>
              <w:rPr>
                <w:sz w:val="14"/>
                <w:szCs w:val="14"/>
                <w:color w:val="auto"/>
              </w:rPr>
            </w:pPr>
          </w:p>
        </w:tc>
        <w:tc>
          <w:tcPr>
            <w:tcW w:w="940" w:type="dxa"/>
            <w:vAlign w:val="bottom"/>
            <w:shd w:val="clear" w:color="auto" w:fill="1A6DBB"/>
          </w:tcPr>
          <w:p>
            <w:pPr>
              <w:spacing w:after="0"/>
              <w:rPr>
                <w:sz w:val="14"/>
                <w:szCs w:val="14"/>
                <w:color w:val="auto"/>
              </w:rPr>
            </w:pPr>
          </w:p>
        </w:tc>
        <w:tc>
          <w:tcPr>
            <w:tcW w:w="920" w:type="dxa"/>
            <w:vAlign w:val="bottom"/>
            <w:shd w:val="clear" w:color="auto" w:fill="1A6DBB"/>
          </w:tcPr>
          <w:p>
            <w:pPr>
              <w:spacing w:after="0"/>
              <w:rPr>
                <w:sz w:val="14"/>
                <w:szCs w:val="14"/>
                <w:color w:val="auto"/>
              </w:rPr>
            </w:pPr>
          </w:p>
        </w:tc>
        <w:tc>
          <w:tcPr>
            <w:tcW w:w="68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Stock</w:t>
            </w:r>
          </w:p>
        </w:tc>
        <w:tc>
          <w:tcPr>
            <w:tcW w:w="900" w:type="dxa"/>
            <w:vAlign w:val="bottom"/>
            <w:shd w:val="clear" w:color="auto" w:fill="1A6DB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shd w:val="clear" w:color="auto" w:fill="1A6DBB"/>
          </w:tcPr>
          <w:p>
            <w:pPr>
              <w:spacing w:after="0"/>
              <w:rPr>
                <w:sz w:val="14"/>
                <w:szCs w:val="14"/>
                <w:color w:val="auto"/>
              </w:rPr>
            </w:pPr>
          </w:p>
        </w:tc>
        <w:tc>
          <w:tcPr>
            <w:tcW w:w="940" w:type="dxa"/>
            <w:vAlign w:val="bottom"/>
            <w:shd w:val="clear" w:color="auto" w:fill="1A6DBB"/>
          </w:tcPr>
          <w:p>
            <w:pPr>
              <w:spacing w:after="0"/>
              <w:rPr>
                <w:sz w:val="14"/>
                <w:szCs w:val="14"/>
                <w:color w:val="auto"/>
              </w:rPr>
            </w:pPr>
          </w:p>
        </w:tc>
        <w:tc>
          <w:tcPr>
            <w:tcW w:w="480" w:type="dxa"/>
            <w:vAlign w:val="bottom"/>
            <w:shd w:val="clear" w:color="auto" w:fill="1A6DBB"/>
          </w:tcPr>
          <w:p>
            <w:pPr>
              <w:spacing w:after="0"/>
              <w:rPr>
                <w:sz w:val="14"/>
                <w:szCs w:val="14"/>
                <w:color w:val="auto"/>
              </w:rPr>
            </w:pPr>
          </w:p>
        </w:tc>
        <w:tc>
          <w:tcPr>
            <w:tcW w:w="2660" w:type="dxa"/>
            <w:vAlign w:val="bottom"/>
            <w:gridSpan w:val="5"/>
            <w:vMerge w:val="restart"/>
            <w:shd w:val="clear" w:color="auto" w:fill="1A6DBB"/>
          </w:tcPr>
          <w:p>
            <w:pPr>
              <w:jc w:val="center"/>
              <w:ind w:right="128"/>
              <w:spacing w:after="0"/>
              <w:rPr>
                <w:sz w:val="20"/>
                <w:szCs w:val="20"/>
                <w:color w:val="auto"/>
              </w:rPr>
            </w:pPr>
            <w:r>
              <w:rPr>
                <w:rFonts w:ascii="Arial" w:cs="Arial" w:eastAsia="Arial" w:hAnsi="Arial"/>
                <w:sz w:val="14"/>
                <w:szCs w:val="14"/>
                <w:color w:val="FFFFFF"/>
              </w:rPr>
              <w:t>Estimated Future Payouts Under</w:t>
            </w:r>
          </w:p>
        </w:tc>
        <w:tc>
          <w:tcPr>
            <w:tcW w:w="2840" w:type="dxa"/>
            <w:vAlign w:val="bottom"/>
            <w:gridSpan w:val="3"/>
            <w:vMerge w:val="restart"/>
            <w:shd w:val="clear" w:color="auto" w:fill="1A6DBB"/>
          </w:tcPr>
          <w:p>
            <w:pPr>
              <w:jc w:val="center"/>
              <w:spacing w:after="0"/>
              <w:rPr>
                <w:sz w:val="20"/>
                <w:szCs w:val="20"/>
                <w:color w:val="auto"/>
              </w:rPr>
            </w:pPr>
            <w:r>
              <w:rPr>
                <w:rFonts w:ascii="Arial" w:cs="Arial" w:eastAsia="Arial" w:hAnsi="Arial"/>
                <w:sz w:val="14"/>
                <w:szCs w:val="14"/>
                <w:color w:val="FFFFFF"/>
              </w:rPr>
              <w:t>Estimated Future Payouts</w:t>
            </w:r>
          </w:p>
        </w:tc>
        <w:tc>
          <w:tcPr>
            <w:tcW w:w="68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Awards:</w:t>
            </w:r>
          </w:p>
        </w:tc>
        <w:tc>
          <w:tcPr>
            <w:tcW w:w="900" w:type="dxa"/>
            <w:vAlign w:val="bottom"/>
            <w:shd w:val="clear" w:color="auto" w:fill="1A6DBB"/>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520" w:type="dxa"/>
            <w:vAlign w:val="bottom"/>
            <w:shd w:val="clear" w:color="auto" w:fill="1A6DBB"/>
          </w:tcPr>
          <w:p>
            <w:pPr>
              <w:spacing w:after="0"/>
              <w:rPr>
                <w:sz w:val="8"/>
                <w:szCs w:val="8"/>
                <w:color w:val="auto"/>
              </w:rPr>
            </w:pPr>
          </w:p>
        </w:tc>
        <w:tc>
          <w:tcPr>
            <w:tcW w:w="940" w:type="dxa"/>
            <w:vAlign w:val="bottom"/>
            <w:shd w:val="clear" w:color="auto" w:fill="1A6DBB"/>
          </w:tcPr>
          <w:p>
            <w:pPr>
              <w:spacing w:after="0"/>
              <w:rPr>
                <w:sz w:val="8"/>
                <w:szCs w:val="8"/>
                <w:color w:val="auto"/>
              </w:rPr>
            </w:pPr>
          </w:p>
        </w:tc>
        <w:tc>
          <w:tcPr>
            <w:tcW w:w="480" w:type="dxa"/>
            <w:vAlign w:val="bottom"/>
            <w:shd w:val="clear" w:color="auto" w:fill="1A6DBB"/>
          </w:tcPr>
          <w:p>
            <w:pPr>
              <w:spacing w:after="0"/>
              <w:rPr>
                <w:sz w:val="8"/>
                <w:szCs w:val="8"/>
                <w:color w:val="auto"/>
              </w:rPr>
            </w:pPr>
          </w:p>
        </w:tc>
        <w:tc>
          <w:tcPr>
            <w:tcW w:w="2660" w:type="dxa"/>
            <w:vAlign w:val="bottom"/>
            <w:gridSpan w:val="5"/>
            <w:vMerge w:val="continue"/>
            <w:shd w:val="clear" w:color="auto" w:fill="1A6DBB"/>
          </w:tcPr>
          <w:p>
            <w:pPr>
              <w:spacing w:after="0"/>
              <w:rPr>
                <w:sz w:val="8"/>
                <w:szCs w:val="8"/>
                <w:color w:val="auto"/>
              </w:rPr>
            </w:pPr>
          </w:p>
        </w:tc>
        <w:tc>
          <w:tcPr>
            <w:tcW w:w="2840" w:type="dxa"/>
            <w:vAlign w:val="bottom"/>
            <w:gridSpan w:val="3"/>
            <w:vMerge w:val="continue"/>
            <w:shd w:val="clear" w:color="auto" w:fill="1A6DBB"/>
          </w:tcPr>
          <w:p>
            <w:pPr>
              <w:spacing w:after="0"/>
              <w:rPr>
                <w:sz w:val="8"/>
                <w:szCs w:val="8"/>
                <w:color w:val="auto"/>
              </w:rPr>
            </w:pPr>
          </w:p>
        </w:tc>
        <w:tc>
          <w:tcPr>
            <w:tcW w:w="680" w:type="dxa"/>
            <w:vAlign w:val="bottom"/>
            <w:vMerge w:val="restart"/>
            <w:shd w:val="clear" w:color="auto" w:fill="1A6DBB"/>
          </w:tcPr>
          <w:p>
            <w:pPr>
              <w:jc w:val="center"/>
              <w:spacing w:after="0"/>
              <w:rPr>
                <w:sz w:val="20"/>
                <w:szCs w:val="20"/>
                <w:color w:val="auto"/>
              </w:rPr>
            </w:pPr>
            <w:r>
              <w:rPr>
                <w:rFonts w:ascii="Arial" w:cs="Arial" w:eastAsia="Arial" w:hAnsi="Arial"/>
                <w:sz w:val="14"/>
                <w:szCs w:val="14"/>
                <w:color w:val="FFFFFF"/>
              </w:rPr>
              <w:t>Number</w:t>
            </w:r>
          </w:p>
        </w:tc>
        <w:tc>
          <w:tcPr>
            <w:tcW w:w="900" w:type="dxa"/>
            <w:vAlign w:val="bottom"/>
            <w:vMerge w:val="restart"/>
            <w:shd w:val="clear" w:color="auto" w:fill="1A6DBB"/>
          </w:tcPr>
          <w:p>
            <w:pPr>
              <w:jc w:val="center"/>
              <w:spacing w:after="0"/>
              <w:rPr>
                <w:sz w:val="20"/>
                <w:szCs w:val="20"/>
                <w:color w:val="auto"/>
              </w:rPr>
            </w:pPr>
            <w:r>
              <w:rPr>
                <w:rFonts w:ascii="Arial" w:cs="Arial" w:eastAsia="Arial" w:hAnsi="Arial"/>
                <w:sz w:val="14"/>
                <w:szCs w:val="14"/>
                <w:color w:val="FFFFFF"/>
              </w:rPr>
              <w:t>Grant Date</w:t>
            </w:r>
          </w:p>
        </w:tc>
        <w:tc>
          <w:tcPr>
            <w:tcW w:w="0" w:type="dxa"/>
            <w:vAlign w:val="bottom"/>
          </w:tcPr>
          <w:p>
            <w:pPr>
              <w:spacing w:after="0"/>
              <w:rPr>
                <w:sz w:val="1"/>
                <w:szCs w:val="1"/>
                <w:color w:val="auto"/>
              </w:rPr>
            </w:pPr>
          </w:p>
        </w:tc>
      </w:tr>
      <w:tr>
        <w:trPr>
          <w:trHeight w:val="68"/>
        </w:trPr>
        <w:tc>
          <w:tcPr>
            <w:tcW w:w="2520" w:type="dxa"/>
            <w:vAlign w:val="bottom"/>
            <w:shd w:val="clear" w:color="auto" w:fill="1A6DBB"/>
          </w:tcPr>
          <w:p>
            <w:pPr>
              <w:spacing w:after="0"/>
              <w:rPr>
                <w:sz w:val="5"/>
                <w:szCs w:val="5"/>
                <w:color w:val="auto"/>
              </w:rPr>
            </w:pPr>
          </w:p>
        </w:tc>
        <w:tc>
          <w:tcPr>
            <w:tcW w:w="940" w:type="dxa"/>
            <w:vAlign w:val="bottom"/>
            <w:shd w:val="clear" w:color="auto" w:fill="1A6DBB"/>
          </w:tcPr>
          <w:p>
            <w:pPr>
              <w:spacing w:after="0"/>
              <w:rPr>
                <w:sz w:val="5"/>
                <w:szCs w:val="5"/>
                <w:color w:val="auto"/>
              </w:rPr>
            </w:pPr>
          </w:p>
        </w:tc>
        <w:tc>
          <w:tcPr>
            <w:tcW w:w="480" w:type="dxa"/>
            <w:vAlign w:val="bottom"/>
            <w:shd w:val="clear" w:color="auto" w:fill="1A6DBB"/>
          </w:tcPr>
          <w:p>
            <w:pPr>
              <w:spacing w:after="0"/>
              <w:rPr>
                <w:sz w:val="5"/>
                <w:szCs w:val="5"/>
                <w:color w:val="auto"/>
              </w:rPr>
            </w:pPr>
          </w:p>
        </w:tc>
        <w:tc>
          <w:tcPr>
            <w:tcW w:w="2660" w:type="dxa"/>
            <w:vAlign w:val="bottom"/>
            <w:gridSpan w:val="5"/>
            <w:vMerge w:val="restart"/>
            <w:shd w:val="clear" w:color="auto" w:fill="1A6DBB"/>
          </w:tcPr>
          <w:p>
            <w:pPr>
              <w:jc w:val="center"/>
              <w:ind w:right="128"/>
              <w:spacing w:after="0" w:line="155" w:lineRule="exact"/>
              <w:rPr>
                <w:sz w:val="20"/>
                <w:szCs w:val="20"/>
                <w:color w:val="auto"/>
              </w:rPr>
            </w:pPr>
            <w:r>
              <w:rPr>
                <w:rFonts w:ascii="Arial" w:cs="Arial" w:eastAsia="Arial" w:hAnsi="Arial"/>
                <w:sz w:val="14"/>
                <w:szCs w:val="14"/>
                <w:color w:val="FFFFFF"/>
              </w:rPr>
              <w:t>Non-Equity Incentive Plan</w:t>
            </w:r>
          </w:p>
        </w:tc>
        <w:tc>
          <w:tcPr>
            <w:tcW w:w="2840" w:type="dxa"/>
            <w:vAlign w:val="bottom"/>
            <w:gridSpan w:val="3"/>
            <w:vMerge w:val="restart"/>
            <w:shd w:val="clear" w:color="auto" w:fill="1A6DBB"/>
          </w:tcPr>
          <w:p>
            <w:pPr>
              <w:jc w:val="center"/>
              <w:spacing w:after="0" w:line="155" w:lineRule="exact"/>
              <w:rPr>
                <w:sz w:val="20"/>
                <w:szCs w:val="20"/>
                <w:color w:val="auto"/>
              </w:rPr>
            </w:pPr>
            <w:r>
              <w:rPr>
                <w:rFonts w:ascii="Arial" w:cs="Arial" w:eastAsia="Arial" w:hAnsi="Arial"/>
                <w:sz w:val="14"/>
                <w:szCs w:val="14"/>
                <w:color w:val="FFFFFF"/>
              </w:rPr>
              <w:t>Under Equity Incentive Plan</w:t>
            </w:r>
          </w:p>
        </w:tc>
        <w:tc>
          <w:tcPr>
            <w:tcW w:w="680" w:type="dxa"/>
            <w:vAlign w:val="bottom"/>
            <w:vMerge w:val="continue"/>
            <w:shd w:val="clear" w:color="auto" w:fill="1A6DBB"/>
          </w:tcPr>
          <w:p>
            <w:pPr>
              <w:spacing w:after="0"/>
              <w:rPr>
                <w:sz w:val="5"/>
                <w:szCs w:val="5"/>
                <w:color w:val="auto"/>
              </w:rPr>
            </w:pPr>
          </w:p>
        </w:tc>
        <w:tc>
          <w:tcPr>
            <w:tcW w:w="900" w:type="dxa"/>
            <w:vAlign w:val="bottom"/>
            <w:vMerge w:val="continue"/>
            <w:shd w:val="clear" w:color="auto" w:fill="1A6DBB"/>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520" w:type="dxa"/>
            <w:vAlign w:val="bottom"/>
            <w:shd w:val="clear" w:color="auto" w:fill="1A6DBB"/>
          </w:tcPr>
          <w:p>
            <w:pPr>
              <w:spacing w:after="0"/>
              <w:rPr>
                <w:sz w:val="7"/>
                <w:szCs w:val="7"/>
                <w:color w:val="auto"/>
              </w:rPr>
            </w:pPr>
          </w:p>
        </w:tc>
        <w:tc>
          <w:tcPr>
            <w:tcW w:w="940" w:type="dxa"/>
            <w:vAlign w:val="bottom"/>
            <w:shd w:val="clear" w:color="auto" w:fill="1A6DBB"/>
          </w:tcPr>
          <w:p>
            <w:pPr>
              <w:spacing w:after="0"/>
              <w:rPr>
                <w:sz w:val="7"/>
                <w:szCs w:val="7"/>
                <w:color w:val="auto"/>
              </w:rPr>
            </w:pPr>
          </w:p>
        </w:tc>
        <w:tc>
          <w:tcPr>
            <w:tcW w:w="480" w:type="dxa"/>
            <w:vAlign w:val="bottom"/>
            <w:shd w:val="clear" w:color="auto" w:fill="1A6DBB"/>
          </w:tcPr>
          <w:p>
            <w:pPr>
              <w:spacing w:after="0"/>
              <w:rPr>
                <w:sz w:val="7"/>
                <w:szCs w:val="7"/>
                <w:color w:val="auto"/>
              </w:rPr>
            </w:pPr>
          </w:p>
        </w:tc>
        <w:tc>
          <w:tcPr>
            <w:tcW w:w="2660" w:type="dxa"/>
            <w:vAlign w:val="bottom"/>
            <w:gridSpan w:val="5"/>
            <w:vMerge w:val="continue"/>
            <w:shd w:val="clear" w:color="auto" w:fill="1A6DBB"/>
          </w:tcPr>
          <w:p>
            <w:pPr>
              <w:spacing w:after="0"/>
              <w:rPr>
                <w:sz w:val="7"/>
                <w:szCs w:val="7"/>
                <w:color w:val="auto"/>
              </w:rPr>
            </w:pPr>
          </w:p>
        </w:tc>
        <w:tc>
          <w:tcPr>
            <w:tcW w:w="2840" w:type="dxa"/>
            <w:vAlign w:val="bottom"/>
            <w:gridSpan w:val="3"/>
            <w:vMerge w:val="continue"/>
            <w:shd w:val="clear" w:color="auto" w:fill="1A6DBB"/>
          </w:tcPr>
          <w:p>
            <w:pPr>
              <w:spacing w:after="0"/>
              <w:rPr>
                <w:sz w:val="7"/>
                <w:szCs w:val="7"/>
                <w:color w:val="auto"/>
              </w:rPr>
            </w:pPr>
          </w:p>
        </w:tc>
        <w:tc>
          <w:tcPr>
            <w:tcW w:w="680" w:type="dxa"/>
            <w:vAlign w:val="bottom"/>
            <w:vMerge w:val="restart"/>
            <w:shd w:val="clear" w:color="auto" w:fill="1A6DBB"/>
          </w:tcPr>
          <w:p>
            <w:pPr>
              <w:jc w:val="center"/>
              <w:spacing w:after="0"/>
              <w:rPr>
                <w:sz w:val="20"/>
                <w:szCs w:val="20"/>
                <w:color w:val="auto"/>
              </w:rPr>
            </w:pPr>
            <w:r>
              <w:rPr>
                <w:rFonts w:ascii="Arial" w:cs="Arial" w:eastAsia="Arial" w:hAnsi="Arial"/>
                <w:sz w:val="14"/>
                <w:szCs w:val="14"/>
                <w:color w:val="FFFFFF"/>
              </w:rPr>
              <w:t>of</w:t>
            </w:r>
          </w:p>
        </w:tc>
        <w:tc>
          <w:tcPr>
            <w:tcW w:w="900" w:type="dxa"/>
            <w:vAlign w:val="bottom"/>
            <w:vMerge w:val="restart"/>
            <w:shd w:val="clear" w:color="auto" w:fill="1A6DBB"/>
          </w:tcPr>
          <w:p>
            <w:pPr>
              <w:jc w:val="center"/>
              <w:spacing w:after="0"/>
              <w:rPr>
                <w:sz w:val="20"/>
                <w:szCs w:val="20"/>
                <w:color w:val="auto"/>
              </w:rPr>
            </w:pPr>
            <w:r>
              <w:rPr>
                <w:rFonts w:ascii="Arial" w:cs="Arial" w:eastAsia="Arial" w:hAnsi="Arial"/>
                <w:sz w:val="14"/>
                <w:szCs w:val="14"/>
                <w:color w:val="FFFFFF"/>
              </w:rPr>
              <w:t>Fair Value</w:t>
            </w:r>
          </w:p>
        </w:tc>
        <w:tc>
          <w:tcPr>
            <w:tcW w:w="0" w:type="dxa"/>
            <w:vAlign w:val="bottom"/>
          </w:tcPr>
          <w:p>
            <w:pPr>
              <w:spacing w:after="0"/>
              <w:rPr>
                <w:sz w:val="1"/>
                <w:szCs w:val="1"/>
                <w:color w:val="auto"/>
              </w:rPr>
            </w:pPr>
          </w:p>
        </w:tc>
      </w:tr>
      <w:tr>
        <w:trPr>
          <w:trHeight w:val="75"/>
        </w:trPr>
        <w:tc>
          <w:tcPr>
            <w:tcW w:w="2520" w:type="dxa"/>
            <w:vAlign w:val="bottom"/>
            <w:shd w:val="clear" w:color="auto" w:fill="1A6DBB"/>
          </w:tcPr>
          <w:p>
            <w:pPr>
              <w:spacing w:after="0"/>
              <w:rPr>
                <w:sz w:val="6"/>
                <w:szCs w:val="6"/>
                <w:color w:val="auto"/>
              </w:rPr>
            </w:pPr>
          </w:p>
        </w:tc>
        <w:tc>
          <w:tcPr>
            <w:tcW w:w="940" w:type="dxa"/>
            <w:vAlign w:val="bottom"/>
            <w:shd w:val="clear" w:color="auto" w:fill="1A6DBB"/>
          </w:tcPr>
          <w:p>
            <w:pPr>
              <w:spacing w:after="0"/>
              <w:rPr>
                <w:sz w:val="6"/>
                <w:szCs w:val="6"/>
                <w:color w:val="auto"/>
              </w:rPr>
            </w:pPr>
          </w:p>
        </w:tc>
        <w:tc>
          <w:tcPr>
            <w:tcW w:w="480" w:type="dxa"/>
            <w:vAlign w:val="bottom"/>
            <w:shd w:val="clear" w:color="auto" w:fill="1A6DBB"/>
          </w:tcPr>
          <w:p>
            <w:pPr>
              <w:spacing w:after="0"/>
              <w:rPr>
                <w:sz w:val="6"/>
                <w:szCs w:val="6"/>
                <w:color w:val="auto"/>
              </w:rPr>
            </w:pPr>
          </w:p>
        </w:tc>
        <w:tc>
          <w:tcPr>
            <w:tcW w:w="760" w:type="dxa"/>
            <w:vAlign w:val="bottom"/>
            <w:shd w:val="clear" w:color="auto" w:fill="1A6DBB"/>
          </w:tcPr>
          <w:p>
            <w:pPr>
              <w:spacing w:after="0"/>
              <w:rPr>
                <w:sz w:val="6"/>
                <w:szCs w:val="6"/>
                <w:color w:val="auto"/>
              </w:rPr>
            </w:pPr>
          </w:p>
        </w:tc>
        <w:tc>
          <w:tcPr>
            <w:tcW w:w="140" w:type="dxa"/>
            <w:vAlign w:val="bottom"/>
            <w:shd w:val="clear" w:color="auto" w:fill="1A6DBB"/>
          </w:tcPr>
          <w:p>
            <w:pPr>
              <w:spacing w:after="0"/>
              <w:rPr>
                <w:sz w:val="6"/>
                <w:szCs w:val="6"/>
                <w:color w:val="auto"/>
              </w:rPr>
            </w:pPr>
          </w:p>
        </w:tc>
        <w:tc>
          <w:tcPr>
            <w:tcW w:w="720" w:type="dxa"/>
            <w:vAlign w:val="bottom"/>
            <w:vMerge w:val="restart"/>
            <w:shd w:val="clear" w:color="auto" w:fill="1A6DBB"/>
          </w:tcPr>
          <w:p>
            <w:pPr>
              <w:jc w:val="center"/>
              <w:spacing w:after="0" w:line="179" w:lineRule="exact"/>
              <w:rPr>
                <w:sz w:val="20"/>
                <w:szCs w:val="20"/>
                <w:color w:val="auto"/>
              </w:rPr>
            </w:pPr>
            <w:r>
              <w:rPr>
                <w:rFonts w:ascii="Arial" w:cs="Arial" w:eastAsia="Arial" w:hAnsi="Arial"/>
                <w:sz w:val="12"/>
                <w:szCs w:val="12"/>
                <w:color w:val="FFFFFF"/>
              </w:rPr>
              <w:t>Awards</w:t>
            </w:r>
            <w:r>
              <w:rPr>
                <w:rFonts w:ascii="Arial" w:cs="Arial" w:eastAsia="Arial" w:hAnsi="Arial"/>
                <w:sz w:val="20"/>
                <w:szCs w:val="20"/>
                <w:color w:val="FFFFFF"/>
                <w:vertAlign w:val="superscript"/>
              </w:rPr>
              <w:t>(1)</w:t>
            </w:r>
          </w:p>
        </w:tc>
        <w:tc>
          <w:tcPr>
            <w:tcW w:w="140" w:type="dxa"/>
            <w:vAlign w:val="bottom"/>
            <w:shd w:val="clear" w:color="auto" w:fill="1A6DBB"/>
          </w:tcPr>
          <w:p>
            <w:pPr>
              <w:spacing w:after="0"/>
              <w:rPr>
                <w:sz w:val="6"/>
                <w:szCs w:val="6"/>
                <w:color w:val="auto"/>
              </w:rPr>
            </w:pPr>
          </w:p>
        </w:tc>
        <w:tc>
          <w:tcPr>
            <w:tcW w:w="900" w:type="dxa"/>
            <w:vAlign w:val="bottom"/>
            <w:shd w:val="clear" w:color="auto" w:fill="1A6DBB"/>
          </w:tcPr>
          <w:p>
            <w:pPr>
              <w:spacing w:after="0"/>
              <w:rPr>
                <w:sz w:val="6"/>
                <w:szCs w:val="6"/>
                <w:color w:val="auto"/>
              </w:rPr>
            </w:pPr>
          </w:p>
        </w:tc>
        <w:tc>
          <w:tcPr>
            <w:tcW w:w="980" w:type="dxa"/>
            <w:vAlign w:val="bottom"/>
            <w:shd w:val="clear" w:color="auto" w:fill="1A6DBB"/>
          </w:tcPr>
          <w:p>
            <w:pPr>
              <w:spacing w:after="0"/>
              <w:rPr>
                <w:sz w:val="6"/>
                <w:szCs w:val="6"/>
                <w:color w:val="auto"/>
              </w:rPr>
            </w:pPr>
          </w:p>
        </w:tc>
        <w:tc>
          <w:tcPr>
            <w:tcW w:w="940" w:type="dxa"/>
            <w:vAlign w:val="bottom"/>
            <w:vMerge w:val="restart"/>
            <w:shd w:val="clear" w:color="auto" w:fill="1A6DBB"/>
          </w:tcPr>
          <w:p>
            <w:pPr>
              <w:jc w:val="center"/>
              <w:spacing w:after="0" w:line="179" w:lineRule="exact"/>
              <w:rPr>
                <w:sz w:val="20"/>
                <w:szCs w:val="20"/>
                <w:color w:val="auto"/>
              </w:rPr>
            </w:pPr>
            <w:r>
              <w:rPr>
                <w:rFonts w:ascii="Arial" w:cs="Arial" w:eastAsia="Arial" w:hAnsi="Arial"/>
                <w:sz w:val="12"/>
                <w:szCs w:val="12"/>
                <w:color w:val="FFFFFF"/>
              </w:rPr>
              <w:t>Awards(#)</w:t>
            </w:r>
            <w:r>
              <w:rPr>
                <w:rFonts w:ascii="Arial" w:cs="Arial" w:eastAsia="Arial" w:hAnsi="Arial"/>
                <w:sz w:val="20"/>
                <w:szCs w:val="20"/>
                <w:color w:val="FFFFFF"/>
                <w:vertAlign w:val="superscript"/>
              </w:rPr>
              <w:t>(1)</w:t>
            </w:r>
          </w:p>
        </w:tc>
        <w:tc>
          <w:tcPr>
            <w:tcW w:w="920" w:type="dxa"/>
            <w:vAlign w:val="bottom"/>
            <w:shd w:val="clear" w:color="auto" w:fill="1A6DBB"/>
          </w:tcPr>
          <w:p>
            <w:pPr>
              <w:spacing w:after="0"/>
              <w:rPr>
                <w:sz w:val="6"/>
                <w:szCs w:val="6"/>
                <w:color w:val="auto"/>
              </w:rPr>
            </w:pPr>
          </w:p>
        </w:tc>
        <w:tc>
          <w:tcPr>
            <w:tcW w:w="680" w:type="dxa"/>
            <w:vAlign w:val="bottom"/>
            <w:vMerge w:val="continue"/>
            <w:shd w:val="clear" w:color="auto" w:fill="1A6DBB"/>
          </w:tcPr>
          <w:p>
            <w:pPr>
              <w:spacing w:after="0"/>
              <w:rPr>
                <w:sz w:val="6"/>
                <w:szCs w:val="6"/>
                <w:color w:val="auto"/>
              </w:rPr>
            </w:pPr>
          </w:p>
        </w:tc>
        <w:tc>
          <w:tcPr>
            <w:tcW w:w="900" w:type="dxa"/>
            <w:vAlign w:val="bottom"/>
            <w:vMerge w:val="continue"/>
            <w:shd w:val="clear" w:color="auto" w:fill="1A6DBB"/>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520" w:type="dxa"/>
            <w:vAlign w:val="bottom"/>
            <w:shd w:val="clear" w:color="auto" w:fill="1A6DBB"/>
          </w:tcPr>
          <w:p>
            <w:pPr>
              <w:spacing w:after="0"/>
              <w:rPr>
                <w:sz w:val="8"/>
                <w:szCs w:val="8"/>
                <w:color w:val="auto"/>
              </w:rPr>
            </w:pPr>
          </w:p>
        </w:tc>
        <w:tc>
          <w:tcPr>
            <w:tcW w:w="940" w:type="dxa"/>
            <w:vAlign w:val="bottom"/>
            <w:shd w:val="clear" w:color="auto" w:fill="1A6DBB"/>
          </w:tcPr>
          <w:p>
            <w:pPr>
              <w:spacing w:after="0"/>
              <w:rPr>
                <w:sz w:val="8"/>
                <w:szCs w:val="8"/>
                <w:color w:val="auto"/>
              </w:rPr>
            </w:pPr>
          </w:p>
        </w:tc>
        <w:tc>
          <w:tcPr>
            <w:tcW w:w="480" w:type="dxa"/>
            <w:vAlign w:val="bottom"/>
            <w:shd w:val="clear" w:color="auto" w:fill="1A6DBB"/>
          </w:tcPr>
          <w:p>
            <w:pPr>
              <w:spacing w:after="0"/>
              <w:rPr>
                <w:sz w:val="8"/>
                <w:szCs w:val="8"/>
                <w:color w:val="auto"/>
              </w:rPr>
            </w:pPr>
          </w:p>
        </w:tc>
        <w:tc>
          <w:tcPr>
            <w:tcW w:w="760" w:type="dxa"/>
            <w:vAlign w:val="bottom"/>
            <w:shd w:val="clear" w:color="auto" w:fill="1A6DBB"/>
          </w:tcPr>
          <w:p>
            <w:pPr>
              <w:spacing w:after="0"/>
              <w:rPr>
                <w:sz w:val="8"/>
                <w:szCs w:val="8"/>
                <w:color w:val="auto"/>
              </w:rPr>
            </w:pPr>
          </w:p>
        </w:tc>
        <w:tc>
          <w:tcPr>
            <w:tcW w:w="140" w:type="dxa"/>
            <w:vAlign w:val="bottom"/>
            <w:shd w:val="clear" w:color="auto" w:fill="1A6DBB"/>
          </w:tcPr>
          <w:p>
            <w:pPr>
              <w:spacing w:after="0"/>
              <w:rPr>
                <w:sz w:val="8"/>
                <w:szCs w:val="8"/>
                <w:color w:val="auto"/>
              </w:rPr>
            </w:pPr>
          </w:p>
        </w:tc>
        <w:tc>
          <w:tcPr>
            <w:tcW w:w="720" w:type="dxa"/>
            <w:vAlign w:val="bottom"/>
            <w:vMerge w:val="continue"/>
            <w:shd w:val="clear" w:color="auto" w:fill="1A6DBB"/>
          </w:tcPr>
          <w:p>
            <w:pPr>
              <w:spacing w:after="0"/>
              <w:rPr>
                <w:sz w:val="8"/>
                <w:szCs w:val="8"/>
                <w:color w:val="auto"/>
              </w:rPr>
            </w:pPr>
          </w:p>
        </w:tc>
        <w:tc>
          <w:tcPr>
            <w:tcW w:w="140" w:type="dxa"/>
            <w:vAlign w:val="bottom"/>
            <w:shd w:val="clear" w:color="auto" w:fill="1A6DBB"/>
          </w:tcPr>
          <w:p>
            <w:pPr>
              <w:spacing w:after="0"/>
              <w:rPr>
                <w:sz w:val="8"/>
                <w:szCs w:val="8"/>
                <w:color w:val="auto"/>
              </w:rPr>
            </w:pPr>
          </w:p>
        </w:tc>
        <w:tc>
          <w:tcPr>
            <w:tcW w:w="900" w:type="dxa"/>
            <w:vAlign w:val="bottom"/>
            <w:shd w:val="clear" w:color="auto" w:fill="1A6DBB"/>
          </w:tcPr>
          <w:p>
            <w:pPr>
              <w:spacing w:after="0"/>
              <w:rPr>
                <w:sz w:val="8"/>
                <w:szCs w:val="8"/>
                <w:color w:val="auto"/>
              </w:rPr>
            </w:pPr>
          </w:p>
        </w:tc>
        <w:tc>
          <w:tcPr>
            <w:tcW w:w="980" w:type="dxa"/>
            <w:vAlign w:val="bottom"/>
            <w:shd w:val="clear" w:color="auto" w:fill="1A6DBB"/>
          </w:tcPr>
          <w:p>
            <w:pPr>
              <w:spacing w:after="0"/>
              <w:rPr>
                <w:sz w:val="8"/>
                <w:szCs w:val="8"/>
                <w:color w:val="auto"/>
              </w:rPr>
            </w:pPr>
          </w:p>
        </w:tc>
        <w:tc>
          <w:tcPr>
            <w:tcW w:w="940" w:type="dxa"/>
            <w:vAlign w:val="bottom"/>
            <w:vMerge w:val="continue"/>
            <w:shd w:val="clear" w:color="auto" w:fill="1A6DBB"/>
          </w:tcPr>
          <w:p>
            <w:pPr>
              <w:spacing w:after="0"/>
              <w:rPr>
                <w:sz w:val="8"/>
                <w:szCs w:val="8"/>
                <w:color w:val="auto"/>
              </w:rPr>
            </w:pPr>
          </w:p>
        </w:tc>
        <w:tc>
          <w:tcPr>
            <w:tcW w:w="920" w:type="dxa"/>
            <w:vAlign w:val="bottom"/>
            <w:shd w:val="clear" w:color="auto" w:fill="1A6DBB"/>
          </w:tcPr>
          <w:p>
            <w:pPr>
              <w:spacing w:after="0"/>
              <w:rPr>
                <w:sz w:val="8"/>
                <w:szCs w:val="8"/>
                <w:color w:val="auto"/>
              </w:rPr>
            </w:pPr>
          </w:p>
        </w:tc>
        <w:tc>
          <w:tcPr>
            <w:tcW w:w="680" w:type="dxa"/>
            <w:vAlign w:val="bottom"/>
            <w:vMerge w:val="restart"/>
            <w:shd w:val="clear" w:color="auto" w:fill="1A6DBB"/>
          </w:tcPr>
          <w:p>
            <w:pPr>
              <w:jc w:val="center"/>
              <w:spacing w:after="0" w:line="155" w:lineRule="exact"/>
              <w:rPr>
                <w:sz w:val="20"/>
                <w:szCs w:val="20"/>
                <w:color w:val="auto"/>
              </w:rPr>
            </w:pPr>
            <w:r>
              <w:rPr>
                <w:rFonts w:ascii="Arial" w:cs="Arial" w:eastAsia="Arial" w:hAnsi="Arial"/>
                <w:sz w:val="14"/>
                <w:szCs w:val="14"/>
                <w:color w:val="FFFFFF"/>
              </w:rPr>
              <w:t>Shares</w:t>
            </w:r>
          </w:p>
        </w:tc>
        <w:tc>
          <w:tcPr>
            <w:tcW w:w="900" w:type="dxa"/>
            <w:vAlign w:val="bottom"/>
            <w:vMerge w:val="restart"/>
            <w:shd w:val="clear" w:color="auto" w:fill="1A6DBB"/>
          </w:tcPr>
          <w:p>
            <w:pPr>
              <w:jc w:val="center"/>
              <w:spacing w:after="0" w:line="155" w:lineRule="exact"/>
              <w:rPr>
                <w:sz w:val="20"/>
                <w:szCs w:val="20"/>
                <w:color w:val="auto"/>
              </w:rPr>
            </w:pPr>
            <w:r>
              <w:rPr>
                <w:rFonts w:ascii="Arial" w:cs="Arial" w:eastAsia="Arial" w:hAnsi="Arial"/>
                <w:sz w:val="14"/>
                <w:szCs w:val="14"/>
                <w:color w:val="FFFFFF"/>
              </w:rPr>
              <w:t>of Stock</w:t>
            </w:r>
          </w:p>
        </w:tc>
        <w:tc>
          <w:tcPr>
            <w:tcW w:w="0" w:type="dxa"/>
            <w:vAlign w:val="bottom"/>
          </w:tcPr>
          <w:p>
            <w:pPr>
              <w:spacing w:after="0"/>
              <w:rPr>
                <w:sz w:val="1"/>
                <w:szCs w:val="1"/>
                <w:color w:val="auto"/>
              </w:rPr>
            </w:pPr>
          </w:p>
        </w:tc>
      </w:tr>
      <w:tr>
        <w:trPr>
          <w:trHeight w:val="51"/>
        </w:trPr>
        <w:tc>
          <w:tcPr>
            <w:tcW w:w="2520" w:type="dxa"/>
            <w:vAlign w:val="bottom"/>
            <w:shd w:val="clear" w:color="auto" w:fill="1A6DBB"/>
          </w:tcPr>
          <w:p>
            <w:pPr>
              <w:spacing w:after="0"/>
              <w:rPr>
                <w:sz w:val="4"/>
                <w:szCs w:val="4"/>
                <w:color w:val="auto"/>
              </w:rPr>
            </w:pPr>
          </w:p>
        </w:tc>
        <w:tc>
          <w:tcPr>
            <w:tcW w:w="940" w:type="dxa"/>
            <w:vAlign w:val="bottom"/>
            <w:shd w:val="clear" w:color="auto" w:fill="1A6DBB"/>
          </w:tcPr>
          <w:p>
            <w:pPr>
              <w:spacing w:after="0"/>
              <w:rPr>
                <w:sz w:val="4"/>
                <w:szCs w:val="4"/>
                <w:color w:val="auto"/>
              </w:rPr>
            </w:pPr>
          </w:p>
        </w:tc>
        <w:tc>
          <w:tcPr>
            <w:tcW w:w="480" w:type="dxa"/>
            <w:vAlign w:val="bottom"/>
            <w:shd w:val="clear" w:color="auto" w:fill="1A6DBB"/>
          </w:tcPr>
          <w:p>
            <w:pPr>
              <w:spacing w:after="0"/>
              <w:rPr>
                <w:sz w:val="4"/>
                <w:szCs w:val="4"/>
                <w:color w:val="auto"/>
              </w:rPr>
            </w:pPr>
          </w:p>
        </w:tc>
        <w:tc>
          <w:tcPr>
            <w:tcW w:w="760" w:type="dxa"/>
            <w:vAlign w:val="bottom"/>
            <w:shd w:val="clear" w:color="auto" w:fill="1A6DBB"/>
          </w:tcPr>
          <w:p>
            <w:pPr>
              <w:spacing w:after="0"/>
              <w:rPr>
                <w:sz w:val="4"/>
                <w:szCs w:val="4"/>
                <w:color w:val="auto"/>
              </w:rPr>
            </w:pPr>
          </w:p>
        </w:tc>
        <w:tc>
          <w:tcPr>
            <w:tcW w:w="140" w:type="dxa"/>
            <w:vAlign w:val="bottom"/>
            <w:shd w:val="clear" w:color="auto" w:fill="1A6DBB"/>
          </w:tcPr>
          <w:p>
            <w:pPr>
              <w:spacing w:after="0"/>
              <w:rPr>
                <w:sz w:val="4"/>
                <w:szCs w:val="4"/>
                <w:color w:val="auto"/>
              </w:rPr>
            </w:pPr>
          </w:p>
        </w:tc>
        <w:tc>
          <w:tcPr>
            <w:tcW w:w="720" w:type="dxa"/>
            <w:vAlign w:val="bottom"/>
            <w:shd w:val="clear" w:color="auto" w:fill="1A6DBB"/>
          </w:tcPr>
          <w:p>
            <w:pPr>
              <w:spacing w:after="0"/>
              <w:rPr>
                <w:sz w:val="4"/>
                <w:szCs w:val="4"/>
                <w:color w:val="auto"/>
              </w:rPr>
            </w:pPr>
          </w:p>
        </w:tc>
        <w:tc>
          <w:tcPr>
            <w:tcW w:w="140" w:type="dxa"/>
            <w:vAlign w:val="bottom"/>
            <w:shd w:val="clear" w:color="auto" w:fill="1A6DBB"/>
          </w:tcPr>
          <w:p>
            <w:pPr>
              <w:spacing w:after="0"/>
              <w:rPr>
                <w:sz w:val="4"/>
                <w:szCs w:val="4"/>
                <w:color w:val="auto"/>
              </w:rPr>
            </w:pPr>
          </w:p>
        </w:tc>
        <w:tc>
          <w:tcPr>
            <w:tcW w:w="900" w:type="dxa"/>
            <w:vAlign w:val="bottom"/>
            <w:shd w:val="clear" w:color="auto" w:fill="1A6DBB"/>
          </w:tcPr>
          <w:p>
            <w:pPr>
              <w:spacing w:after="0"/>
              <w:rPr>
                <w:sz w:val="4"/>
                <w:szCs w:val="4"/>
                <w:color w:val="auto"/>
              </w:rPr>
            </w:pPr>
          </w:p>
        </w:tc>
        <w:tc>
          <w:tcPr>
            <w:tcW w:w="980" w:type="dxa"/>
            <w:vAlign w:val="bottom"/>
            <w:shd w:val="clear" w:color="auto" w:fill="1A6DBB"/>
          </w:tcPr>
          <w:p>
            <w:pPr>
              <w:spacing w:after="0"/>
              <w:rPr>
                <w:sz w:val="4"/>
                <w:szCs w:val="4"/>
                <w:color w:val="auto"/>
              </w:rPr>
            </w:pPr>
          </w:p>
        </w:tc>
        <w:tc>
          <w:tcPr>
            <w:tcW w:w="940" w:type="dxa"/>
            <w:vAlign w:val="bottom"/>
            <w:shd w:val="clear" w:color="auto" w:fill="1A6DBB"/>
          </w:tcPr>
          <w:p>
            <w:pPr>
              <w:spacing w:after="0"/>
              <w:rPr>
                <w:sz w:val="4"/>
                <w:szCs w:val="4"/>
                <w:color w:val="auto"/>
              </w:rPr>
            </w:pPr>
          </w:p>
        </w:tc>
        <w:tc>
          <w:tcPr>
            <w:tcW w:w="920" w:type="dxa"/>
            <w:vAlign w:val="bottom"/>
            <w:shd w:val="clear" w:color="auto" w:fill="1A6DBB"/>
          </w:tcPr>
          <w:p>
            <w:pPr>
              <w:spacing w:after="0"/>
              <w:rPr>
                <w:sz w:val="4"/>
                <w:szCs w:val="4"/>
                <w:color w:val="auto"/>
              </w:rPr>
            </w:pPr>
          </w:p>
        </w:tc>
        <w:tc>
          <w:tcPr>
            <w:tcW w:w="680" w:type="dxa"/>
            <w:vAlign w:val="bottom"/>
            <w:vMerge w:val="continue"/>
            <w:shd w:val="clear" w:color="auto" w:fill="1A6DBB"/>
          </w:tcPr>
          <w:p>
            <w:pPr>
              <w:spacing w:after="0"/>
              <w:rPr>
                <w:sz w:val="4"/>
                <w:szCs w:val="4"/>
                <w:color w:val="auto"/>
              </w:rPr>
            </w:pPr>
          </w:p>
        </w:tc>
        <w:tc>
          <w:tcPr>
            <w:tcW w:w="900" w:type="dxa"/>
            <w:vAlign w:val="bottom"/>
            <w:vMerge w:val="continue"/>
            <w:shd w:val="clear" w:color="auto" w:fill="1A6DBB"/>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520" w:type="dxa"/>
            <w:vAlign w:val="bottom"/>
            <w:shd w:val="clear" w:color="auto" w:fill="1A6DBB"/>
          </w:tcPr>
          <w:p>
            <w:pPr>
              <w:ind w:left="1060"/>
              <w:spacing w:after="0"/>
              <w:rPr>
                <w:sz w:val="20"/>
                <w:szCs w:val="20"/>
                <w:color w:val="auto"/>
              </w:rPr>
            </w:pPr>
            <w:r>
              <w:rPr>
                <w:rFonts w:ascii="Arial" w:cs="Arial" w:eastAsia="Arial" w:hAnsi="Arial"/>
                <w:sz w:val="14"/>
                <w:szCs w:val="14"/>
                <w:color w:val="FFFFFF"/>
              </w:rPr>
              <w:t>Name</w:t>
            </w:r>
          </w:p>
        </w:tc>
        <w:tc>
          <w:tcPr>
            <w:tcW w:w="940" w:type="dxa"/>
            <w:vAlign w:val="bottom"/>
            <w:shd w:val="clear" w:color="auto" w:fill="1A6DBB"/>
          </w:tcPr>
          <w:p>
            <w:pPr>
              <w:jc w:val="right"/>
              <w:ind w:right="28"/>
              <w:spacing w:after="0"/>
              <w:rPr>
                <w:sz w:val="20"/>
                <w:szCs w:val="20"/>
                <w:color w:val="auto"/>
              </w:rPr>
            </w:pPr>
            <w:r>
              <w:rPr>
                <w:rFonts w:ascii="Arial" w:cs="Arial" w:eastAsia="Arial" w:hAnsi="Arial"/>
                <w:sz w:val="14"/>
                <w:szCs w:val="14"/>
                <w:color w:val="FFFFFF"/>
              </w:rPr>
              <w:t>Grant Date</w:t>
            </w:r>
          </w:p>
        </w:tc>
        <w:tc>
          <w:tcPr>
            <w:tcW w:w="480" w:type="dxa"/>
            <w:vAlign w:val="bottom"/>
            <w:shd w:val="clear" w:color="auto" w:fill="1A6DBB"/>
          </w:tcPr>
          <w:p>
            <w:pPr>
              <w:spacing w:after="0"/>
              <w:rPr>
                <w:sz w:val="14"/>
                <w:szCs w:val="14"/>
                <w:color w:val="auto"/>
              </w:rPr>
            </w:pPr>
          </w:p>
        </w:tc>
        <w:tc>
          <w:tcPr>
            <w:tcW w:w="76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Threshold</w:t>
            </w:r>
          </w:p>
        </w:tc>
        <w:tc>
          <w:tcPr>
            <w:tcW w:w="140" w:type="dxa"/>
            <w:vAlign w:val="bottom"/>
            <w:shd w:val="clear" w:color="auto" w:fill="1A6DBB"/>
          </w:tcPr>
          <w:p>
            <w:pPr>
              <w:spacing w:after="0"/>
              <w:rPr>
                <w:sz w:val="14"/>
                <w:szCs w:val="14"/>
                <w:color w:val="auto"/>
              </w:rPr>
            </w:pPr>
          </w:p>
        </w:tc>
        <w:tc>
          <w:tcPr>
            <w:tcW w:w="720" w:type="dxa"/>
            <w:vAlign w:val="bottom"/>
            <w:shd w:val="clear" w:color="auto" w:fill="1A6DBB"/>
          </w:tcPr>
          <w:p>
            <w:pPr>
              <w:jc w:val="right"/>
              <w:ind w:right="188"/>
              <w:spacing w:after="0"/>
              <w:rPr>
                <w:sz w:val="20"/>
                <w:szCs w:val="20"/>
                <w:color w:val="auto"/>
              </w:rPr>
            </w:pPr>
            <w:r>
              <w:rPr>
                <w:rFonts w:ascii="Arial" w:cs="Arial" w:eastAsia="Arial" w:hAnsi="Arial"/>
                <w:sz w:val="14"/>
                <w:szCs w:val="14"/>
                <w:color w:val="FFFFFF"/>
              </w:rPr>
              <w:t>Target</w:t>
            </w:r>
          </w:p>
        </w:tc>
        <w:tc>
          <w:tcPr>
            <w:tcW w:w="1040" w:type="dxa"/>
            <w:vAlign w:val="bottom"/>
            <w:gridSpan w:val="2"/>
            <w:shd w:val="clear" w:color="auto" w:fill="1A6DBB"/>
          </w:tcPr>
          <w:p>
            <w:pPr>
              <w:jc w:val="right"/>
              <w:ind w:right="248"/>
              <w:spacing w:after="0"/>
              <w:rPr>
                <w:sz w:val="20"/>
                <w:szCs w:val="20"/>
                <w:color w:val="auto"/>
              </w:rPr>
            </w:pPr>
            <w:r>
              <w:rPr>
                <w:rFonts w:ascii="Arial" w:cs="Arial" w:eastAsia="Arial" w:hAnsi="Arial"/>
                <w:sz w:val="14"/>
                <w:szCs w:val="14"/>
                <w:color w:val="FFFFFF"/>
              </w:rPr>
              <w:t>Maximum</w:t>
            </w:r>
          </w:p>
        </w:tc>
        <w:tc>
          <w:tcPr>
            <w:tcW w:w="980" w:type="dxa"/>
            <w:vAlign w:val="bottom"/>
            <w:shd w:val="clear" w:color="auto" w:fill="1A6DBB"/>
          </w:tcPr>
          <w:p>
            <w:pPr>
              <w:jc w:val="center"/>
              <w:ind w:left="68"/>
              <w:spacing w:after="0"/>
              <w:rPr>
                <w:sz w:val="20"/>
                <w:szCs w:val="20"/>
                <w:color w:val="auto"/>
              </w:rPr>
            </w:pPr>
            <w:r>
              <w:rPr>
                <w:rFonts w:ascii="Arial" w:cs="Arial" w:eastAsia="Arial" w:hAnsi="Arial"/>
                <w:sz w:val="14"/>
                <w:szCs w:val="14"/>
                <w:color w:val="FFFFFF"/>
              </w:rPr>
              <w:t>Threshold</w:t>
            </w:r>
          </w:p>
        </w:tc>
        <w:tc>
          <w:tcPr>
            <w:tcW w:w="940" w:type="dxa"/>
            <w:vAlign w:val="bottom"/>
            <w:shd w:val="clear" w:color="auto" w:fill="1A6DBB"/>
          </w:tcPr>
          <w:p>
            <w:pPr>
              <w:jc w:val="right"/>
              <w:ind w:right="228"/>
              <w:spacing w:after="0"/>
              <w:rPr>
                <w:sz w:val="20"/>
                <w:szCs w:val="20"/>
                <w:color w:val="auto"/>
              </w:rPr>
            </w:pPr>
            <w:r>
              <w:rPr>
                <w:rFonts w:ascii="Arial" w:cs="Arial" w:eastAsia="Arial" w:hAnsi="Arial"/>
                <w:sz w:val="14"/>
                <w:szCs w:val="14"/>
                <w:color w:val="FFFFFF"/>
              </w:rPr>
              <w:t>Target</w:t>
            </w:r>
          </w:p>
        </w:tc>
        <w:tc>
          <w:tcPr>
            <w:tcW w:w="920" w:type="dxa"/>
            <w:vAlign w:val="bottom"/>
            <w:shd w:val="clear" w:color="auto" w:fill="1A6DBB"/>
          </w:tcPr>
          <w:p>
            <w:pPr>
              <w:jc w:val="right"/>
              <w:ind w:right="168"/>
              <w:spacing w:after="0"/>
              <w:rPr>
                <w:sz w:val="20"/>
                <w:szCs w:val="20"/>
                <w:color w:val="auto"/>
              </w:rPr>
            </w:pPr>
            <w:r>
              <w:rPr>
                <w:rFonts w:ascii="Arial" w:cs="Arial" w:eastAsia="Arial" w:hAnsi="Arial"/>
                <w:sz w:val="14"/>
                <w:szCs w:val="14"/>
                <w:color w:val="FFFFFF"/>
              </w:rPr>
              <w:t>Maximum</w:t>
            </w:r>
          </w:p>
        </w:tc>
        <w:tc>
          <w:tcPr>
            <w:tcW w:w="68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or Units</w:t>
            </w:r>
          </w:p>
        </w:tc>
        <w:tc>
          <w:tcPr>
            <w:tcW w:w="900" w:type="dxa"/>
            <w:vAlign w:val="bottom"/>
            <w:shd w:val="clear" w:color="auto" w:fill="1A6DBB"/>
          </w:tcPr>
          <w:p>
            <w:pPr>
              <w:jc w:val="center"/>
              <w:spacing w:after="0" w:line="170" w:lineRule="exact"/>
              <w:rPr>
                <w:sz w:val="20"/>
                <w:szCs w:val="20"/>
                <w:color w:val="auto"/>
              </w:rPr>
            </w:pPr>
            <w:r>
              <w:rPr>
                <w:rFonts w:ascii="Arial" w:cs="Arial" w:eastAsia="Arial" w:hAnsi="Arial"/>
                <w:sz w:val="12"/>
                <w:szCs w:val="12"/>
                <w:color w:val="FFFFFF"/>
              </w:rPr>
              <w:t>Awards</w:t>
            </w:r>
            <w:r>
              <w:rPr>
                <w:rFonts w:ascii="Arial" w:cs="Arial" w:eastAsia="Arial" w:hAnsi="Arial"/>
                <w:sz w:val="19"/>
                <w:szCs w:val="19"/>
                <w:color w:val="FFFFFF"/>
                <w:vertAlign w:val="superscript"/>
              </w:rPr>
              <w:t>(2)</w:t>
            </w:r>
          </w:p>
        </w:tc>
        <w:tc>
          <w:tcPr>
            <w:tcW w:w="0" w:type="dxa"/>
            <w:vAlign w:val="bottom"/>
          </w:tcPr>
          <w:p>
            <w:pPr>
              <w:spacing w:after="0"/>
              <w:rPr>
                <w:sz w:val="1"/>
                <w:szCs w:val="1"/>
                <w:color w:val="auto"/>
              </w:rPr>
            </w:pPr>
          </w:p>
        </w:tc>
      </w:tr>
      <w:tr>
        <w:trPr>
          <w:trHeight w:val="171"/>
        </w:trPr>
        <w:tc>
          <w:tcPr>
            <w:tcW w:w="2520" w:type="dxa"/>
            <w:vAlign w:val="bottom"/>
            <w:shd w:val="clear" w:color="auto" w:fill="1A6DBB"/>
          </w:tcPr>
          <w:p>
            <w:pPr>
              <w:ind w:left="1160"/>
              <w:spacing w:after="0"/>
              <w:rPr>
                <w:sz w:val="20"/>
                <w:szCs w:val="20"/>
                <w:color w:val="auto"/>
              </w:rPr>
            </w:pPr>
            <w:r>
              <w:rPr>
                <w:rFonts w:ascii="Arial" w:cs="Arial" w:eastAsia="Arial" w:hAnsi="Arial"/>
                <w:sz w:val="14"/>
                <w:szCs w:val="14"/>
                <w:color w:val="FFFFFF"/>
              </w:rPr>
              <w:t>(a)</w:t>
            </w:r>
          </w:p>
        </w:tc>
        <w:tc>
          <w:tcPr>
            <w:tcW w:w="940" w:type="dxa"/>
            <w:vAlign w:val="bottom"/>
            <w:shd w:val="clear" w:color="auto" w:fill="1A6DBB"/>
          </w:tcPr>
          <w:p>
            <w:pPr>
              <w:jc w:val="right"/>
              <w:ind w:right="288"/>
              <w:spacing w:after="0"/>
              <w:rPr>
                <w:sz w:val="20"/>
                <w:szCs w:val="20"/>
                <w:color w:val="auto"/>
              </w:rPr>
            </w:pPr>
            <w:r>
              <w:rPr>
                <w:rFonts w:ascii="Arial" w:cs="Arial" w:eastAsia="Arial" w:hAnsi="Arial"/>
                <w:sz w:val="14"/>
                <w:szCs w:val="14"/>
                <w:color w:val="FFFFFF"/>
              </w:rPr>
              <w:t>(b)</w:t>
            </w:r>
          </w:p>
        </w:tc>
        <w:tc>
          <w:tcPr>
            <w:tcW w:w="48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Notes</w:t>
            </w:r>
          </w:p>
        </w:tc>
        <w:tc>
          <w:tcPr>
            <w:tcW w:w="760" w:type="dxa"/>
            <w:vAlign w:val="bottom"/>
            <w:shd w:val="clear" w:color="auto" w:fill="1A6DBB"/>
          </w:tcPr>
          <w:p>
            <w:pPr>
              <w:jc w:val="center"/>
              <w:spacing w:after="0"/>
              <w:rPr>
                <w:sz w:val="20"/>
                <w:szCs w:val="20"/>
                <w:color w:val="auto"/>
              </w:rPr>
            </w:pPr>
            <w:r>
              <w:rPr>
                <w:rFonts w:ascii="Arial" w:cs="Arial" w:eastAsia="Arial" w:hAnsi="Arial"/>
                <w:sz w:val="14"/>
                <w:szCs w:val="14"/>
                <w:color w:val="FFFFFF"/>
                <w:w w:val="97"/>
              </w:rPr>
              <w:t>(c)</w:t>
            </w:r>
          </w:p>
        </w:tc>
        <w:tc>
          <w:tcPr>
            <w:tcW w:w="140" w:type="dxa"/>
            <w:vAlign w:val="bottom"/>
            <w:shd w:val="clear" w:color="auto" w:fill="1A6DBB"/>
          </w:tcPr>
          <w:p>
            <w:pPr>
              <w:spacing w:after="0"/>
              <w:rPr>
                <w:sz w:val="14"/>
                <w:szCs w:val="14"/>
                <w:color w:val="auto"/>
              </w:rPr>
            </w:pPr>
          </w:p>
        </w:tc>
        <w:tc>
          <w:tcPr>
            <w:tcW w:w="720" w:type="dxa"/>
            <w:vAlign w:val="bottom"/>
            <w:shd w:val="clear" w:color="auto" w:fill="1A6DBB"/>
          </w:tcPr>
          <w:p>
            <w:pPr>
              <w:jc w:val="right"/>
              <w:ind w:right="288"/>
              <w:spacing w:after="0"/>
              <w:rPr>
                <w:sz w:val="20"/>
                <w:szCs w:val="20"/>
                <w:color w:val="auto"/>
              </w:rPr>
            </w:pPr>
            <w:r>
              <w:rPr>
                <w:rFonts w:ascii="Arial" w:cs="Arial" w:eastAsia="Arial" w:hAnsi="Arial"/>
                <w:sz w:val="14"/>
                <w:szCs w:val="14"/>
                <w:color w:val="FFFFFF"/>
              </w:rPr>
              <w:t>(d)</w:t>
            </w:r>
          </w:p>
        </w:tc>
        <w:tc>
          <w:tcPr>
            <w:tcW w:w="140" w:type="dxa"/>
            <w:vAlign w:val="bottom"/>
            <w:shd w:val="clear" w:color="auto" w:fill="1A6DBB"/>
          </w:tcPr>
          <w:p>
            <w:pPr>
              <w:spacing w:after="0"/>
              <w:rPr>
                <w:sz w:val="14"/>
                <w:szCs w:val="14"/>
                <w:color w:val="auto"/>
              </w:rPr>
            </w:pPr>
          </w:p>
        </w:tc>
        <w:tc>
          <w:tcPr>
            <w:tcW w:w="900" w:type="dxa"/>
            <w:vAlign w:val="bottom"/>
            <w:shd w:val="clear" w:color="auto" w:fill="1A6DBB"/>
          </w:tcPr>
          <w:p>
            <w:pPr>
              <w:jc w:val="right"/>
              <w:ind w:right="488"/>
              <w:spacing w:after="0"/>
              <w:rPr>
                <w:sz w:val="20"/>
                <w:szCs w:val="20"/>
                <w:color w:val="auto"/>
              </w:rPr>
            </w:pPr>
            <w:r>
              <w:rPr>
                <w:rFonts w:ascii="Arial" w:cs="Arial" w:eastAsia="Arial" w:hAnsi="Arial"/>
                <w:sz w:val="14"/>
                <w:szCs w:val="14"/>
                <w:color w:val="FFFFFF"/>
              </w:rPr>
              <w:t>(e)</w:t>
            </w:r>
          </w:p>
        </w:tc>
        <w:tc>
          <w:tcPr>
            <w:tcW w:w="980" w:type="dxa"/>
            <w:vAlign w:val="bottom"/>
            <w:shd w:val="clear" w:color="auto" w:fill="1A6DBB"/>
          </w:tcPr>
          <w:p>
            <w:pPr>
              <w:jc w:val="center"/>
              <w:ind w:left="88"/>
              <w:spacing w:after="0"/>
              <w:rPr>
                <w:sz w:val="20"/>
                <w:szCs w:val="20"/>
                <w:color w:val="auto"/>
              </w:rPr>
            </w:pPr>
            <w:r>
              <w:rPr>
                <w:rFonts w:ascii="Arial" w:cs="Arial" w:eastAsia="Arial" w:hAnsi="Arial"/>
                <w:sz w:val="14"/>
                <w:szCs w:val="14"/>
                <w:color w:val="FFFFFF"/>
              </w:rPr>
              <w:t>(f)</w:t>
            </w:r>
          </w:p>
        </w:tc>
        <w:tc>
          <w:tcPr>
            <w:tcW w:w="940" w:type="dxa"/>
            <w:vAlign w:val="bottom"/>
            <w:shd w:val="clear" w:color="auto" w:fill="1A6DBB"/>
          </w:tcPr>
          <w:p>
            <w:pPr>
              <w:jc w:val="right"/>
              <w:ind w:right="348"/>
              <w:spacing w:after="0"/>
              <w:rPr>
                <w:sz w:val="20"/>
                <w:szCs w:val="20"/>
                <w:color w:val="auto"/>
              </w:rPr>
            </w:pPr>
            <w:r>
              <w:rPr>
                <w:rFonts w:ascii="Arial" w:cs="Arial" w:eastAsia="Arial" w:hAnsi="Arial"/>
                <w:sz w:val="14"/>
                <w:szCs w:val="14"/>
                <w:color w:val="FFFFFF"/>
              </w:rPr>
              <w:t>(g)</w:t>
            </w:r>
          </w:p>
        </w:tc>
        <w:tc>
          <w:tcPr>
            <w:tcW w:w="920" w:type="dxa"/>
            <w:vAlign w:val="bottom"/>
            <w:shd w:val="clear" w:color="auto" w:fill="1A6DBB"/>
          </w:tcPr>
          <w:p>
            <w:pPr>
              <w:jc w:val="right"/>
              <w:ind w:right="388"/>
              <w:spacing w:after="0"/>
              <w:rPr>
                <w:sz w:val="20"/>
                <w:szCs w:val="20"/>
                <w:color w:val="auto"/>
              </w:rPr>
            </w:pPr>
            <w:r>
              <w:rPr>
                <w:rFonts w:ascii="Arial" w:cs="Arial" w:eastAsia="Arial" w:hAnsi="Arial"/>
                <w:sz w:val="14"/>
                <w:szCs w:val="14"/>
                <w:color w:val="FFFFFF"/>
              </w:rPr>
              <w:t>(h)</w:t>
            </w:r>
          </w:p>
        </w:tc>
        <w:tc>
          <w:tcPr>
            <w:tcW w:w="680" w:type="dxa"/>
            <w:vAlign w:val="bottom"/>
            <w:shd w:val="clear" w:color="auto" w:fill="1A6DBB"/>
          </w:tcPr>
          <w:p>
            <w:pPr>
              <w:jc w:val="center"/>
              <w:spacing w:after="0"/>
              <w:rPr>
                <w:sz w:val="20"/>
                <w:szCs w:val="20"/>
                <w:color w:val="auto"/>
              </w:rPr>
            </w:pPr>
            <w:r>
              <w:rPr>
                <w:rFonts w:ascii="Arial" w:cs="Arial" w:eastAsia="Arial" w:hAnsi="Arial"/>
                <w:sz w:val="14"/>
                <w:szCs w:val="14"/>
                <w:color w:val="FFFFFF"/>
              </w:rPr>
              <w:t>(#) (i)</w:t>
            </w:r>
          </w:p>
        </w:tc>
        <w:tc>
          <w:tcPr>
            <w:tcW w:w="900" w:type="dxa"/>
            <w:vAlign w:val="bottom"/>
            <w:shd w:val="clear" w:color="auto" w:fill="1A6DBB"/>
          </w:tcPr>
          <w:p>
            <w:pPr>
              <w:jc w:val="center"/>
              <w:spacing w:after="0"/>
              <w:rPr>
                <w:sz w:val="20"/>
                <w:szCs w:val="20"/>
                <w:color w:val="auto"/>
              </w:rPr>
            </w:pPr>
            <w:r>
              <w:rPr>
                <w:rFonts w:ascii="Arial" w:cs="Arial" w:eastAsia="Arial" w:hAnsi="Arial"/>
                <w:sz w:val="14"/>
                <w:szCs w:val="14"/>
                <w:color w:val="FFFFFF"/>
                <w:w w:val="96"/>
              </w:rPr>
              <w:t>(j)</w:t>
            </w:r>
          </w:p>
        </w:tc>
        <w:tc>
          <w:tcPr>
            <w:tcW w:w="0" w:type="dxa"/>
            <w:vAlign w:val="bottom"/>
          </w:tcPr>
          <w:p>
            <w:pPr>
              <w:spacing w:after="0"/>
              <w:rPr>
                <w:sz w:val="1"/>
                <w:szCs w:val="1"/>
                <w:color w:val="auto"/>
              </w:rPr>
            </w:pPr>
          </w:p>
        </w:tc>
      </w:tr>
      <w:tr>
        <w:trPr>
          <w:trHeight w:val="204"/>
        </w:trPr>
        <w:tc>
          <w:tcPr>
            <w:tcW w:w="2520" w:type="dxa"/>
            <w:vAlign w:val="bottom"/>
            <w:shd w:val="clear" w:color="auto" w:fill="E8F0F8"/>
          </w:tcPr>
          <w:p>
            <w:pPr>
              <w:ind w:left="60"/>
              <w:spacing w:after="0"/>
              <w:rPr>
                <w:sz w:val="20"/>
                <w:szCs w:val="20"/>
                <w:color w:val="auto"/>
              </w:rPr>
            </w:pPr>
            <w:r>
              <w:rPr>
                <w:rFonts w:ascii="Arial" w:cs="Arial" w:eastAsia="Arial" w:hAnsi="Arial"/>
                <w:sz w:val="14"/>
                <w:szCs w:val="14"/>
                <w:color w:val="auto"/>
              </w:rPr>
              <w:t>Michel Vounatsos</w:t>
            </w:r>
          </w:p>
        </w:tc>
        <w:tc>
          <w:tcPr>
            <w:tcW w:w="940" w:type="dxa"/>
            <w:vAlign w:val="bottom"/>
            <w:shd w:val="clear" w:color="auto" w:fill="E8F0F8"/>
          </w:tcPr>
          <w:p>
            <w:pPr>
              <w:jc w:val="right"/>
              <w:spacing w:after="0"/>
              <w:rPr>
                <w:sz w:val="20"/>
                <w:szCs w:val="20"/>
                <w:color w:val="auto"/>
              </w:rPr>
            </w:pPr>
            <w:r>
              <w:rPr>
                <w:rFonts w:ascii="Arial" w:cs="Arial" w:eastAsia="Arial" w:hAnsi="Arial"/>
                <w:sz w:val="14"/>
                <w:szCs w:val="14"/>
                <w:color w:val="auto"/>
              </w:rPr>
              <w:t>02/12/2018</w:t>
            </w:r>
          </w:p>
        </w:tc>
        <w:tc>
          <w:tcPr>
            <w:tcW w:w="48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(3)</w:t>
            </w:r>
          </w:p>
        </w:tc>
        <w:tc>
          <w:tcPr>
            <w:tcW w:w="760" w:type="dxa"/>
            <w:vAlign w:val="bottom"/>
            <w:shd w:val="clear" w:color="auto" w:fill="E8F0F8"/>
          </w:tcPr>
          <w:p>
            <w:pPr>
              <w:ind w:lef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8F0F8"/>
          </w:tcPr>
          <w:p>
            <w:pPr>
              <w:spacing w:after="0"/>
              <w:rPr>
                <w:sz w:val="17"/>
                <w:szCs w:val="17"/>
                <w:color w:val="auto"/>
              </w:rPr>
            </w:pPr>
          </w:p>
        </w:tc>
        <w:tc>
          <w:tcPr>
            <w:tcW w:w="720" w:type="dxa"/>
            <w:vAlign w:val="bottom"/>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E8F0F8"/>
          </w:tcPr>
          <w:p>
            <w:pPr>
              <w:spacing w:after="0"/>
              <w:rPr>
                <w:sz w:val="17"/>
                <w:szCs w:val="17"/>
                <w:color w:val="auto"/>
              </w:rPr>
            </w:pPr>
          </w:p>
        </w:tc>
        <w:tc>
          <w:tcPr>
            <w:tcW w:w="900" w:type="dxa"/>
            <w:vAlign w:val="bottom"/>
            <w:shd w:val="clear" w:color="auto" w:fill="E8F0F8"/>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shd w:val="clear" w:color="auto" w:fill="E8F0F8"/>
          </w:tcPr>
          <w:p>
            <w:pPr>
              <w:jc w:val="center"/>
              <w:ind w:left="148"/>
              <w:spacing w:after="0"/>
              <w:rPr>
                <w:sz w:val="20"/>
                <w:szCs w:val="20"/>
                <w:color w:val="auto"/>
              </w:rPr>
            </w:pPr>
            <w:r>
              <w:rPr>
                <w:rFonts w:ascii="Arial" w:cs="Arial" w:eastAsia="Arial" w:hAnsi="Arial"/>
                <w:sz w:val="14"/>
                <w:szCs w:val="14"/>
                <w:color w:val="auto"/>
              </w:rPr>
              <w:t>9,080</w:t>
            </w:r>
          </w:p>
        </w:tc>
        <w:tc>
          <w:tcPr>
            <w:tcW w:w="940" w:type="dxa"/>
            <w:vAlign w:val="bottom"/>
            <w:shd w:val="clear" w:color="auto" w:fill="E8F0F8"/>
          </w:tcPr>
          <w:p>
            <w:pPr>
              <w:jc w:val="right"/>
              <w:ind w:right="168"/>
              <w:spacing w:after="0"/>
              <w:rPr>
                <w:sz w:val="20"/>
                <w:szCs w:val="20"/>
                <w:color w:val="auto"/>
              </w:rPr>
            </w:pPr>
            <w:r>
              <w:rPr>
                <w:rFonts w:ascii="Arial" w:cs="Arial" w:eastAsia="Arial" w:hAnsi="Arial"/>
                <w:sz w:val="14"/>
                <w:szCs w:val="14"/>
                <w:color w:val="auto"/>
              </w:rPr>
              <w:t>18,160</w:t>
            </w:r>
          </w:p>
        </w:tc>
        <w:tc>
          <w:tcPr>
            <w:tcW w:w="920" w:type="dxa"/>
            <w:vAlign w:val="bottom"/>
            <w:shd w:val="clear" w:color="auto" w:fill="E8F0F8"/>
          </w:tcPr>
          <w:p>
            <w:pPr>
              <w:jc w:val="center"/>
              <w:ind w:right="48"/>
              <w:spacing w:after="0"/>
              <w:rPr>
                <w:sz w:val="20"/>
                <w:szCs w:val="20"/>
                <w:color w:val="auto"/>
              </w:rPr>
            </w:pPr>
            <w:r>
              <w:rPr>
                <w:rFonts w:ascii="Arial" w:cs="Arial" w:eastAsia="Arial" w:hAnsi="Arial"/>
                <w:sz w:val="14"/>
                <w:szCs w:val="14"/>
                <w:color w:val="auto"/>
              </w:rPr>
              <w:t>36,320</w:t>
            </w:r>
          </w:p>
        </w:tc>
        <w:tc>
          <w:tcPr>
            <w:tcW w:w="680" w:type="dxa"/>
            <w:vAlign w:val="bottom"/>
            <w:shd w:val="clear" w:color="auto" w:fill="E8F0F8"/>
          </w:tcPr>
          <w:p>
            <w:pPr>
              <w:jc w:val="center"/>
              <w:ind w:left="108"/>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$6,856,251</w:t>
            </w:r>
          </w:p>
        </w:tc>
        <w:tc>
          <w:tcPr>
            <w:tcW w:w="0" w:type="dxa"/>
            <w:vAlign w:val="bottom"/>
          </w:tcPr>
          <w:p>
            <w:pPr>
              <w:spacing w:after="0"/>
              <w:rPr>
                <w:sz w:val="1"/>
                <w:szCs w:val="1"/>
                <w:color w:val="auto"/>
              </w:rPr>
            </w:pPr>
          </w:p>
        </w:tc>
      </w:tr>
      <w:tr>
        <w:trPr>
          <w:trHeight w:val="230"/>
        </w:trPr>
        <w:tc>
          <w:tcPr>
            <w:tcW w:w="2520" w:type="dxa"/>
            <w:vAlign w:val="bottom"/>
            <w:shd w:val="clear" w:color="auto" w:fill="E8F0F8"/>
          </w:tcPr>
          <w:p>
            <w:pPr>
              <w:spacing w:after="0"/>
              <w:rPr>
                <w:sz w:val="19"/>
                <w:szCs w:val="19"/>
                <w:color w:val="auto"/>
              </w:rPr>
            </w:pPr>
          </w:p>
        </w:tc>
        <w:tc>
          <w:tcPr>
            <w:tcW w:w="940" w:type="dxa"/>
            <w:vAlign w:val="bottom"/>
            <w:shd w:val="clear" w:color="auto" w:fill="E8F0F8"/>
          </w:tcPr>
          <w:p>
            <w:pPr>
              <w:jc w:val="right"/>
              <w:spacing w:after="0"/>
              <w:rPr>
                <w:sz w:val="20"/>
                <w:szCs w:val="20"/>
                <w:color w:val="auto"/>
              </w:rPr>
            </w:pPr>
            <w:r>
              <w:rPr>
                <w:rFonts w:ascii="Arial" w:cs="Arial" w:eastAsia="Arial" w:hAnsi="Arial"/>
                <w:sz w:val="14"/>
                <w:szCs w:val="14"/>
                <w:color w:val="auto"/>
              </w:rPr>
              <w:t>02/12/2018</w:t>
            </w:r>
          </w:p>
        </w:tc>
        <w:tc>
          <w:tcPr>
            <w:tcW w:w="48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(4)</w:t>
            </w:r>
          </w:p>
        </w:tc>
        <w:tc>
          <w:tcPr>
            <w:tcW w:w="760" w:type="dxa"/>
            <w:vAlign w:val="bottom"/>
            <w:shd w:val="clear" w:color="auto" w:fill="E8F0F8"/>
          </w:tcPr>
          <w:p>
            <w:pPr>
              <w:ind w:lef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8F0F8"/>
          </w:tcPr>
          <w:p>
            <w:pPr>
              <w:spacing w:after="0"/>
              <w:rPr>
                <w:sz w:val="19"/>
                <w:szCs w:val="19"/>
                <w:color w:val="auto"/>
              </w:rPr>
            </w:pPr>
          </w:p>
        </w:tc>
        <w:tc>
          <w:tcPr>
            <w:tcW w:w="720" w:type="dxa"/>
            <w:vAlign w:val="bottom"/>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E8F0F8"/>
          </w:tcPr>
          <w:p>
            <w:pPr>
              <w:spacing w:after="0"/>
              <w:rPr>
                <w:sz w:val="19"/>
                <w:szCs w:val="19"/>
                <w:color w:val="auto"/>
              </w:rPr>
            </w:pPr>
          </w:p>
        </w:tc>
        <w:tc>
          <w:tcPr>
            <w:tcW w:w="900" w:type="dxa"/>
            <w:vAlign w:val="bottom"/>
            <w:shd w:val="clear" w:color="auto" w:fill="E8F0F8"/>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shd w:val="clear" w:color="auto" w:fill="E8F0F8"/>
          </w:tcPr>
          <w:p>
            <w:pPr>
              <w:jc w:val="center"/>
              <w:ind w:left="148"/>
              <w:spacing w:after="0"/>
              <w:rPr>
                <w:sz w:val="20"/>
                <w:szCs w:val="20"/>
                <w:color w:val="auto"/>
              </w:rPr>
            </w:pPr>
            <w:r>
              <w:rPr>
                <w:rFonts w:ascii="Arial" w:cs="Arial" w:eastAsia="Arial" w:hAnsi="Arial"/>
                <w:sz w:val="14"/>
                <w:szCs w:val="14"/>
                <w:color w:val="auto"/>
              </w:rPr>
              <w:t>6,646</w:t>
            </w:r>
          </w:p>
        </w:tc>
        <w:tc>
          <w:tcPr>
            <w:tcW w:w="940" w:type="dxa"/>
            <w:vAlign w:val="bottom"/>
            <w:shd w:val="clear" w:color="auto" w:fill="E8F0F8"/>
          </w:tcPr>
          <w:p>
            <w:pPr>
              <w:jc w:val="right"/>
              <w:ind w:right="168"/>
              <w:spacing w:after="0"/>
              <w:rPr>
                <w:sz w:val="20"/>
                <w:szCs w:val="20"/>
                <w:color w:val="auto"/>
              </w:rPr>
            </w:pPr>
            <w:r>
              <w:rPr>
                <w:rFonts w:ascii="Arial" w:cs="Arial" w:eastAsia="Arial" w:hAnsi="Arial"/>
                <w:sz w:val="14"/>
                <w:szCs w:val="14"/>
                <w:color w:val="auto"/>
              </w:rPr>
              <w:t>13,292</w:t>
            </w:r>
          </w:p>
        </w:tc>
        <w:tc>
          <w:tcPr>
            <w:tcW w:w="920" w:type="dxa"/>
            <w:vAlign w:val="bottom"/>
            <w:shd w:val="clear" w:color="auto" w:fill="E8F0F8"/>
          </w:tcPr>
          <w:p>
            <w:pPr>
              <w:jc w:val="center"/>
              <w:ind w:right="48"/>
              <w:spacing w:after="0"/>
              <w:rPr>
                <w:sz w:val="20"/>
                <w:szCs w:val="20"/>
                <w:color w:val="auto"/>
              </w:rPr>
            </w:pPr>
            <w:r>
              <w:rPr>
                <w:rFonts w:ascii="Arial" w:cs="Arial" w:eastAsia="Arial" w:hAnsi="Arial"/>
                <w:sz w:val="14"/>
                <w:szCs w:val="14"/>
                <w:color w:val="auto"/>
              </w:rPr>
              <w:t>26,584</w:t>
            </w:r>
          </w:p>
        </w:tc>
        <w:tc>
          <w:tcPr>
            <w:tcW w:w="680" w:type="dxa"/>
            <w:vAlign w:val="bottom"/>
            <w:shd w:val="clear" w:color="auto" w:fill="E8F0F8"/>
          </w:tcPr>
          <w:p>
            <w:pPr>
              <w:jc w:val="center"/>
              <w:ind w:left="108"/>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$4,208,646</w:t>
            </w:r>
          </w:p>
        </w:tc>
        <w:tc>
          <w:tcPr>
            <w:tcW w:w="0" w:type="dxa"/>
            <w:vAlign w:val="bottom"/>
          </w:tcPr>
          <w:p>
            <w:pPr>
              <w:spacing w:after="0"/>
              <w:rPr>
                <w:sz w:val="1"/>
                <w:szCs w:val="1"/>
                <w:color w:val="auto"/>
              </w:rPr>
            </w:pPr>
          </w:p>
        </w:tc>
      </w:tr>
      <w:tr>
        <w:trPr>
          <w:trHeight w:val="260"/>
        </w:trPr>
        <w:tc>
          <w:tcPr>
            <w:tcW w:w="2520" w:type="dxa"/>
            <w:vAlign w:val="bottom"/>
            <w:tcBorders>
              <w:bottom w:val="single" w:sz="8" w:color="E8F0F8"/>
            </w:tcBorders>
            <w:shd w:val="clear" w:color="auto" w:fill="E8F0F8"/>
          </w:tcPr>
          <w:p>
            <w:pPr>
              <w:spacing w:after="0"/>
              <w:rPr>
                <w:sz w:val="22"/>
                <w:szCs w:val="22"/>
                <w:color w:val="auto"/>
              </w:rPr>
            </w:pPr>
          </w:p>
        </w:tc>
        <w:tc>
          <w:tcPr>
            <w:tcW w:w="9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4"/>
                <w:szCs w:val="14"/>
                <w:color w:val="auto"/>
              </w:rPr>
              <w:t>02/12/2018</w:t>
            </w:r>
          </w:p>
        </w:tc>
        <w:tc>
          <w:tcPr>
            <w:tcW w:w="48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4"/>
                <w:szCs w:val="14"/>
                <w:color w:val="auto"/>
              </w:rPr>
              <w:t>(5)</w:t>
            </w:r>
          </w:p>
        </w:tc>
        <w:tc>
          <w:tcPr>
            <w:tcW w:w="76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4"/>
                <w:szCs w:val="14"/>
                <w:color w:val="auto"/>
              </w:rPr>
              <w:t>$455,000</w:t>
            </w:r>
          </w:p>
        </w:tc>
        <w:tc>
          <w:tcPr>
            <w:tcW w:w="1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4"/>
                <w:szCs w:val="14"/>
                <w:color w:val="auto"/>
              </w:rPr>
              <w:t>1,820,000</w:t>
            </w:r>
          </w:p>
        </w:tc>
        <w:tc>
          <w:tcPr>
            <w:tcW w:w="1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E8F0F8"/>
            </w:tcBorders>
            <w:shd w:val="clear" w:color="auto" w:fill="E8F0F8"/>
          </w:tcPr>
          <w:p>
            <w:pPr>
              <w:jc w:val="right"/>
              <w:ind w:right="188"/>
              <w:spacing w:after="0"/>
              <w:rPr>
                <w:sz w:val="20"/>
                <w:szCs w:val="20"/>
                <w:color w:val="auto"/>
              </w:rPr>
            </w:pPr>
            <w:r>
              <w:rPr>
                <w:rFonts w:ascii="Arial" w:cs="Arial" w:eastAsia="Arial" w:hAnsi="Arial"/>
                <w:sz w:val="14"/>
                <w:szCs w:val="14"/>
                <w:color w:val="auto"/>
                <w:w w:val="99"/>
              </w:rPr>
              <w:t>4,095,000</w:t>
            </w:r>
          </w:p>
        </w:tc>
        <w:tc>
          <w:tcPr>
            <w:tcW w:w="980" w:type="dxa"/>
            <w:vAlign w:val="bottom"/>
            <w:tcBorders>
              <w:bottom w:val="single" w:sz="8" w:color="E8F0F8"/>
            </w:tcBorders>
            <w:shd w:val="clear" w:color="auto" w:fill="E8F0F8"/>
          </w:tcPr>
          <w:p>
            <w:pPr>
              <w:jc w:val="center"/>
              <w:ind w:left="128"/>
              <w:spacing w:after="0"/>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E8F0F8"/>
            </w:tcBorders>
            <w:shd w:val="clear" w:color="auto" w:fill="E8F0F8"/>
          </w:tcPr>
          <w:p>
            <w:pPr>
              <w:jc w:val="center"/>
              <w:ind w:right="68"/>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E8F0F8"/>
            </w:tcBorders>
            <w:shd w:val="clear" w:color="auto" w:fill="E8F0F8"/>
          </w:tcPr>
          <w:p>
            <w:pPr>
              <w:jc w:val="center"/>
              <w:ind w:left="108"/>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E8F0F8"/>
            </w:tcBorders>
            <w:shd w:val="clear" w:color="auto" w:fill="E8F0F8"/>
          </w:tcPr>
          <w:p>
            <w:pPr>
              <w:ind w:lef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520" w:type="dxa"/>
            <w:vAlign w:val="bottom"/>
            <w:tcBorders>
              <w:top w:val="single" w:sz="8" w:color="auto"/>
            </w:tcBorders>
            <w:shd w:val="clear" w:color="auto" w:fill="BAD3EA"/>
          </w:tcPr>
          <w:p>
            <w:pPr>
              <w:ind w:left="60"/>
              <w:spacing w:after="0"/>
              <w:rPr>
                <w:sz w:val="20"/>
                <w:szCs w:val="20"/>
                <w:color w:val="auto"/>
              </w:rPr>
            </w:pPr>
            <w:r>
              <w:rPr>
                <w:rFonts w:ascii="Arial" w:cs="Arial" w:eastAsia="Arial" w:hAnsi="Arial"/>
                <w:sz w:val="14"/>
                <w:szCs w:val="14"/>
                <w:color w:val="auto"/>
              </w:rPr>
              <w:t>Jeffrey D. Capello</w:t>
            </w:r>
          </w:p>
        </w:tc>
        <w:tc>
          <w:tcPr>
            <w:tcW w:w="940" w:type="dxa"/>
            <w:vAlign w:val="bottom"/>
            <w:tcBorders>
              <w:top w:val="single" w:sz="8" w:color="auto"/>
            </w:tcBorders>
            <w:shd w:val="clear" w:color="auto" w:fill="BAD3EA"/>
          </w:tcPr>
          <w:p>
            <w:pPr>
              <w:jc w:val="right"/>
              <w:spacing w:after="0"/>
              <w:rPr>
                <w:sz w:val="20"/>
                <w:szCs w:val="20"/>
                <w:color w:val="auto"/>
              </w:rPr>
            </w:pPr>
            <w:r>
              <w:rPr>
                <w:rFonts w:ascii="Arial" w:cs="Arial" w:eastAsia="Arial" w:hAnsi="Arial"/>
                <w:sz w:val="14"/>
                <w:szCs w:val="14"/>
                <w:color w:val="auto"/>
              </w:rPr>
              <w:t>01/02/2018</w:t>
            </w:r>
          </w:p>
        </w:tc>
        <w:tc>
          <w:tcPr>
            <w:tcW w:w="480" w:type="dxa"/>
            <w:vAlign w:val="bottom"/>
            <w:tcBorders>
              <w:top w:val="single" w:sz="8" w:color="auto"/>
            </w:tcBorders>
            <w:shd w:val="clear" w:color="auto" w:fill="BAD3EA"/>
          </w:tcPr>
          <w:p>
            <w:pPr>
              <w:jc w:val="center"/>
              <w:spacing w:after="0"/>
              <w:rPr>
                <w:sz w:val="20"/>
                <w:szCs w:val="20"/>
                <w:color w:val="auto"/>
              </w:rPr>
            </w:pPr>
            <w:r>
              <w:rPr>
                <w:rFonts w:ascii="Arial" w:cs="Arial" w:eastAsia="Arial" w:hAnsi="Arial"/>
                <w:sz w:val="14"/>
                <w:szCs w:val="14"/>
                <w:color w:val="auto"/>
              </w:rPr>
              <w:t>(3)</w:t>
            </w:r>
          </w:p>
        </w:tc>
        <w:tc>
          <w:tcPr>
            <w:tcW w:w="760" w:type="dxa"/>
            <w:vAlign w:val="bottom"/>
            <w:tcBorders>
              <w:top w:val="single" w:sz="8" w:color="auto"/>
            </w:tcBorders>
            <w:shd w:val="clear" w:color="auto" w:fill="BAD3EA"/>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shd w:val="clear" w:color="auto" w:fill="BAD3EA"/>
          </w:tcPr>
          <w:p>
            <w:pPr>
              <w:spacing w:after="0"/>
              <w:rPr>
                <w:sz w:val="17"/>
                <w:szCs w:val="17"/>
                <w:color w:val="auto"/>
              </w:rPr>
            </w:pPr>
          </w:p>
        </w:tc>
        <w:tc>
          <w:tcPr>
            <w:tcW w:w="720" w:type="dxa"/>
            <w:vAlign w:val="bottom"/>
            <w:tcBorders>
              <w:top w:val="single" w:sz="8" w:color="auto"/>
            </w:tcBorders>
            <w:shd w:val="clear" w:color="auto" w:fill="BAD3EA"/>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Borders>
              <w:top w:val="single" w:sz="8" w:color="auto"/>
            </w:tcBorders>
            <w:shd w:val="clear" w:color="auto" w:fill="BAD3EA"/>
          </w:tcPr>
          <w:p>
            <w:pPr>
              <w:spacing w:after="0"/>
              <w:rPr>
                <w:sz w:val="17"/>
                <w:szCs w:val="17"/>
                <w:color w:val="auto"/>
              </w:rPr>
            </w:pPr>
          </w:p>
        </w:tc>
        <w:tc>
          <w:tcPr>
            <w:tcW w:w="900" w:type="dxa"/>
            <w:vAlign w:val="bottom"/>
            <w:tcBorders>
              <w:top w:val="single" w:sz="8" w:color="auto"/>
            </w:tcBorders>
            <w:shd w:val="clear" w:color="auto" w:fill="BAD3EA"/>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BAD3EA"/>
          </w:tcPr>
          <w:p>
            <w:pPr>
              <w:jc w:val="center"/>
              <w:ind w:left="148"/>
              <w:spacing w:after="0"/>
              <w:rPr>
                <w:sz w:val="20"/>
                <w:szCs w:val="20"/>
                <w:color w:val="auto"/>
              </w:rPr>
            </w:pPr>
            <w:r>
              <w:rPr>
                <w:rFonts w:ascii="Arial" w:cs="Arial" w:eastAsia="Arial" w:hAnsi="Arial"/>
                <w:sz w:val="14"/>
                <w:szCs w:val="14"/>
                <w:color w:val="auto"/>
              </w:rPr>
              <w:t>2,245</w:t>
            </w:r>
          </w:p>
        </w:tc>
        <w:tc>
          <w:tcPr>
            <w:tcW w:w="940" w:type="dxa"/>
            <w:vAlign w:val="bottom"/>
            <w:tcBorders>
              <w:top w:val="single" w:sz="8" w:color="auto"/>
            </w:tcBorders>
            <w:shd w:val="clear" w:color="auto" w:fill="BAD3EA"/>
          </w:tcPr>
          <w:p>
            <w:pPr>
              <w:jc w:val="right"/>
              <w:ind w:right="168"/>
              <w:spacing w:after="0"/>
              <w:rPr>
                <w:sz w:val="20"/>
                <w:szCs w:val="20"/>
                <w:color w:val="auto"/>
              </w:rPr>
            </w:pPr>
            <w:r>
              <w:rPr>
                <w:rFonts w:ascii="Arial" w:cs="Arial" w:eastAsia="Arial" w:hAnsi="Arial"/>
                <w:sz w:val="14"/>
                <w:szCs w:val="14"/>
                <w:color w:val="auto"/>
              </w:rPr>
              <w:t>4,490</w:t>
            </w:r>
          </w:p>
        </w:tc>
        <w:tc>
          <w:tcPr>
            <w:tcW w:w="920" w:type="dxa"/>
            <w:vAlign w:val="bottom"/>
            <w:tcBorders>
              <w:top w:val="single" w:sz="8" w:color="auto"/>
            </w:tcBorders>
            <w:shd w:val="clear" w:color="auto" w:fill="BAD3EA"/>
          </w:tcPr>
          <w:p>
            <w:pPr>
              <w:jc w:val="right"/>
              <w:ind w:right="228"/>
              <w:spacing w:after="0"/>
              <w:rPr>
                <w:sz w:val="20"/>
                <w:szCs w:val="20"/>
                <w:color w:val="auto"/>
              </w:rPr>
            </w:pPr>
            <w:r>
              <w:rPr>
                <w:rFonts w:ascii="Arial" w:cs="Arial" w:eastAsia="Arial" w:hAnsi="Arial"/>
                <w:sz w:val="14"/>
                <w:szCs w:val="14"/>
                <w:color w:val="auto"/>
              </w:rPr>
              <w:t>8,980</w:t>
            </w:r>
          </w:p>
        </w:tc>
        <w:tc>
          <w:tcPr>
            <w:tcW w:w="680" w:type="dxa"/>
            <w:vAlign w:val="bottom"/>
            <w:tcBorders>
              <w:top w:val="single" w:sz="8" w:color="auto"/>
            </w:tcBorders>
            <w:shd w:val="clear" w:color="auto" w:fill="BAD3EA"/>
          </w:tcPr>
          <w:p>
            <w:pPr>
              <w:jc w:val="center"/>
              <w:ind w:left="108"/>
              <w:spacing w:after="0"/>
              <w:rPr>
                <w:sz w:val="20"/>
                <w:szCs w:val="20"/>
                <w:color w:val="auto"/>
              </w:rPr>
            </w:pPr>
            <w:r>
              <w:rPr>
                <w:rFonts w:ascii="Arial" w:cs="Arial" w:eastAsia="Arial" w:hAnsi="Arial"/>
                <w:sz w:val="14"/>
                <w:szCs w:val="14"/>
                <w:color w:val="auto"/>
                <w:w w:val="99"/>
              </w:rPr>
              <w:t>—</w:t>
            </w:r>
          </w:p>
        </w:tc>
        <w:tc>
          <w:tcPr>
            <w:tcW w:w="900" w:type="dxa"/>
            <w:vAlign w:val="bottom"/>
            <w:tcBorders>
              <w:top w:val="single" w:sz="8" w:color="auto"/>
            </w:tcBorders>
            <w:shd w:val="clear" w:color="auto" w:fill="BAD3EA"/>
          </w:tcPr>
          <w:p>
            <w:pPr>
              <w:jc w:val="center"/>
              <w:spacing w:after="0"/>
              <w:rPr>
                <w:sz w:val="20"/>
                <w:szCs w:val="20"/>
                <w:color w:val="auto"/>
              </w:rPr>
            </w:pPr>
            <w:r>
              <w:rPr>
                <w:rFonts w:ascii="Arial" w:cs="Arial" w:eastAsia="Arial" w:hAnsi="Arial"/>
                <w:sz w:val="14"/>
                <w:szCs w:val="14"/>
                <w:color w:val="auto"/>
              </w:rPr>
              <w:t>$1,789,136</w:t>
            </w:r>
          </w:p>
        </w:tc>
        <w:tc>
          <w:tcPr>
            <w:tcW w:w="0" w:type="dxa"/>
            <w:vAlign w:val="bottom"/>
          </w:tcPr>
          <w:p>
            <w:pPr>
              <w:spacing w:after="0"/>
              <w:rPr>
                <w:sz w:val="1"/>
                <w:szCs w:val="1"/>
                <w:color w:val="auto"/>
              </w:rPr>
            </w:pPr>
          </w:p>
        </w:tc>
      </w:tr>
      <w:tr>
        <w:trPr>
          <w:trHeight w:val="230"/>
        </w:trPr>
        <w:tc>
          <w:tcPr>
            <w:tcW w:w="2520" w:type="dxa"/>
            <w:vAlign w:val="bottom"/>
            <w:shd w:val="clear" w:color="auto" w:fill="BAD3EA"/>
          </w:tcPr>
          <w:p>
            <w:pPr>
              <w:spacing w:after="0"/>
              <w:rPr>
                <w:sz w:val="19"/>
                <w:szCs w:val="19"/>
                <w:color w:val="auto"/>
              </w:rPr>
            </w:pPr>
          </w:p>
        </w:tc>
        <w:tc>
          <w:tcPr>
            <w:tcW w:w="940" w:type="dxa"/>
            <w:vAlign w:val="bottom"/>
            <w:shd w:val="clear" w:color="auto" w:fill="BAD3EA"/>
          </w:tcPr>
          <w:p>
            <w:pPr>
              <w:jc w:val="right"/>
              <w:spacing w:after="0"/>
              <w:rPr>
                <w:sz w:val="20"/>
                <w:szCs w:val="20"/>
                <w:color w:val="auto"/>
              </w:rPr>
            </w:pPr>
            <w:r>
              <w:rPr>
                <w:rFonts w:ascii="Arial" w:cs="Arial" w:eastAsia="Arial" w:hAnsi="Arial"/>
                <w:sz w:val="14"/>
                <w:szCs w:val="14"/>
                <w:color w:val="auto"/>
              </w:rPr>
              <w:t>01/02/2018</w:t>
            </w:r>
          </w:p>
        </w:tc>
        <w:tc>
          <w:tcPr>
            <w:tcW w:w="480" w:type="dxa"/>
            <w:vAlign w:val="bottom"/>
            <w:shd w:val="clear" w:color="auto" w:fill="BAD3EA"/>
          </w:tcPr>
          <w:p>
            <w:pPr>
              <w:jc w:val="center"/>
              <w:spacing w:after="0"/>
              <w:rPr>
                <w:sz w:val="20"/>
                <w:szCs w:val="20"/>
                <w:color w:val="auto"/>
              </w:rPr>
            </w:pPr>
            <w:r>
              <w:rPr>
                <w:rFonts w:ascii="Arial" w:cs="Arial" w:eastAsia="Arial" w:hAnsi="Arial"/>
                <w:sz w:val="14"/>
                <w:szCs w:val="14"/>
                <w:color w:val="auto"/>
              </w:rPr>
              <w:t>(4)</w:t>
            </w:r>
          </w:p>
        </w:tc>
        <w:tc>
          <w:tcPr>
            <w:tcW w:w="760" w:type="dxa"/>
            <w:vAlign w:val="bottom"/>
            <w:shd w:val="clear" w:color="auto" w:fill="BAD3EA"/>
          </w:tcPr>
          <w:p>
            <w:pPr>
              <w:ind w:lef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BAD3EA"/>
          </w:tcPr>
          <w:p>
            <w:pPr>
              <w:spacing w:after="0"/>
              <w:rPr>
                <w:sz w:val="19"/>
                <w:szCs w:val="19"/>
                <w:color w:val="auto"/>
              </w:rPr>
            </w:pPr>
          </w:p>
        </w:tc>
        <w:tc>
          <w:tcPr>
            <w:tcW w:w="720" w:type="dxa"/>
            <w:vAlign w:val="bottom"/>
            <w:shd w:val="clear" w:color="auto" w:fill="BAD3EA"/>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BAD3EA"/>
          </w:tcPr>
          <w:p>
            <w:pPr>
              <w:spacing w:after="0"/>
              <w:rPr>
                <w:sz w:val="19"/>
                <w:szCs w:val="19"/>
                <w:color w:val="auto"/>
              </w:rPr>
            </w:pPr>
          </w:p>
        </w:tc>
        <w:tc>
          <w:tcPr>
            <w:tcW w:w="900" w:type="dxa"/>
            <w:vAlign w:val="bottom"/>
            <w:shd w:val="clear" w:color="auto" w:fill="BAD3EA"/>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shd w:val="clear" w:color="auto" w:fill="BAD3EA"/>
          </w:tcPr>
          <w:p>
            <w:pPr>
              <w:jc w:val="center"/>
              <w:ind w:left="148"/>
              <w:spacing w:after="0"/>
              <w:rPr>
                <w:sz w:val="20"/>
                <w:szCs w:val="20"/>
                <w:color w:val="auto"/>
              </w:rPr>
            </w:pPr>
            <w:r>
              <w:rPr>
                <w:rFonts w:ascii="Arial" w:cs="Arial" w:eastAsia="Arial" w:hAnsi="Arial"/>
                <w:sz w:val="14"/>
                <w:szCs w:val="14"/>
                <w:color w:val="auto"/>
              </w:rPr>
              <w:t>1,646</w:t>
            </w:r>
          </w:p>
        </w:tc>
        <w:tc>
          <w:tcPr>
            <w:tcW w:w="940" w:type="dxa"/>
            <w:vAlign w:val="bottom"/>
            <w:shd w:val="clear" w:color="auto" w:fill="BAD3EA"/>
          </w:tcPr>
          <w:p>
            <w:pPr>
              <w:jc w:val="right"/>
              <w:ind w:right="168"/>
              <w:spacing w:after="0"/>
              <w:rPr>
                <w:sz w:val="20"/>
                <w:szCs w:val="20"/>
                <w:color w:val="auto"/>
              </w:rPr>
            </w:pPr>
            <w:r>
              <w:rPr>
                <w:rFonts w:ascii="Arial" w:cs="Arial" w:eastAsia="Arial" w:hAnsi="Arial"/>
                <w:sz w:val="14"/>
                <w:szCs w:val="14"/>
                <w:color w:val="auto"/>
              </w:rPr>
              <w:t>3,292</w:t>
            </w:r>
          </w:p>
        </w:tc>
        <w:tc>
          <w:tcPr>
            <w:tcW w:w="920" w:type="dxa"/>
            <w:vAlign w:val="bottom"/>
            <w:shd w:val="clear" w:color="auto" w:fill="BAD3EA"/>
          </w:tcPr>
          <w:p>
            <w:pPr>
              <w:jc w:val="right"/>
              <w:ind w:right="228"/>
              <w:spacing w:after="0"/>
              <w:rPr>
                <w:sz w:val="20"/>
                <w:szCs w:val="20"/>
                <w:color w:val="auto"/>
              </w:rPr>
            </w:pPr>
            <w:r>
              <w:rPr>
                <w:rFonts w:ascii="Arial" w:cs="Arial" w:eastAsia="Arial" w:hAnsi="Arial"/>
                <w:sz w:val="14"/>
                <w:szCs w:val="14"/>
                <w:color w:val="auto"/>
              </w:rPr>
              <w:t>6,584</w:t>
            </w:r>
          </w:p>
        </w:tc>
        <w:tc>
          <w:tcPr>
            <w:tcW w:w="680" w:type="dxa"/>
            <w:vAlign w:val="bottom"/>
            <w:shd w:val="clear" w:color="auto" w:fill="BAD3EA"/>
          </w:tcPr>
          <w:p>
            <w:pPr>
              <w:jc w:val="center"/>
              <w:ind w:left="108"/>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BAD3EA"/>
          </w:tcPr>
          <w:p>
            <w:pPr>
              <w:jc w:val="center"/>
              <w:spacing w:after="0"/>
              <w:rPr>
                <w:sz w:val="20"/>
                <w:szCs w:val="20"/>
                <w:color w:val="auto"/>
              </w:rPr>
            </w:pPr>
            <w:r>
              <w:rPr>
                <w:rFonts w:ascii="Arial" w:cs="Arial" w:eastAsia="Arial" w:hAnsi="Arial"/>
                <w:sz w:val="14"/>
                <w:szCs w:val="14"/>
                <w:color w:val="auto"/>
              </w:rPr>
              <w:t>$1,100,088</w:t>
            </w:r>
          </w:p>
        </w:tc>
        <w:tc>
          <w:tcPr>
            <w:tcW w:w="0" w:type="dxa"/>
            <w:vAlign w:val="bottom"/>
          </w:tcPr>
          <w:p>
            <w:pPr>
              <w:spacing w:after="0"/>
              <w:rPr>
                <w:sz w:val="1"/>
                <w:szCs w:val="1"/>
                <w:color w:val="auto"/>
              </w:rPr>
            </w:pPr>
          </w:p>
        </w:tc>
      </w:tr>
      <w:tr>
        <w:trPr>
          <w:trHeight w:val="260"/>
        </w:trPr>
        <w:tc>
          <w:tcPr>
            <w:tcW w:w="2520" w:type="dxa"/>
            <w:vAlign w:val="bottom"/>
            <w:tcBorders>
              <w:bottom w:val="single" w:sz="8" w:color="BAD3EA"/>
            </w:tcBorders>
            <w:shd w:val="clear" w:color="auto" w:fill="BAD3EA"/>
          </w:tcPr>
          <w:p>
            <w:pPr>
              <w:spacing w:after="0"/>
              <w:rPr>
                <w:sz w:val="22"/>
                <w:szCs w:val="22"/>
                <w:color w:val="auto"/>
              </w:rPr>
            </w:pPr>
          </w:p>
        </w:tc>
        <w:tc>
          <w:tcPr>
            <w:tcW w:w="94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4"/>
                <w:szCs w:val="14"/>
                <w:color w:val="auto"/>
              </w:rPr>
              <w:t>02/12/2018</w:t>
            </w:r>
          </w:p>
        </w:tc>
        <w:tc>
          <w:tcPr>
            <w:tcW w:w="48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4"/>
                <w:szCs w:val="14"/>
                <w:color w:val="auto"/>
              </w:rPr>
              <w:t>(5)</w:t>
            </w:r>
          </w:p>
        </w:tc>
        <w:tc>
          <w:tcPr>
            <w:tcW w:w="76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4"/>
                <w:szCs w:val="14"/>
                <w:color w:val="auto"/>
              </w:rPr>
              <w:t>$131,250</w:t>
            </w:r>
          </w:p>
        </w:tc>
        <w:tc>
          <w:tcPr>
            <w:tcW w:w="14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4"/>
                <w:szCs w:val="14"/>
                <w:color w:val="auto"/>
              </w:rPr>
              <w:t>525,000</w:t>
            </w:r>
          </w:p>
        </w:tc>
        <w:tc>
          <w:tcPr>
            <w:tcW w:w="14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BAD3EA"/>
            </w:tcBorders>
            <w:shd w:val="clear" w:color="auto" w:fill="BAD3EA"/>
          </w:tcPr>
          <w:p>
            <w:pPr>
              <w:jc w:val="right"/>
              <w:ind w:right="188"/>
              <w:spacing w:after="0"/>
              <w:rPr>
                <w:sz w:val="20"/>
                <w:szCs w:val="20"/>
                <w:color w:val="auto"/>
              </w:rPr>
            </w:pPr>
            <w:r>
              <w:rPr>
                <w:rFonts w:ascii="Arial" w:cs="Arial" w:eastAsia="Arial" w:hAnsi="Arial"/>
                <w:sz w:val="14"/>
                <w:szCs w:val="14"/>
                <w:color w:val="auto"/>
                <w:w w:val="99"/>
              </w:rPr>
              <w:t>1,181,250</w:t>
            </w:r>
          </w:p>
        </w:tc>
        <w:tc>
          <w:tcPr>
            <w:tcW w:w="980" w:type="dxa"/>
            <w:vAlign w:val="bottom"/>
            <w:tcBorders>
              <w:bottom w:val="single" w:sz="8" w:color="BAD3EA"/>
            </w:tcBorders>
            <w:shd w:val="clear" w:color="auto" w:fill="BAD3EA"/>
          </w:tcPr>
          <w:p>
            <w:pPr>
              <w:jc w:val="center"/>
              <w:ind w:left="128"/>
              <w:spacing w:after="0"/>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BAD3EA"/>
            </w:tcBorders>
            <w:shd w:val="clear" w:color="auto" w:fill="BAD3EA"/>
          </w:tcPr>
          <w:p>
            <w:pPr>
              <w:jc w:val="center"/>
              <w:ind w:right="68"/>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BAD3EA"/>
            </w:tcBorders>
            <w:shd w:val="clear" w:color="auto" w:fill="BAD3EA"/>
          </w:tcPr>
          <w:p>
            <w:pPr>
              <w:jc w:val="center"/>
              <w:ind w:left="108"/>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BAD3EA"/>
            </w:tcBorders>
            <w:shd w:val="clear" w:color="auto" w:fill="BAD3EA"/>
          </w:tcPr>
          <w:p>
            <w:pPr>
              <w:ind w:lef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520" w:type="dxa"/>
            <w:vAlign w:val="bottom"/>
            <w:tcBorders>
              <w:top w:val="single" w:sz="8" w:color="auto"/>
            </w:tcBorders>
            <w:shd w:val="clear" w:color="auto" w:fill="E8F0F8"/>
          </w:tcPr>
          <w:p>
            <w:pPr>
              <w:ind w:left="60"/>
              <w:spacing w:after="0"/>
              <w:rPr>
                <w:sz w:val="20"/>
                <w:szCs w:val="20"/>
                <w:color w:val="auto"/>
              </w:rPr>
            </w:pPr>
            <w:r>
              <w:rPr>
                <w:rFonts w:ascii="Arial" w:cs="Arial" w:eastAsia="Arial" w:hAnsi="Arial"/>
                <w:sz w:val="14"/>
                <w:szCs w:val="14"/>
                <w:color w:val="auto"/>
              </w:rPr>
              <w:t>Michael D. Ehlers</w:t>
            </w:r>
          </w:p>
        </w:tc>
        <w:tc>
          <w:tcPr>
            <w:tcW w:w="940" w:type="dxa"/>
            <w:vAlign w:val="bottom"/>
            <w:tcBorders>
              <w:top w:val="single" w:sz="8" w:color="auto"/>
            </w:tcBorders>
            <w:shd w:val="clear" w:color="auto" w:fill="E8F0F8"/>
          </w:tcPr>
          <w:p>
            <w:pPr>
              <w:jc w:val="right"/>
              <w:spacing w:after="0"/>
              <w:rPr>
                <w:sz w:val="20"/>
                <w:szCs w:val="20"/>
                <w:color w:val="auto"/>
              </w:rPr>
            </w:pPr>
            <w:r>
              <w:rPr>
                <w:rFonts w:ascii="Arial" w:cs="Arial" w:eastAsia="Arial" w:hAnsi="Arial"/>
                <w:sz w:val="14"/>
                <w:szCs w:val="14"/>
                <w:color w:val="auto"/>
              </w:rPr>
              <w:t>02/12/2018</w:t>
            </w:r>
          </w:p>
        </w:tc>
        <w:tc>
          <w:tcPr>
            <w:tcW w:w="480" w:type="dxa"/>
            <w:vAlign w:val="bottom"/>
            <w:tcBorders>
              <w:top w:val="single" w:sz="8" w:color="auto"/>
            </w:tcBorders>
            <w:shd w:val="clear" w:color="auto" w:fill="E8F0F8"/>
          </w:tcPr>
          <w:p>
            <w:pPr>
              <w:jc w:val="center"/>
              <w:spacing w:after="0"/>
              <w:rPr>
                <w:sz w:val="20"/>
                <w:szCs w:val="20"/>
                <w:color w:val="auto"/>
              </w:rPr>
            </w:pPr>
            <w:r>
              <w:rPr>
                <w:rFonts w:ascii="Arial" w:cs="Arial" w:eastAsia="Arial" w:hAnsi="Arial"/>
                <w:sz w:val="14"/>
                <w:szCs w:val="14"/>
                <w:color w:val="auto"/>
              </w:rPr>
              <w:t>(3)</w:t>
            </w:r>
          </w:p>
        </w:tc>
        <w:tc>
          <w:tcPr>
            <w:tcW w:w="760" w:type="dxa"/>
            <w:vAlign w:val="bottom"/>
            <w:tcBorders>
              <w:top w:val="single" w:sz="8" w:color="auto"/>
            </w:tcBorders>
            <w:shd w:val="clear" w:color="auto" w:fill="E8F0F8"/>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shd w:val="clear" w:color="auto" w:fill="E8F0F8"/>
          </w:tcPr>
          <w:p>
            <w:pPr>
              <w:spacing w:after="0"/>
              <w:rPr>
                <w:sz w:val="17"/>
                <w:szCs w:val="17"/>
                <w:color w:val="auto"/>
              </w:rPr>
            </w:pPr>
          </w:p>
        </w:tc>
        <w:tc>
          <w:tcPr>
            <w:tcW w:w="720" w:type="dxa"/>
            <w:vAlign w:val="bottom"/>
            <w:tcBorders>
              <w:top w:val="single" w:sz="8" w:color="auto"/>
            </w:tcBorders>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Borders>
              <w:top w:val="single" w:sz="8" w:color="auto"/>
            </w:tcBorders>
            <w:shd w:val="clear" w:color="auto" w:fill="E8F0F8"/>
          </w:tcPr>
          <w:p>
            <w:pPr>
              <w:spacing w:after="0"/>
              <w:rPr>
                <w:sz w:val="17"/>
                <w:szCs w:val="17"/>
                <w:color w:val="auto"/>
              </w:rPr>
            </w:pPr>
          </w:p>
        </w:tc>
        <w:tc>
          <w:tcPr>
            <w:tcW w:w="900" w:type="dxa"/>
            <w:vAlign w:val="bottom"/>
            <w:tcBorders>
              <w:top w:val="single" w:sz="8" w:color="auto"/>
            </w:tcBorders>
            <w:shd w:val="clear" w:color="auto" w:fill="E8F0F8"/>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E8F0F8"/>
          </w:tcPr>
          <w:p>
            <w:pPr>
              <w:jc w:val="center"/>
              <w:ind w:left="148"/>
              <w:spacing w:after="0"/>
              <w:rPr>
                <w:sz w:val="20"/>
                <w:szCs w:val="20"/>
                <w:color w:val="auto"/>
              </w:rPr>
            </w:pPr>
            <w:r>
              <w:rPr>
                <w:rFonts w:ascii="Arial" w:cs="Arial" w:eastAsia="Arial" w:hAnsi="Arial"/>
                <w:sz w:val="14"/>
                <w:szCs w:val="14"/>
                <w:color w:val="auto"/>
              </w:rPr>
              <w:t>2,960</w:t>
            </w:r>
          </w:p>
        </w:tc>
        <w:tc>
          <w:tcPr>
            <w:tcW w:w="940" w:type="dxa"/>
            <w:vAlign w:val="bottom"/>
            <w:tcBorders>
              <w:top w:val="single" w:sz="8" w:color="auto"/>
            </w:tcBorders>
            <w:shd w:val="clear" w:color="auto" w:fill="E8F0F8"/>
          </w:tcPr>
          <w:p>
            <w:pPr>
              <w:jc w:val="right"/>
              <w:ind w:right="168"/>
              <w:spacing w:after="0"/>
              <w:rPr>
                <w:sz w:val="20"/>
                <w:szCs w:val="20"/>
                <w:color w:val="auto"/>
              </w:rPr>
            </w:pPr>
            <w:r>
              <w:rPr>
                <w:rFonts w:ascii="Arial" w:cs="Arial" w:eastAsia="Arial" w:hAnsi="Arial"/>
                <w:sz w:val="14"/>
                <w:szCs w:val="14"/>
                <w:color w:val="auto"/>
              </w:rPr>
              <w:t>5,920</w:t>
            </w:r>
          </w:p>
        </w:tc>
        <w:tc>
          <w:tcPr>
            <w:tcW w:w="920" w:type="dxa"/>
            <w:vAlign w:val="bottom"/>
            <w:tcBorders>
              <w:top w:val="single" w:sz="8" w:color="auto"/>
            </w:tcBorders>
            <w:shd w:val="clear" w:color="auto" w:fill="E8F0F8"/>
          </w:tcPr>
          <w:p>
            <w:pPr>
              <w:jc w:val="center"/>
              <w:ind w:right="48"/>
              <w:spacing w:after="0"/>
              <w:rPr>
                <w:sz w:val="20"/>
                <w:szCs w:val="20"/>
                <w:color w:val="auto"/>
              </w:rPr>
            </w:pPr>
            <w:r>
              <w:rPr>
                <w:rFonts w:ascii="Arial" w:cs="Arial" w:eastAsia="Arial" w:hAnsi="Arial"/>
                <w:sz w:val="14"/>
                <w:szCs w:val="14"/>
                <w:color w:val="auto"/>
              </w:rPr>
              <w:t>11,840</w:t>
            </w:r>
          </w:p>
        </w:tc>
        <w:tc>
          <w:tcPr>
            <w:tcW w:w="680" w:type="dxa"/>
            <w:vAlign w:val="bottom"/>
            <w:tcBorders>
              <w:top w:val="single" w:sz="8" w:color="auto"/>
            </w:tcBorders>
            <w:shd w:val="clear" w:color="auto" w:fill="E8F0F8"/>
          </w:tcPr>
          <w:p>
            <w:pPr>
              <w:jc w:val="center"/>
              <w:ind w:left="108"/>
              <w:spacing w:after="0"/>
              <w:rPr>
                <w:sz w:val="20"/>
                <w:szCs w:val="20"/>
                <w:color w:val="auto"/>
              </w:rPr>
            </w:pPr>
            <w:r>
              <w:rPr>
                <w:rFonts w:ascii="Arial" w:cs="Arial" w:eastAsia="Arial" w:hAnsi="Arial"/>
                <w:sz w:val="14"/>
                <w:szCs w:val="14"/>
                <w:color w:val="auto"/>
                <w:w w:val="99"/>
              </w:rPr>
              <w:t>—</w:t>
            </w:r>
          </w:p>
        </w:tc>
        <w:tc>
          <w:tcPr>
            <w:tcW w:w="900" w:type="dxa"/>
            <w:vAlign w:val="bottom"/>
            <w:tcBorders>
              <w:top w:val="single" w:sz="8" w:color="auto"/>
            </w:tcBorders>
            <w:shd w:val="clear" w:color="auto" w:fill="E8F0F8"/>
          </w:tcPr>
          <w:p>
            <w:pPr>
              <w:jc w:val="center"/>
              <w:spacing w:after="0"/>
              <w:rPr>
                <w:sz w:val="20"/>
                <w:szCs w:val="20"/>
                <w:color w:val="auto"/>
              </w:rPr>
            </w:pPr>
            <w:r>
              <w:rPr>
                <w:rFonts w:ascii="Arial" w:cs="Arial" w:eastAsia="Arial" w:hAnsi="Arial"/>
                <w:sz w:val="14"/>
                <w:szCs w:val="14"/>
                <w:color w:val="auto"/>
              </w:rPr>
              <w:t>$2,235,068</w:t>
            </w:r>
          </w:p>
        </w:tc>
        <w:tc>
          <w:tcPr>
            <w:tcW w:w="0" w:type="dxa"/>
            <w:vAlign w:val="bottom"/>
          </w:tcPr>
          <w:p>
            <w:pPr>
              <w:spacing w:after="0"/>
              <w:rPr>
                <w:sz w:val="1"/>
                <w:szCs w:val="1"/>
                <w:color w:val="auto"/>
              </w:rPr>
            </w:pPr>
          </w:p>
        </w:tc>
      </w:tr>
      <w:tr>
        <w:trPr>
          <w:trHeight w:val="230"/>
        </w:trPr>
        <w:tc>
          <w:tcPr>
            <w:tcW w:w="2520" w:type="dxa"/>
            <w:vAlign w:val="bottom"/>
            <w:shd w:val="clear" w:color="auto" w:fill="E8F0F8"/>
          </w:tcPr>
          <w:p>
            <w:pPr>
              <w:spacing w:after="0"/>
              <w:rPr>
                <w:sz w:val="19"/>
                <w:szCs w:val="19"/>
                <w:color w:val="auto"/>
              </w:rPr>
            </w:pPr>
          </w:p>
        </w:tc>
        <w:tc>
          <w:tcPr>
            <w:tcW w:w="940" w:type="dxa"/>
            <w:vAlign w:val="bottom"/>
            <w:shd w:val="clear" w:color="auto" w:fill="E8F0F8"/>
          </w:tcPr>
          <w:p>
            <w:pPr>
              <w:jc w:val="right"/>
              <w:spacing w:after="0"/>
              <w:rPr>
                <w:sz w:val="20"/>
                <w:szCs w:val="20"/>
                <w:color w:val="auto"/>
              </w:rPr>
            </w:pPr>
            <w:r>
              <w:rPr>
                <w:rFonts w:ascii="Arial" w:cs="Arial" w:eastAsia="Arial" w:hAnsi="Arial"/>
                <w:sz w:val="14"/>
                <w:szCs w:val="14"/>
                <w:color w:val="auto"/>
              </w:rPr>
              <w:t>02/12/2018</w:t>
            </w:r>
          </w:p>
        </w:tc>
        <w:tc>
          <w:tcPr>
            <w:tcW w:w="48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(4)</w:t>
            </w:r>
          </w:p>
        </w:tc>
        <w:tc>
          <w:tcPr>
            <w:tcW w:w="760" w:type="dxa"/>
            <w:vAlign w:val="bottom"/>
            <w:shd w:val="clear" w:color="auto" w:fill="E8F0F8"/>
          </w:tcPr>
          <w:p>
            <w:pPr>
              <w:ind w:lef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8F0F8"/>
          </w:tcPr>
          <w:p>
            <w:pPr>
              <w:spacing w:after="0"/>
              <w:rPr>
                <w:sz w:val="19"/>
                <w:szCs w:val="19"/>
                <w:color w:val="auto"/>
              </w:rPr>
            </w:pPr>
          </w:p>
        </w:tc>
        <w:tc>
          <w:tcPr>
            <w:tcW w:w="720" w:type="dxa"/>
            <w:vAlign w:val="bottom"/>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E8F0F8"/>
          </w:tcPr>
          <w:p>
            <w:pPr>
              <w:spacing w:after="0"/>
              <w:rPr>
                <w:sz w:val="19"/>
                <w:szCs w:val="19"/>
                <w:color w:val="auto"/>
              </w:rPr>
            </w:pPr>
          </w:p>
        </w:tc>
        <w:tc>
          <w:tcPr>
            <w:tcW w:w="900" w:type="dxa"/>
            <w:vAlign w:val="bottom"/>
            <w:shd w:val="clear" w:color="auto" w:fill="E8F0F8"/>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shd w:val="clear" w:color="auto" w:fill="E8F0F8"/>
          </w:tcPr>
          <w:p>
            <w:pPr>
              <w:jc w:val="center"/>
              <w:ind w:left="148"/>
              <w:spacing w:after="0"/>
              <w:rPr>
                <w:sz w:val="20"/>
                <w:szCs w:val="20"/>
                <w:color w:val="auto"/>
              </w:rPr>
            </w:pPr>
            <w:r>
              <w:rPr>
                <w:rFonts w:ascii="Arial" w:cs="Arial" w:eastAsia="Arial" w:hAnsi="Arial"/>
                <w:sz w:val="14"/>
                <w:szCs w:val="14"/>
                <w:color w:val="auto"/>
              </w:rPr>
              <w:t>2,169</w:t>
            </w:r>
          </w:p>
        </w:tc>
        <w:tc>
          <w:tcPr>
            <w:tcW w:w="940" w:type="dxa"/>
            <w:vAlign w:val="bottom"/>
            <w:shd w:val="clear" w:color="auto" w:fill="E8F0F8"/>
          </w:tcPr>
          <w:p>
            <w:pPr>
              <w:jc w:val="right"/>
              <w:ind w:right="168"/>
              <w:spacing w:after="0"/>
              <w:rPr>
                <w:sz w:val="20"/>
                <w:szCs w:val="20"/>
                <w:color w:val="auto"/>
              </w:rPr>
            </w:pPr>
            <w:r>
              <w:rPr>
                <w:rFonts w:ascii="Arial" w:cs="Arial" w:eastAsia="Arial" w:hAnsi="Arial"/>
                <w:sz w:val="14"/>
                <w:szCs w:val="14"/>
                <w:color w:val="auto"/>
              </w:rPr>
              <w:t>4,337</w:t>
            </w:r>
          </w:p>
        </w:tc>
        <w:tc>
          <w:tcPr>
            <w:tcW w:w="920" w:type="dxa"/>
            <w:vAlign w:val="bottom"/>
            <w:shd w:val="clear" w:color="auto" w:fill="E8F0F8"/>
          </w:tcPr>
          <w:p>
            <w:pPr>
              <w:jc w:val="right"/>
              <w:ind w:right="228"/>
              <w:spacing w:after="0"/>
              <w:rPr>
                <w:sz w:val="20"/>
                <w:szCs w:val="20"/>
                <w:color w:val="auto"/>
              </w:rPr>
            </w:pPr>
            <w:r>
              <w:rPr>
                <w:rFonts w:ascii="Arial" w:cs="Arial" w:eastAsia="Arial" w:hAnsi="Arial"/>
                <w:sz w:val="14"/>
                <w:szCs w:val="14"/>
                <w:color w:val="auto"/>
              </w:rPr>
              <w:t>8,674</w:t>
            </w:r>
          </w:p>
        </w:tc>
        <w:tc>
          <w:tcPr>
            <w:tcW w:w="680" w:type="dxa"/>
            <w:vAlign w:val="bottom"/>
            <w:shd w:val="clear" w:color="auto" w:fill="E8F0F8"/>
          </w:tcPr>
          <w:p>
            <w:pPr>
              <w:jc w:val="center"/>
              <w:ind w:left="108"/>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$1,373,224</w:t>
            </w:r>
          </w:p>
        </w:tc>
        <w:tc>
          <w:tcPr>
            <w:tcW w:w="0" w:type="dxa"/>
            <w:vAlign w:val="bottom"/>
          </w:tcPr>
          <w:p>
            <w:pPr>
              <w:spacing w:after="0"/>
              <w:rPr>
                <w:sz w:val="1"/>
                <w:szCs w:val="1"/>
                <w:color w:val="auto"/>
              </w:rPr>
            </w:pPr>
          </w:p>
        </w:tc>
      </w:tr>
      <w:tr>
        <w:trPr>
          <w:trHeight w:val="230"/>
        </w:trPr>
        <w:tc>
          <w:tcPr>
            <w:tcW w:w="2520" w:type="dxa"/>
            <w:vAlign w:val="bottom"/>
            <w:shd w:val="clear" w:color="auto" w:fill="E8F0F8"/>
          </w:tcPr>
          <w:p>
            <w:pPr>
              <w:spacing w:after="0"/>
              <w:rPr>
                <w:sz w:val="19"/>
                <w:szCs w:val="19"/>
                <w:color w:val="auto"/>
              </w:rPr>
            </w:pPr>
          </w:p>
        </w:tc>
        <w:tc>
          <w:tcPr>
            <w:tcW w:w="940" w:type="dxa"/>
            <w:vAlign w:val="bottom"/>
            <w:shd w:val="clear" w:color="auto" w:fill="E8F0F8"/>
          </w:tcPr>
          <w:p>
            <w:pPr>
              <w:jc w:val="right"/>
              <w:spacing w:after="0"/>
              <w:rPr>
                <w:sz w:val="20"/>
                <w:szCs w:val="20"/>
                <w:color w:val="auto"/>
              </w:rPr>
            </w:pPr>
            <w:r>
              <w:rPr>
                <w:rFonts w:ascii="Arial" w:cs="Arial" w:eastAsia="Arial" w:hAnsi="Arial"/>
                <w:sz w:val="14"/>
                <w:szCs w:val="14"/>
                <w:color w:val="auto"/>
              </w:rPr>
              <w:t>02/12/2018</w:t>
            </w:r>
          </w:p>
        </w:tc>
        <w:tc>
          <w:tcPr>
            <w:tcW w:w="48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(5)</w:t>
            </w:r>
          </w:p>
        </w:tc>
        <w:tc>
          <w:tcPr>
            <w:tcW w:w="76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$145,966</w:t>
            </w:r>
          </w:p>
        </w:tc>
        <w:tc>
          <w:tcPr>
            <w:tcW w:w="14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8F0F8"/>
          </w:tcPr>
          <w:p>
            <w:pPr>
              <w:jc w:val="right"/>
              <w:spacing w:after="0"/>
              <w:rPr>
                <w:sz w:val="20"/>
                <w:szCs w:val="20"/>
                <w:color w:val="auto"/>
              </w:rPr>
            </w:pPr>
            <w:r>
              <w:rPr>
                <w:rFonts w:ascii="Arial" w:cs="Arial" w:eastAsia="Arial" w:hAnsi="Arial"/>
                <w:sz w:val="14"/>
                <w:szCs w:val="14"/>
                <w:color w:val="auto"/>
              </w:rPr>
              <w:t>583,866</w:t>
            </w:r>
          </w:p>
        </w:tc>
        <w:tc>
          <w:tcPr>
            <w:tcW w:w="14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8F0F8"/>
          </w:tcPr>
          <w:p>
            <w:pPr>
              <w:jc w:val="right"/>
              <w:ind w:right="188"/>
              <w:spacing w:after="0"/>
              <w:rPr>
                <w:sz w:val="20"/>
                <w:szCs w:val="20"/>
                <w:color w:val="auto"/>
              </w:rPr>
            </w:pPr>
            <w:r>
              <w:rPr>
                <w:rFonts w:ascii="Arial" w:cs="Arial" w:eastAsia="Arial" w:hAnsi="Arial"/>
                <w:sz w:val="14"/>
                <w:szCs w:val="14"/>
                <w:color w:val="auto"/>
                <w:w w:val="99"/>
              </w:rPr>
              <w:t>1,313,698</w:t>
            </w:r>
          </w:p>
        </w:tc>
        <w:tc>
          <w:tcPr>
            <w:tcW w:w="980" w:type="dxa"/>
            <w:vAlign w:val="bottom"/>
            <w:shd w:val="clear" w:color="auto" w:fill="E8F0F8"/>
          </w:tcPr>
          <w:p>
            <w:pPr>
              <w:jc w:val="center"/>
              <w:ind w:left="128"/>
              <w:spacing w:after="0"/>
              <w:rPr>
                <w:sz w:val="20"/>
                <w:szCs w:val="20"/>
                <w:color w:val="auto"/>
              </w:rPr>
            </w:pPr>
            <w:r>
              <w:rPr>
                <w:rFonts w:ascii="Arial" w:cs="Arial" w:eastAsia="Arial" w:hAnsi="Arial"/>
                <w:sz w:val="14"/>
                <w:szCs w:val="14"/>
                <w:color w:val="auto"/>
                <w:w w:val="99"/>
              </w:rPr>
              <w:t>—</w:t>
            </w:r>
          </w:p>
        </w:tc>
        <w:tc>
          <w:tcPr>
            <w:tcW w:w="940" w:type="dxa"/>
            <w:vAlign w:val="bottom"/>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shd w:val="clear" w:color="auto" w:fill="E8F0F8"/>
          </w:tcPr>
          <w:p>
            <w:pPr>
              <w:jc w:val="center"/>
              <w:ind w:right="68"/>
              <w:spacing w:after="0"/>
              <w:rPr>
                <w:sz w:val="20"/>
                <w:szCs w:val="20"/>
                <w:color w:val="auto"/>
              </w:rPr>
            </w:pPr>
            <w:r>
              <w:rPr>
                <w:rFonts w:ascii="Arial" w:cs="Arial" w:eastAsia="Arial" w:hAnsi="Arial"/>
                <w:sz w:val="14"/>
                <w:szCs w:val="14"/>
                <w:color w:val="auto"/>
                <w:w w:val="99"/>
              </w:rPr>
              <w:t>—</w:t>
            </w:r>
          </w:p>
        </w:tc>
        <w:tc>
          <w:tcPr>
            <w:tcW w:w="680" w:type="dxa"/>
            <w:vAlign w:val="bottom"/>
            <w:shd w:val="clear" w:color="auto" w:fill="E8F0F8"/>
          </w:tcPr>
          <w:p>
            <w:pPr>
              <w:jc w:val="center"/>
              <w:ind w:left="108"/>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E8F0F8"/>
          </w:tcPr>
          <w:p>
            <w:pPr>
              <w:ind w:lef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0"/>
        </w:trPr>
        <w:tc>
          <w:tcPr>
            <w:tcW w:w="2520" w:type="dxa"/>
            <w:vAlign w:val="bottom"/>
            <w:tcBorders>
              <w:bottom w:val="single" w:sz="8" w:color="E8F0F8"/>
            </w:tcBorders>
            <w:shd w:val="clear" w:color="auto" w:fill="E8F0F8"/>
          </w:tcPr>
          <w:p>
            <w:pPr>
              <w:spacing w:after="0"/>
              <w:rPr>
                <w:sz w:val="22"/>
                <w:szCs w:val="22"/>
                <w:color w:val="auto"/>
              </w:rPr>
            </w:pPr>
          </w:p>
        </w:tc>
        <w:tc>
          <w:tcPr>
            <w:tcW w:w="9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4"/>
                <w:szCs w:val="14"/>
                <w:color w:val="auto"/>
              </w:rPr>
              <w:t>02/12/2018</w:t>
            </w:r>
          </w:p>
        </w:tc>
        <w:tc>
          <w:tcPr>
            <w:tcW w:w="48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4"/>
                <w:szCs w:val="14"/>
                <w:color w:val="auto"/>
              </w:rPr>
              <w:t>(6)</w:t>
            </w:r>
          </w:p>
        </w:tc>
        <w:tc>
          <w:tcPr>
            <w:tcW w:w="760" w:type="dxa"/>
            <w:vAlign w:val="bottom"/>
            <w:tcBorders>
              <w:bottom w:val="single" w:sz="8" w:color="E8F0F8"/>
            </w:tcBorders>
            <w:shd w:val="clear" w:color="auto" w:fill="E8F0F8"/>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8F0F8"/>
            </w:tcBorders>
            <w:shd w:val="clear" w:color="auto" w:fill="E8F0F8"/>
          </w:tcPr>
          <w:p>
            <w:pPr>
              <w:spacing w:after="0"/>
              <w:rPr>
                <w:sz w:val="22"/>
                <w:szCs w:val="22"/>
                <w:color w:val="auto"/>
              </w:rPr>
            </w:pPr>
          </w:p>
        </w:tc>
        <w:tc>
          <w:tcPr>
            <w:tcW w:w="72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E8F0F8"/>
            </w:tcBorders>
            <w:shd w:val="clear" w:color="auto" w:fill="E8F0F8"/>
          </w:tcPr>
          <w:p>
            <w:pPr>
              <w:spacing w:after="0"/>
              <w:rPr>
                <w:sz w:val="22"/>
                <w:szCs w:val="22"/>
                <w:color w:val="auto"/>
              </w:rPr>
            </w:pPr>
          </w:p>
        </w:tc>
        <w:tc>
          <w:tcPr>
            <w:tcW w:w="900" w:type="dxa"/>
            <w:vAlign w:val="bottom"/>
            <w:tcBorders>
              <w:bottom w:val="single" w:sz="8" w:color="E8F0F8"/>
            </w:tcBorders>
            <w:shd w:val="clear" w:color="auto" w:fill="E8F0F8"/>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E8F0F8"/>
            </w:tcBorders>
            <w:shd w:val="clear" w:color="auto" w:fill="E8F0F8"/>
          </w:tcPr>
          <w:p>
            <w:pPr>
              <w:jc w:val="center"/>
              <w:ind w:left="128"/>
              <w:spacing w:after="0"/>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E8F0F8"/>
            </w:tcBorders>
            <w:shd w:val="clear" w:color="auto" w:fill="E8F0F8"/>
          </w:tcPr>
          <w:p>
            <w:pPr>
              <w:jc w:val="center"/>
              <w:ind w:right="68"/>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E8F0F8"/>
            </w:tcBorders>
            <w:shd w:val="clear" w:color="auto" w:fill="E8F0F8"/>
          </w:tcPr>
          <w:p>
            <w:pPr>
              <w:jc w:val="center"/>
              <w:ind w:left="128"/>
              <w:spacing w:after="0"/>
              <w:rPr>
                <w:sz w:val="20"/>
                <w:szCs w:val="20"/>
                <w:color w:val="auto"/>
              </w:rPr>
            </w:pPr>
            <w:r>
              <w:rPr>
                <w:rFonts w:ascii="Arial" w:cs="Arial" w:eastAsia="Arial" w:hAnsi="Arial"/>
                <w:sz w:val="14"/>
                <w:szCs w:val="14"/>
                <w:color w:val="auto"/>
              </w:rPr>
              <w:t>4,735</w:t>
            </w:r>
          </w:p>
        </w:tc>
        <w:tc>
          <w:tcPr>
            <w:tcW w:w="90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4"/>
                <w:szCs w:val="14"/>
                <w:color w:val="auto"/>
              </w:rPr>
              <w:t>$1,499,243</w:t>
            </w:r>
          </w:p>
        </w:tc>
        <w:tc>
          <w:tcPr>
            <w:tcW w:w="0" w:type="dxa"/>
            <w:vAlign w:val="bottom"/>
          </w:tcPr>
          <w:p>
            <w:pPr>
              <w:spacing w:after="0"/>
              <w:rPr>
                <w:sz w:val="1"/>
                <w:szCs w:val="1"/>
                <w:color w:val="auto"/>
              </w:rPr>
            </w:pPr>
          </w:p>
        </w:tc>
      </w:tr>
      <w:tr>
        <w:trPr>
          <w:trHeight w:val="198"/>
        </w:trPr>
        <w:tc>
          <w:tcPr>
            <w:tcW w:w="2520" w:type="dxa"/>
            <w:vAlign w:val="bottom"/>
            <w:tcBorders>
              <w:top w:val="single" w:sz="8" w:color="auto"/>
            </w:tcBorders>
            <w:shd w:val="clear" w:color="auto" w:fill="BAD3EA"/>
          </w:tcPr>
          <w:p>
            <w:pPr>
              <w:ind w:left="60"/>
              <w:spacing w:after="0"/>
              <w:rPr>
                <w:sz w:val="20"/>
                <w:szCs w:val="20"/>
                <w:color w:val="auto"/>
              </w:rPr>
            </w:pPr>
            <w:r>
              <w:rPr>
                <w:rFonts w:ascii="Arial" w:cs="Arial" w:eastAsia="Arial" w:hAnsi="Arial"/>
                <w:sz w:val="14"/>
                <w:szCs w:val="14"/>
                <w:color w:val="auto"/>
              </w:rPr>
              <w:t>Susan H. Alexander</w:t>
            </w:r>
          </w:p>
        </w:tc>
        <w:tc>
          <w:tcPr>
            <w:tcW w:w="940" w:type="dxa"/>
            <w:vAlign w:val="bottom"/>
            <w:tcBorders>
              <w:top w:val="single" w:sz="8" w:color="auto"/>
            </w:tcBorders>
            <w:shd w:val="clear" w:color="auto" w:fill="BAD3EA"/>
          </w:tcPr>
          <w:p>
            <w:pPr>
              <w:jc w:val="right"/>
              <w:spacing w:after="0"/>
              <w:rPr>
                <w:sz w:val="20"/>
                <w:szCs w:val="20"/>
                <w:color w:val="auto"/>
              </w:rPr>
            </w:pPr>
            <w:r>
              <w:rPr>
                <w:rFonts w:ascii="Arial" w:cs="Arial" w:eastAsia="Arial" w:hAnsi="Arial"/>
                <w:sz w:val="14"/>
                <w:szCs w:val="14"/>
                <w:color w:val="auto"/>
              </w:rPr>
              <w:t>02/12/2018</w:t>
            </w:r>
          </w:p>
        </w:tc>
        <w:tc>
          <w:tcPr>
            <w:tcW w:w="480" w:type="dxa"/>
            <w:vAlign w:val="bottom"/>
            <w:tcBorders>
              <w:top w:val="single" w:sz="8" w:color="auto"/>
            </w:tcBorders>
            <w:shd w:val="clear" w:color="auto" w:fill="BAD3EA"/>
          </w:tcPr>
          <w:p>
            <w:pPr>
              <w:jc w:val="center"/>
              <w:spacing w:after="0"/>
              <w:rPr>
                <w:sz w:val="20"/>
                <w:szCs w:val="20"/>
                <w:color w:val="auto"/>
              </w:rPr>
            </w:pPr>
            <w:r>
              <w:rPr>
                <w:rFonts w:ascii="Arial" w:cs="Arial" w:eastAsia="Arial" w:hAnsi="Arial"/>
                <w:sz w:val="14"/>
                <w:szCs w:val="14"/>
                <w:color w:val="auto"/>
              </w:rPr>
              <w:t>(3)</w:t>
            </w:r>
          </w:p>
        </w:tc>
        <w:tc>
          <w:tcPr>
            <w:tcW w:w="760" w:type="dxa"/>
            <w:vAlign w:val="bottom"/>
            <w:tcBorders>
              <w:top w:val="single" w:sz="8" w:color="auto"/>
            </w:tcBorders>
            <w:shd w:val="clear" w:color="auto" w:fill="BAD3EA"/>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shd w:val="clear" w:color="auto" w:fill="BAD3EA"/>
          </w:tcPr>
          <w:p>
            <w:pPr>
              <w:spacing w:after="0"/>
              <w:rPr>
                <w:sz w:val="17"/>
                <w:szCs w:val="17"/>
                <w:color w:val="auto"/>
              </w:rPr>
            </w:pPr>
          </w:p>
        </w:tc>
        <w:tc>
          <w:tcPr>
            <w:tcW w:w="720" w:type="dxa"/>
            <w:vAlign w:val="bottom"/>
            <w:tcBorders>
              <w:top w:val="single" w:sz="8" w:color="auto"/>
            </w:tcBorders>
            <w:shd w:val="clear" w:color="auto" w:fill="BAD3EA"/>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Borders>
              <w:top w:val="single" w:sz="8" w:color="auto"/>
            </w:tcBorders>
            <w:shd w:val="clear" w:color="auto" w:fill="BAD3EA"/>
          </w:tcPr>
          <w:p>
            <w:pPr>
              <w:spacing w:after="0"/>
              <w:rPr>
                <w:sz w:val="17"/>
                <w:szCs w:val="17"/>
                <w:color w:val="auto"/>
              </w:rPr>
            </w:pPr>
          </w:p>
        </w:tc>
        <w:tc>
          <w:tcPr>
            <w:tcW w:w="900" w:type="dxa"/>
            <w:vAlign w:val="bottom"/>
            <w:tcBorders>
              <w:top w:val="single" w:sz="8" w:color="auto"/>
            </w:tcBorders>
            <w:shd w:val="clear" w:color="auto" w:fill="BAD3EA"/>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BAD3EA"/>
          </w:tcPr>
          <w:p>
            <w:pPr>
              <w:jc w:val="center"/>
              <w:ind w:left="148"/>
              <w:spacing w:after="0"/>
              <w:rPr>
                <w:sz w:val="20"/>
                <w:szCs w:val="20"/>
                <w:color w:val="auto"/>
              </w:rPr>
            </w:pPr>
            <w:r>
              <w:rPr>
                <w:rFonts w:ascii="Arial" w:cs="Arial" w:eastAsia="Arial" w:hAnsi="Arial"/>
                <w:sz w:val="14"/>
                <w:szCs w:val="14"/>
                <w:color w:val="auto"/>
              </w:rPr>
              <w:t>2,528</w:t>
            </w:r>
          </w:p>
        </w:tc>
        <w:tc>
          <w:tcPr>
            <w:tcW w:w="940" w:type="dxa"/>
            <w:vAlign w:val="bottom"/>
            <w:tcBorders>
              <w:top w:val="single" w:sz="8" w:color="auto"/>
            </w:tcBorders>
            <w:shd w:val="clear" w:color="auto" w:fill="BAD3EA"/>
          </w:tcPr>
          <w:p>
            <w:pPr>
              <w:jc w:val="right"/>
              <w:ind w:right="168"/>
              <w:spacing w:after="0"/>
              <w:rPr>
                <w:sz w:val="20"/>
                <w:szCs w:val="20"/>
                <w:color w:val="auto"/>
              </w:rPr>
            </w:pPr>
            <w:r>
              <w:rPr>
                <w:rFonts w:ascii="Arial" w:cs="Arial" w:eastAsia="Arial" w:hAnsi="Arial"/>
                <w:sz w:val="14"/>
                <w:szCs w:val="14"/>
                <w:color w:val="auto"/>
              </w:rPr>
              <w:t>5,055</w:t>
            </w:r>
          </w:p>
        </w:tc>
        <w:tc>
          <w:tcPr>
            <w:tcW w:w="920" w:type="dxa"/>
            <w:vAlign w:val="bottom"/>
            <w:tcBorders>
              <w:top w:val="single" w:sz="8" w:color="auto"/>
            </w:tcBorders>
            <w:shd w:val="clear" w:color="auto" w:fill="BAD3EA"/>
          </w:tcPr>
          <w:p>
            <w:pPr>
              <w:jc w:val="center"/>
              <w:ind w:right="48"/>
              <w:spacing w:after="0"/>
              <w:rPr>
                <w:sz w:val="20"/>
                <w:szCs w:val="20"/>
                <w:color w:val="auto"/>
              </w:rPr>
            </w:pPr>
            <w:r>
              <w:rPr>
                <w:rFonts w:ascii="Arial" w:cs="Arial" w:eastAsia="Arial" w:hAnsi="Arial"/>
                <w:sz w:val="14"/>
                <w:szCs w:val="14"/>
                <w:color w:val="auto"/>
              </w:rPr>
              <w:t>10,110</w:t>
            </w:r>
          </w:p>
        </w:tc>
        <w:tc>
          <w:tcPr>
            <w:tcW w:w="680" w:type="dxa"/>
            <w:vAlign w:val="bottom"/>
            <w:tcBorders>
              <w:top w:val="single" w:sz="8" w:color="auto"/>
            </w:tcBorders>
            <w:shd w:val="clear" w:color="auto" w:fill="BAD3EA"/>
          </w:tcPr>
          <w:p>
            <w:pPr>
              <w:jc w:val="center"/>
              <w:ind w:left="108"/>
              <w:spacing w:after="0"/>
              <w:rPr>
                <w:sz w:val="20"/>
                <w:szCs w:val="20"/>
                <w:color w:val="auto"/>
              </w:rPr>
            </w:pPr>
            <w:r>
              <w:rPr>
                <w:rFonts w:ascii="Arial" w:cs="Arial" w:eastAsia="Arial" w:hAnsi="Arial"/>
                <w:sz w:val="14"/>
                <w:szCs w:val="14"/>
                <w:color w:val="auto"/>
                <w:w w:val="99"/>
              </w:rPr>
              <w:t>—</w:t>
            </w:r>
          </w:p>
        </w:tc>
        <w:tc>
          <w:tcPr>
            <w:tcW w:w="900" w:type="dxa"/>
            <w:vAlign w:val="bottom"/>
            <w:tcBorders>
              <w:top w:val="single" w:sz="8" w:color="auto"/>
            </w:tcBorders>
            <w:shd w:val="clear" w:color="auto" w:fill="BAD3EA"/>
          </w:tcPr>
          <w:p>
            <w:pPr>
              <w:jc w:val="center"/>
              <w:spacing w:after="0"/>
              <w:rPr>
                <w:sz w:val="20"/>
                <w:szCs w:val="20"/>
                <w:color w:val="auto"/>
              </w:rPr>
            </w:pPr>
            <w:r>
              <w:rPr>
                <w:rFonts w:ascii="Arial" w:cs="Arial" w:eastAsia="Arial" w:hAnsi="Arial"/>
                <w:sz w:val="14"/>
                <w:szCs w:val="14"/>
                <w:color w:val="auto"/>
              </w:rPr>
              <w:t>$1,908,558</w:t>
            </w:r>
          </w:p>
        </w:tc>
        <w:tc>
          <w:tcPr>
            <w:tcW w:w="0" w:type="dxa"/>
            <w:vAlign w:val="bottom"/>
          </w:tcPr>
          <w:p>
            <w:pPr>
              <w:spacing w:after="0"/>
              <w:rPr>
                <w:sz w:val="1"/>
                <w:szCs w:val="1"/>
                <w:color w:val="auto"/>
              </w:rPr>
            </w:pPr>
          </w:p>
        </w:tc>
      </w:tr>
      <w:tr>
        <w:trPr>
          <w:trHeight w:val="230"/>
        </w:trPr>
        <w:tc>
          <w:tcPr>
            <w:tcW w:w="2520" w:type="dxa"/>
            <w:vAlign w:val="bottom"/>
            <w:shd w:val="clear" w:color="auto" w:fill="BAD3EA"/>
          </w:tcPr>
          <w:p>
            <w:pPr>
              <w:spacing w:after="0"/>
              <w:rPr>
                <w:sz w:val="19"/>
                <w:szCs w:val="19"/>
                <w:color w:val="auto"/>
              </w:rPr>
            </w:pPr>
          </w:p>
        </w:tc>
        <w:tc>
          <w:tcPr>
            <w:tcW w:w="940" w:type="dxa"/>
            <w:vAlign w:val="bottom"/>
            <w:shd w:val="clear" w:color="auto" w:fill="BAD3EA"/>
          </w:tcPr>
          <w:p>
            <w:pPr>
              <w:jc w:val="right"/>
              <w:spacing w:after="0"/>
              <w:rPr>
                <w:sz w:val="20"/>
                <w:szCs w:val="20"/>
                <w:color w:val="auto"/>
              </w:rPr>
            </w:pPr>
            <w:r>
              <w:rPr>
                <w:rFonts w:ascii="Arial" w:cs="Arial" w:eastAsia="Arial" w:hAnsi="Arial"/>
                <w:sz w:val="14"/>
                <w:szCs w:val="14"/>
                <w:color w:val="auto"/>
              </w:rPr>
              <w:t>02/12/2018</w:t>
            </w:r>
          </w:p>
        </w:tc>
        <w:tc>
          <w:tcPr>
            <w:tcW w:w="480" w:type="dxa"/>
            <w:vAlign w:val="bottom"/>
            <w:shd w:val="clear" w:color="auto" w:fill="BAD3EA"/>
          </w:tcPr>
          <w:p>
            <w:pPr>
              <w:jc w:val="center"/>
              <w:spacing w:after="0"/>
              <w:rPr>
                <w:sz w:val="20"/>
                <w:szCs w:val="20"/>
                <w:color w:val="auto"/>
              </w:rPr>
            </w:pPr>
            <w:r>
              <w:rPr>
                <w:rFonts w:ascii="Arial" w:cs="Arial" w:eastAsia="Arial" w:hAnsi="Arial"/>
                <w:sz w:val="14"/>
                <w:szCs w:val="14"/>
                <w:color w:val="auto"/>
              </w:rPr>
              <w:t>(4)</w:t>
            </w:r>
          </w:p>
        </w:tc>
        <w:tc>
          <w:tcPr>
            <w:tcW w:w="760" w:type="dxa"/>
            <w:vAlign w:val="bottom"/>
            <w:shd w:val="clear" w:color="auto" w:fill="BAD3EA"/>
          </w:tcPr>
          <w:p>
            <w:pPr>
              <w:ind w:lef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BAD3EA"/>
          </w:tcPr>
          <w:p>
            <w:pPr>
              <w:spacing w:after="0"/>
              <w:rPr>
                <w:sz w:val="19"/>
                <w:szCs w:val="19"/>
                <w:color w:val="auto"/>
              </w:rPr>
            </w:pPr>
          </w:p>
        </w:tc>
        <w:tc>
          <w:tcPr>
            <w:tcW w:w="720" w:type="dxa"/>
            <w:vAlign w:val="bottom"/>
            <w:shd w:val="clear" w:color="auto" w:fill="BAD3EA"/>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BAD3EA"/>
          </w:tcPr>
          <w:p>
            <w:pPr>
              <w:spacing w:after="0"/>
              <w:rPr>
                <w:sz w:val="19"/>
                <w:szCs w:val="19"/>
                <w:color w:val="auto"/>
              </w:rPr>
            </w:pPr>
          </w:p>
        </w:tc>
        <w:tc>
          <w:tcPr>
            <w:tcW w:w="900" w:type="dxa"/>
            <w:vAlign w:val="bottom"/>
            <w:shd w:val="clear" w:color="auto" w:fill="BAD3EA"/>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shd w:val="clear" w:color="auto" w:fill="BAD3EA"/>
          </w:tcPr>
          <w:p>
            <w:pPr>
              <w:jc w:val="center"/>
              <w:ind w:left="148"/>
              <w:spacing w:after="0"/>
              <w:rPr>
                <w:sz w:val="20"/>
                <w:szCs w:val="20"/>
                <w:color w:val="auto"/>
              </w:rPr>
            </w:pPr>
            <w:r>
              <w:rPr>
                <w:rFonts w:ascii="Arial" w:cs="Arial" w:eastAsia="Arial" w:hAnsi="Arial"/>
                <w:sz w:val="14"/>
                <w:szCs w:val="14"/>
                <w:color w:val="auto"/>
              </w:rPr>
              <w:t>1,848</w:t>
            </w:r>
          </w:p>
        </w:tc>
        <w:tc>
          <w:tcPr>
            <w:tcW w:w="940" w:type="dxa"/>
            <w:vAlign w:val="bottom"/>
            <w:shd w:val="clear" w:color="auto" w:fill="BAD3EA"/>
          </w:tcPr>
          <w:p>
            <w:pPr>
              <w:jc w:val="right"/>
              <w:ind w:right="168"/>
              <w:spacing w:after="0"/>
              <w:rPr>
                <w:sz w:val="20"/>
                <w:szCs w:val="20"/>
                <w:color w:val="auto"/>
              </w:rPr>
            </w:pPr>
            <w:r>
              <w:rPr>
                <w:rFonts w:ascii="Arial" w:cs="Arial" w:eastAsia="Arial" w:hAnsi="Arial"/>
                <w:sz w:val="14"/>
                <w:szCs w:val="14"/>
                <w:color w:val="auto"/>
              </w:rPr>
              <w:t>3,696</w:t>
            </w:r>
          </w:p>
        </w:tc>
        <w:tc>
          <w:tcPr>
            <w:tcW w:w="920" w:type="dxa"/>
            <w:vAlign w:val="bottom"/>
            <w:shd w:val="clear" w:color="auto" w:fill="BAD3EA"/>
          </w:tcPr>
          <w:p>
            <w:pPr>
              <w:jc w:val="right"/>
              <w:ind w:right="228"/>
              <w:spacing w:after="0"/>
              <w:rPr>
                <w:sz w:val="20"/>
                <w:szCs w:val="20"/>
                <w:color w:val="auto"/>
              </w:rPr>
            </w:pPr>
            <w:r>
              <w:rPr>
                <w:rFonts w:ascii="Arial" w:cs="Arial" w:eastAsia="Arial" w:hAnsi="Arial"/>
                <w:sz w:val="14"/>
                <w:szCs w:val="14"/>
                <w:color w:val="auto"/>
              </w:rPr>
              <w:t>7,392</w:t>
            </w:r>
          </w:p>
        </w:tc>
        <w:tc>
          <w:tcPr>
            <w:tcW w:w="680" w:type="dxa"/>
            <w:vAlign w:val="bottom"/>
            <w:shd w:val="clear" w:color="auto" w:fill="BAD3EA"/>
          </w:tcPr>
          <w:p>
            <w:pPr>
              <w:jc w:val="center"/>
              <w:ind w:left="108"/>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BAD3EA"/>
          </w:tcPr>
          <w:p>
            <w:pPr>
              <w:jc w:val="center"/>
              <w:spacing w:after="0"/>
              <w:rPr>
                <w:sz w:val="20"/>
                <w:szCs w:val="20"/>
                <w:color w:val="auto"/>
              </w:rPr>
            </w:pPr>
            <w:r>
              <w:rPr>
                <w:rFonts w:ascii="Arial" w:cs="Arial" w:eastAsia="Arial" w:hAnsi="Arial"/>
                <w:sz w:val="14"/>
                <w:szCs w:val="14"/>
                <w:color w:val="auto"/>
              </w:rPr>
              <w:t>$1,170,264</w:t>
            </w:r>
          </w:p>
        </w:tc>
        <w:tc>
          <w:tcPr>
            <w:tcW w:w="0" w:type="dxa"/>
            <w:vAlign w:val="bottom"/>
          </w:tcPr>
          <w:p>
            <w:pPr>
              <w:spacing w:after="0"/>
              <w:rPr>
                <w:sz w:val="1"/>
                <w:szCs w:val="1"/>
                <w:color w:val="auto"/>
              </w:rPr>
            </w:pPr>
          </w:p>
        </w:tc>
      </w:tr>
      <w:tr>
        <w:trPr>
          <w:trHeight w:val="230"/>
        </w:trPr>
        <w:tc>
          <w:tcPr>
            <w:tcW w:w="2520" w:type="dxa"/>
            <w:vAlign w:val="bottom"/>
            <w:shd w:val="clear" w:color="auto" w:fill="BAD3EA"/>
          </w:tcPr>
          <w:p>
            <w:pPr>
              <w:spacing w:after="0"/>
              <w:rPr>
                <w:sz w:val="19"/>
                <w:szCs w:val="19"/>
                <w:color w:val="auto"/>
              </w:rPr>
            </w:pPr>
          </w:p>
        </w:tc>
        <w:tc>
          <w:tcPr>
            <w:tcW w:w="940" w:type="dxa"/>
            <w:vAlign w:val="bottom"/>
            <w:shd w:val="clear" w:color="auto" w:fill="BAD3EA"/>
          </w:tcPr>
          <w:p>
            <w:pPr>
              <w:jc w:val="right"/>
              <w:spacing w:after="0"/>
              <w:rPr>
                <w:sz w:val="20"/>
                <w:szCs w:val="20"/>
                <w:color w:val="auto"/>
              </w:rPr>
            </w:pPr>
            <w:r>
              <w:rPr>
                <w:rFonts w:ascii="Arial" w:cs="Arial" w:eastAsia="Arial" w:hAnsi="Arial"/>
                <w:sz w:val="14"/>
                <w:szCs w:val="14"/>
                <w:color w:val="auto"/>
              </w:rPr>
              <w:t>02/12/2018</w:t>
            </w:r>
          </w:p>
        </w:tc>
        <w:tc>
          <w:tcPr>
            <w:tcW w:w="480" w:type="dxa"/>
            <w:vAlign w:val="bottom"/>
            <w:shd w:val="clear" w:color="auto" w:fill="BAD3EA"/>
          </w:tcPr>
          <w:p>
            <w:pPr>
              <w:jc w:val="center"/>
              <w:spacing w:after="0"/>
              <w:rPr>
                <w:sz w:val="20"/>
                <w:szCs w:val="20"/>
                <w:color w:val="auto"/>
              </w:rPr>
            </w:pPr>
            <w:r>
              <w:rPr>
                <w:rFonts w:ascii="Arial" w:cs="Arial" w:eastAsia="Arial" w:hAnsi="Arial"/>
                <w:sz w:val="14"/>
                <w:szCs w:val="14"/>
                <w:color w:val="auto"/>
              </w:rPr>
              <w:t>(5)</w:t>
            </w:r>
          </w:p>
        </w:tc>
        <w:tc>
          <w:tcPr>
            <w:tcW w:w="760" w:type="dxa"/>
            <w:vAlign w:val="bottom"/>
            <w:shd w:val="clear" w:color="auto" w:fill="BAD3EA"/>
          </w:tcPr>
          <w:p>
            <w:pPr>
              <w:jc w:val="center"/>
              <w:spacing w:after="0"/>
              <w:rPr>
                <w:sz w:val="20"/>
                <w:szCs w:val="20"/>
                <w:color w:val="auto"/>
              </w:rPr>
            </w:pPr>
            <w:r>
              <w:rPr>
                <w:rFonts w:ascii="Arial" w:cs="Arial" w:eastAsia="Arial" w:hAnsi="Arial"/>
                <w:sz w:val="14"/>
                <w:szCs w:val="14"/>
                <w:color w:val="auto"/>
              </w:rPr>
              <w:t>$131,106</w:t>
            </w:r>
          </w:p>
        </w:tc>
        <w:tc>
          <w:tcPr>
            <w:tcW w:w="140" w:type="dxa"/>
            <w:vAlign w:val="bottom"/>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BAD3EA"/>
          </w:tcPr>
          <w:p>
            <w:pPr>
              <w:jc w:val="right"/>
              <w:spacing w:after="0"/>
              <w:rPr>
                <w:sz w:val="20"/>
                <w:szCs w:val="20"/>
                <w:color w:val="auto"/>
              </w:rPr>
            </w:pPr>
            <w:r>
              <w:rPr>
                <w:rFonts w:ascii="Arial" w:cs="Arial" w:eastAsia="Arial" w:hAnsi="Arial"/>
                <w:sz w:val="14"/>
                <w:szCs w:val="14"/>
                <w:color w:val="auto"/>
              </w:rPr>
              <w:t>524,424</w:t>
            </w:r>
          </w:p>
        </w:tc>
        <w:tc>
          <w:tcPr>
            <w:tcW w:w="140" w:type="dxa"/>
            <w:vAlign w:val="bottom"/>
            <w:shd w:val="clear" w:color="auto" w:fill="BAD3EA"/>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BAD3EA"/>
          </w:tcPr>
          <w:p>
            <w:pPr>
              <w:jc w:val="right"/>
              <w:ind w:right="188"/>
              <w:spacing w:after="0"/>
              <w:rPr>
                <w:sz w:val="20"/>
                <w:szCs w:val="20"/>
                <w:color w:val="auto"/>
              </w:rPr>
            </w:pPr>
            <w:r>
              <w:rPr>
                <w:rFonts w:ascii="Arial" w:cs="Arial" w:eastAsia="Arial" w:hAnsi="Arial"/>
                <w:sz w:val="14"/>
                <w:szCs w:val="14"/>
                <w:color w:val="auto"/>
                <w:w w:val="99"/>
              </w:rPr>
              <w:t>1,179,954</w:t>
            </w:r>
          </w:p>
        </w:tc>
        <w:tc>
          <w:tcPr>
            <w:tcW w:w="980" w:type="dxa"/>
            <w:vAlign w:val="bottom"/>
            <w:shd w:val="clear" w:color="auto" w:fill="BAD3EA"/>
          </w:tcPr>
          <w:p>
            <w:pPr>
              <w:jc w:val="center"/>
              <w:ind w:left="128"/>
              <w:spacing w:after="0"/>
              <w:rPr>
                <w:sz w:val="20"/>
                <w:szCs w:val="20"/>
                <w:color w:val="auto"/>
              </w:rPr>
            </w:pPr>
            <w:r>
              <w:rPr>
                <w:rFonts w:ascii="Arial" w:cs="Arial" w:eastAsia="Arial" w:hAnsi="Arial"/>
                <w:sz w:val="14"/>
                <w:szCs w:val="14"/>
                <w:color w:val="auto"/>
                <w:w w:val="99"/>
              </w:rPr>
              <w:t>—</w:t>
            </w:r>
          </w:p>
        </w:tc>
        <w:tc>
          <w:tcPr>
            <w:tcW w:w="940" w:type="dxa"/>
            <w:vAlign w:val="bottom"/>
            <w:shd w:val="clear" w:color="auto" w:fill="BAD3EA"/>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shd w:val="clear" w:color="auto" w:fill="BAD3EA"/>
          </w:tcPr>
          <w:p>
            <w:pPr>
              <w:jc w:val="center"/>
              <w:ind w:right="68"/>
              <w:spacing w:after="0"/>
              <w:rPr>
                <w:sz w:val="20"/>
                <w:szCs w:val="20"/>
                <w:color w:val="auto"/>
              </w:rPr>
            </w:pPr>
            <w:r>
              <w:rPr>
                <w:rFonts w:ascii="Arial" w:cs="Arial" w:eastAsia="Arial" w:hAnsi="Arial"/>
                <w:sz w:val="14"/>
                <w:szCs w:val="14"/>
                <w:color w:val="auto"/>
                <w:w w:val="99"/>
              </w:rPr>
              <w:t>—</w:t>
            </w:r>
          </w:p>
        </w:tc>
        <w:tc>
          <w:tcPr>
            <w:tcW w:w="680" w:type="dxa"/>
            <w:vAlign w:val="bottom"/>
            <w:shd w:val="clear" w:color="auto" w:fill="BAD3EA"/>
          </w:tcPr>
          <w:p>
            <w:pPr>
              <w:jc w:val="center"/>
              <w:ind w:left="108"/>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BAD3EA"/>
          </w:tcPr>
          <w:p>
            <w:pPr>
              <w:ind w:lef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0"/>
        </w:trPr>
        <w:tc>
          <w:tcPr>
            <w:tcW w:w="2520" w:type="dxa"/>
            <w:vAlign w:val="bottom"/>
            <w:tcBorders>
              <w:bottom w:val="single" w:sz="8" w:color="BAD3EA"/>
            </w:tcBorders>
            <w:shd w:val="clear" w:color="auto" w:fill="BAD3EA"/>
          </w:tcPr>
          <w:p>
            <w:pPr>
              <w:spacing w:after="0"/>
              <w:rPr>
                <w:sz w:val="22"/>
                <w:szCs w:val="22"/>
                <w:color w:val="auto"/>
              </w:rPr>
            </w:pPr>
          </w:p>
        </w:tc>
        <w:tc>
          <w:tcPr>
            <w:tcW w:w="94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4"/>
                <w:szCs w:val="14"/>
                <w:color w:val="auto"/>
              </w:rPr>
              <w:t>02/12/2018</w:t>
            </w:r>
          </w:p>
        </w:tc>
        <w:tc>
          <w:tcPr>
            <w:tcW w:w="48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4"/>
                <w:szCs w:val="14"/>
                <w:color w:val="auto"/>
              </w:rPr>
              <w:t>(6)</w:t>
            </w:r>
          </w:p>
        </w:tc>
        <w:tc>
          <w:tcPr>
            <w:tcW w:w="760" w:type="dxa"/>
            <w:vAlign w:val="bottom"/>
            <w:tcBorders>
              <w:bottom w:val="single" w:sz="8" w:color="BAD3EA"/>
            </w:tcBorders>
            <w:shd w:val="clear" w:color="auto" w:fill="BAD3EA"/>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BAD3EA"/>
            </w:tcBorders>
            <w:shd w:val="clear" w:color="auto" w:fill="BAD3EA"/>
          </w:tcPr>
          <w:p>
            <w:pPr>
              <w:spacing w:after="0"/>
              <w:rPr>
                <w:sz w:val="22"/>
                <w:szCs w:val="22"/>
                <w:color w:val="auto"/>
              </w:rPr>
            </w:pPr>
          </w:p>
        </w:tc>
        <w:tc>
          <w:tcPr>
            <w:tcW w:w="72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BAD3EA"/>
            </w:tcBorders>
            <w:shd w:val="clear" w:color="auto" w:fill="BAD3EA"/>
          </w:tcPr>
          <w:p>
            <w:pPr>
              <w:spacing w:after="0"/>
              <w:rPr>
                <w:sz w:val="22"/>
                <w:szCs w:val="22"/>
                <w:color w:val="auto"/>
              </w:rPr>
            </w:pPr>
          </w:p>
        </w:tc>
        <w:tc>
          <w:tcPr>
            <w:tcW w:w="900" w:type="dxa"/>
            <w:vAlign w:val="bottom"/>
            <w:tcBorders>
              <w:bottom w:val="single" w:sz="8" w:color="BAD3EA"/>
            </w:tcBorders>
            <w:shd w:val="clear" w:color="auto" w:fill="BAD3EA"/>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BAD3EA"/>
            </w:tcBorders>
            <w:shd w:val="clear" w:color="auto" w:fill="BAD3EA"/>
          </w:tcPr>
          <w:p>
            <w:pPr>
              <w:jc w:val="center"/>
              <w:ind w:left="128"/>
              <w:spacing w:after="0"/>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BAD3EA"/>
            </w:tcBorders>
            <w:shd w:val="clear" w:color="auto" w:fill="BAD3EA"/>
          </w:tcPr>
          <w:p>
            <w:pPr>
              <w:jc w:val="center"/>
              <w:ind w:right="68"/>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BAD3EA"/>
            </w:tcBorders>
            <w:shd w:val="clear" w:color="auto" w:fill="BAD3EA"/>
          </w:tcPr>
          <w:p>
            <w:pPr>
              <w:jc w:val="center"/>
              <w:ind w:left="128"/>
              <w:spacing w:after="0"/>
              <w:rPr>
                <w:sz w:val="20"/>
                <w:szCs w:val="20"/>
                <w:color w:val="auto"/>
              </w:rPr>
            </w:pPr>
            <w:r>
              <w:rPr>
                <w:rFonts w:ascii="Arial" w:cs="Arial" w:eastAsia="Arial" w:hAnsi="Arial"/>
                <w:sz w:val="14"/>
                <w:szCs w:val="14"/>
                <w:color w:val="auto"/>
              </w:rPr>
              <w:t>4,045</w:t>
            </w:r>
          </w:p>
        </w:tc>
        <w:tc>
          <w:tcPr>
            <w:tcW w:w="900" w:type="dxa"/>
            <w:vAlign w:val="bottom"/>
            <w:tcBorders>
              <w:bottom w:val="single" w:sz="8" w:color="BAD3EA"/>
            </w:tcBorders>
            <w:shd w:val="clear" w:color="auto" w:fill="BAD3EA"/>
          </w:tcPr>
          <w:p>
            <w:pPr>
              <w:jc w:val="center"/>
              <w:spacing w:after="0"/>
              <w:rPr>
                <w:sz w:val="20"/>
                <w:szCs w:val="20"/>
                <w:color w:val="auto"/>
              </w:rPr>
            </w:pPr>
            <w:r>
              <w:rPr>
                <w:rFonts w:ascii="Arial" w:cs="Arial" w:eastAsia="Arial" w:hAnsi="Arial"/>
                <w:sz w:val="14"/>
                <w:szCs w:val="14"/>
                <w:color w:val="auto"/>
              </w:rPr>
              <w:t>$1,280,768</w:t>
            </w:r>
          </w:p>
        </w:tc>
        <w:tc>
          <w:tcPr>
            <w:tcW w:w="0" w:type="dxa"/>
            <w:vAlign w:val="bottom"/>
          </w:tcPr>
          <w:p>
            <w:pPr>
              <w:spacing w:after="0"/>
              <w:rPr>
                <w:sz w:val="1"/>
                <w:szCs w:val="1"/>
                <w:color w:val="auto"/>
              </w:rPr>
            </w:pPr>
          </w:p>
        </w:tc>
      </w:tr>
      <w:tr>
        <w:trPr>
          <w:trHeight w:val="198"/>
        </w:trPr>
        <w:tc>
          <w:tcPr>
            <w:tcW w:w="2520" w:type="dxa"/>
            <w:vAlign w:val="bottom"/>
            <w:tcBorders>
              <w:top w:val="single" w:sz="8" w:color="auto"/>
            </w:tcBorders>
            <w:shd w:val="clear" w:color="auto" w:fill="E8F0F8"/>
          </w:tcPr>
          <w:p>
            <w:pPr>
              <w:ind w:left="60"/>
              <w:spacing w:after="0"/>
              <w:rPr>
                <w:sz w:val="20"/>
                <w:szCs w:val="20"/>
                <w:color w:val="auto"/>
              </w:rPr>
            </w:pPr>
            <w:r>
              <w:rPr>
                <w:rFonts w:ascii="Arial" w:cs="Arial" w:eastAsia="Arial" w:hAnsi="Arial"/>
                <w:sz w:val="14"/>
                <w:szCs w:val="14"/>
                <w:color w:val="auto"/>
              </w:rPr>
              <w:t>Paul F. McKenzie</w:t>
            </w:r>
          </w:p>
        </w:tc>
        <w:tc>
          <w:tcPr>
            <w:tcW w:w="940" w:type="dxa"/>
            <w:vAlign w:val="bottom"/>
            <w:tcBorders>
              <w:top w:val="single" w:sz="8" w:color="auto"/>
            </w:tcBorders>
            <w:shd w:val="clear" w:color="auto" w:fill="E8F0F8"/>
          </w:tcPr>
          <w:p>
            <w:pPr>
              <w:jc w:val="right"/>
              <w:spacing w:after="0"/>
              <w:rPr>
                <w:sz w:val="20"/>
                <w:szCs w:val="20"/>
                <w:color w:val="auto"/>
              </w:rPr>
            </w:pPr>
            <w:r>
              <w:rPr>
                <w:rFonts w:ascii="Arial" w:cs="Arial" w:eastAsia="Arial" w:hAnsi="Arial"/>
                <w:sz w:val="14"/>
                <w:szCs w:val="14"/>
                <w:color w:val="auto"/>
              </w:rPr>
              <w:t>02/12/2018</w:t>
            </w:r>
          </w:p>
        </w:tc>
        <w:tc>
          <w:tcPr>
            <w:tcW w:w="480" w:type="dxa"/>
            <w:vAlign w:val="bottom"/>
            <w:tcBorders>
              <w:top w:val="single" w:sz="8" w:color="auto"/>
            </w:tcBorders>
            <w:shd w:val="clear" w:color="auto" w:fill="E8F0F8"/>
          </w:tcPr>
          <w:p>
            <w:pPr>
              <w:jc w:val="center"/>
              <w:spacing w:after="0"/>
              <w:rPr>
                <w:sz w:val="20"/>
                <w:szCs w:val="20"/>
                <w:color w:val="auto"/>
              </w:rPr>
            </w:pPr>
            <w:r>
              <w:rPr>
                <w:rFonts w:ascii="Arial" w:cs="Arial" w:eastAsia="Arial" w:hAnsi="Arial"/>
                <w:sz w:val="14"/>
                <w:szCs w:val="14"/>
                <w:color w:val="auto"/>
              </w:rPr>
              <w:t>(3)</w:t>
            </w:r>
          </w:p>
        </w:tc>
        <w:tc>
          <w:tcPr>
            <w:tcW w:w="760" w:type="dxa"/>
            <w:vAlign w:val="bottom"/>
            <w:tcBorders>
              <w:top w:val="single" w:sz="8" w:color="auto"/>
            </w:tcBorders>
            <w:shd w:val="clear" w:color="auto" w:fill="E8F0F8"/>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shd w:val="clear" w:color="auto" w:fill="E8F0F8"/>
          </w:tcPr>
          <w:p>
            <w:pPr>
              <w:spacing w:after="0"/>
              <w:rPr>
                <w:sz w:val="17"/>
                <w:szCs w:val="17"/>
                <w:color w:val="auto"/>
              </w:rPr>
            </w:pPr>
          </w:p>
        </w:tc>
        <w:tc>
          <w:tcPr>
            <w:tcW w:w="720" w:type="dxa"/>
            <w:vAlign w:val="bottom"/>
            <w:tcBorders>
              <w:top w:val="single" w:sz="8" w:color="auto"/>
            </w:tcBorders>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Borders>
              <w:top w:val="single" w:sz="8" w:color="auto"/>
            </w:tcBorders>
            <w:shd w:val="clear" w:color="auto" w:fill="E8F0F8"/>
          </w:tcPr>
          <w:p>
            <w:pPr>
              <w:spacing w:after="0"/>
              <w:rPr>
                <w:sz w:val="17"/>
                <w:szCs w:val="17"/>
                <w:color w:val="auto"/>
              </w:rPr>
            </w:pPr>
          </w:p>
        </w:tc>
        <w:tc>
          <w:tcPr>
            <w:tcW w:w="900" w:type="dxa"/>
            <w:vAlign w:val="bottom"/>
            <w:tcBorders>
              <w:top w:val="single" w:sz="8" w:color="auto"/>
            </w:tcBorders>
            <w:shd w:val="clear" w:color="auto" w:fill="E8F0F8"/>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E8F0F8"/>
          </w:tcPr>
          <w:p>
            <w:pPr>
              <w:jc w:val="center"/>
              <w:ind w:left="148"/>
              <w:spacing w:after="0"/>
              <w:rPr>
                <w:sz w:val="20"/>
                <w:szCs w:val="20"/>
                <w:color w:val="auto"/>
              </w:rPr>
            </w:pPr>
            <w:r>
              <w:rPr>
                <w:rFonts w:ascii="Arial" w:cs="Arial" w:eastAsia="Arial" w:hAnsi="Arial"/>
                <w:sz w:val="14"/>
                <w:szCs w:val="14"/>
                <w:color w:val="auto"/>
              </w:rPr>
              <w:t>2,368</w:t>
            </w:r>
          </w:p>
        </w:tc>
        <w:tc>
          <w:tcPr>
            <w:tcW w:w="940" w:type="dxa"/>
            <w:vAlign w:val="bottom"/>
            <w:tcBorders>
              <w:top w:val="single" w:sz="8" w:color="auto"/>
            </w:tcBorders>
            <w:shd w:val="clear" w:color="auto" w:fill="E8F0F8"/>
          </w:tcPr>
          <w:p>
            <w:pPr>
              <w:jc w:val="right"/>
              <w:ind w:right="168"/>
              <w:spacing w:after="0"/>
              <w:rPr>
                <w:sz w:val="20"/>
                <w:szCs w:val="20"/>
                <w:color w:val="auto"/>
              </w:rPr>
            </w:pPr>
            <w:r>
              <w:rPr>
                <w:rFonts w:ascii="Arial" w:cs="Arial" w:eastAsia="Arial" w:hAnsi="Arial"/>
                <w:sz w:val="14"/>
                <w:szCs w:val="14"/>
                <w:color w:val="auto"/>
              </w:rPr>
              <w:t>4,735</w:t>
            </w:r>
          </w:p>
        </w:tc>
        <w:tc>
          <w:tcPr>
            <w:tcW w:w="920" w:type="dxa"/>
            <w:vAlign w:val="bottom"/>
            <w:tcBorders>
              <w:top w:val="single" w:sz="8" w:color="auto"/>
            </w:tcBorders>
            <w:shd w:val="clear" w:color="auto" w:fill="E8F0F8"/>
          </w:tcPr>
          <w:p>
            <w:pPr>
              <w:jc w:val="right"/>
              <w:ind w:right="228"/>
              <w:spacing w:after="0"/>
              <w:rPr>
                <w:sz w:val="20"/>
                <w:szCs w:val="20"/>
                <w:color w:val="auto"/>
              </w:rPr>
            </w:pPr>
            <w:r>
              <w:rPr>
                <w:rFonts w:ascii="Arial" w:cs="Arial" w:eastAsia="Arial" w:hAnsi="Arial"/>
                <w:sz w:val="14"/>
                <w:szCs w:val="14"/>
                <w:color w:val="auto"/>
              </w:rPr>
              <w:t>9,470</w:t>
            </w:r>
          </w:p>
        </w:tc>
        <w:tc>
          <w:tcPr>
            <w:tcW w:w="680" w:type="dxa"/>
            <w:vAlign w:val="bottom"/>
            <w:tcBorders>
              <w:top w:val="single" w:sz="8" w:color="auto"/>
            </w:tcBorders>
            <w:shd w:val="clear" w:color="auto" w:fill="E8F0F8"/>
          </w:tcPr>
          <w:p>
            <w:pPr>
              <w:jc w:val="center"/>
              <w:ind w:left="108"/>
              <w:spacing w:after="0"/>
              <w:rPr>
                <w:sz w:val="20"/>
                <w:szCs w:val="20"/>
                <w:color w:val="auto"/>
              </w:rPr>
            </w:pPr>
            <w:r>
              <w:rPr>
                <w:rFonts w:ascii="Arial" w:cs="Arial" w:eastAsia="Arial" w:hAnsi="Arial"/>
                <w:sz w:val="14"/>
                <w:szCs w:val="14"/>
                <w:color w:val="auto"/>
                <w:w w:val="99"/>
              </w:rPr>
              <w:t>—</w:t>
            </w:r>
          </w:p>
        </w:tc>
        <w:tc>
          <w:tcPr>
            <w:tcW w:w="900" w:type="dxa"/>
            <w:vAlign w:val="bottom"/>
            <w:tcBorders>
              <w:top w:val="single" w:sz="8" w:color="auto"/>
            </w:tcBorders>
            <w:shd w:val="clear" w:color="auto" w:fill="E8F0F8"/>
          </w:tcPr>
          <w:p>
            <w:pPr>
              <w:jc w:val="center"/>
              <w:spacing w:after="0"/>
              <w:rPr>
                <w:sz w:val="20"/>
                <w:szCs w:val="20"/>
                <w:color w:val="auto"/>
              </w:rPr>
            </w:pPr>
            <w:r>
              <w:rPr>
                <w:rFonts w:ascii="Arial" w:cs="Arial" w:eastAsia="Arial" w:hAnsi="Arial"/>
                <w:sz w:val="14"/>
                <w:szCs w:val="14"/>
                <w:color w:val="auto"/>
              </w:rPr>
              <w:t>$1,787,683</w:t>
            </w:r>
          </w:p>
        </w:tc>
        <w:tc>
          <w:tcPr>
            <w:tcW w:w="0" w:type="dxa"/>
            <w:vAlign w:val="bottom"/>
          </w:tcPr>
          <w:p>
            <w:pPr>
              <w:spacing w:after="0"/>
              <w:rPr>
                <w:sz w:val="1"/>
                <w:szCs w:val="1"/>
                <w:color w:val="auto"/>
              </w:rPr>
            </w:pPr>
          </w:p>
        </w:tc>
      </w:tr>
      <w:tr>
        <w:trPr>
          <w:trHeight w:val="230"/>
        </w:trPr>
        <w:tc>
          <w:tcPr>
            <w:tcW w:w="2520" w:type="dxa"/>
            <w:vAlign w:val="bottom"/>
            <w:shd w:val="clear" w:color="auto" w:fill="E8F0F8"/>
          </w:tcPr>
          <w:p>
            <w:pPr>
              <w:spacing w:after="0"/>
              <w:rPr>
                <w:sz w:val="19"/>
                <w:szCs w:val="19"/>
                <w:color w:val="auto"/>
              </w:rPr>
            </w:pPr>
          </w:p>
        </w:tc>
        <w:tc>
          <w:tcPr>
            <w:tcW w:w="940" w:type="dxa"/>
            <w:vAlign w:val="bottom"/>
            <w:shd w:val="clear" w:color="auto" w:fill="E8F0F8"/>
          </w:tcPr>
          <w:p>
            <w:pPr>
              <w:jc w:val="right"/>
              <w:spacing w:after="0"/>
              <w:rPr>
                <w:sz w:val="20"/>
                <w:szCs w:val="20"/>
                <w:color w:val="auto"/>
              </w:rPr>
            </w:pPr>
            <w:r>
              <w:rPr>
                <w:rFonts w:ascii="Arial" w:cs="Arial" w:eastAsia="Arial" w:hAnsi="Arial"/>
                <w:sz w:val="14"/>
                <w:szCs w:val="14"/>
                <w:color w:val="auto"/>
              </w:rPr>
              <w:t>02/12/2018</w:t>
            </w:r>
          </w:p>
        </w:tc>
        <w:tc>
          <w:tcPr>
            <w:tcW w:w="48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(4)</w:t>
            </w:r>
          </w:p>
        </w:tc>
        <w:tc>
          <w:tcPr>
            <w:tcW w:w="760" w:type="dxa"/>
            <w:vAlign w:val="bottom"/>
            <w:shd w:val="clear" w:color="auto" w:fill="E8F0F8"/>
          </w:tcPr>
          <w:p>
            <w:pPr>
              <w:ind w:lef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8F0F8"/>
          </w:tcPr>
          <w:p>
            <w:pPr>
              <w:spacing w:after="0"/>
              <w:rPr>
                <w:sz w:val="19"/>
                <w:szCs w:val="19"/>
                <w:color w:val="auto"/>
              </w:rPr>
            </w:pPr>
          </w:p>
        </w:tc>
        <w:tc>
          <w:tcPr>
            <w:tcW w:w="720" w:type="dxa"/>
            <w:vAlign w:val="bottom"/>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E8F0F8"/>
          </w:tcPr>
          <w:p>
            <w:pPr>
              <w:spacing w:after="0"/>
              <w:rPr>
                <w:sz w:val="19"/>
                <w:szCs w:val="19"/>
                <w:color w:val="auto"/>
              </w:rPr>
            </w:pPr>
          </w:p>
        </w:tc>
        <w:tc>
          <w:tcPr>
            <w:tcW w:w="900" w:type="dxa"/>
            <w:vAlign w:val="bottom"/>
            <w:shd w:val="clear" w:color="auto" w:fill="E8F0F8"/>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shd w:val="clear" w:color="auto" w:fill="E8F0F8"/>
          </w:tcPr>
          <w:p>
            <w:pPr>
              <w:jc w:val="center"/>
              <w:ind w:left="148"/>
              <w:spacing w:after="0"/>
              <w:rPr>
                <w:sz w:val="20"/>
                <w:szCs w:val="20"/>
                <w:color w:val="auto"/>
              </w:rPr>
            </w:pPr>
            <w:r>
              <w:rPr>
                <w:rFonts w:ascii="Arial" w:cs="Arial" w:eastAsia="Arial" w:hAnsi="Arial"/>
                <w:sz w:val="14"/>
                <w:szCs w:val="14"/>
                <w:color w:val="auto"/>
              </w:rPr>
              <w:t>1,731</w:t>
            </w:r>
          </w:p>
        </w:tc>
        <w:tc>
          <w:tcPr>
            <w:tcW w:w="940" w:type="dxa"/>
            <w:vAlign w:val="bottom"/>
            <w:shd w:val="clear" w:color="auto" w:fill="E8F0F8"/>
          </w:tcPr>
          <w:p>
            <w:pPr>
              <w:jc w:val="right"/>
              <w:ind w:right="168"/>
              <w:spacing w:after="0"/>
              <w:rPr>
                <w:sz w:val="20"/>
                <w:szCs w:val="20"/>
                <w:color w:val="auto"/>
              </w:rPr>
            </w:pPr>
            <w:r>
              <w:rPr>
                <w:rFonts w:ascii="Arial" w:cs="Arial" w:eastAsia="Arial" w:hAnsi="Arial"/>
                <w:sz w:val="14"/>
                <w:szCs w:val="14"/>
                <w:color w:val="auto"/>
              </w:rPr>
              <w:t>3,462</w:t>
            </w:r>
          </w:p>
        </w:tc>
        <w:tc>
          <w:tcPr>
            <w:tcW w:w="920" w:type="dxa"/>
            <w:vAlign w:val="bottom"/>
            <w:shd w:val="clear" w:color="auto" w:fill="E8F0F8"/>
          </w:tcPr>
          <w:p>
            <w:pPr>
              <w:jc w:val="right"/>
              <w:ind w:right="228"/>
              <w:spacing w:after="0"/>
              <w:rPr>
                <w:sz w:val="20"/>
                <w:szCs w:val="20"/>
                <w:color w:val="auto"/>
              </w:rPr>
            </w:pPr>
            <w:r>
              <w:rPr>
                <w:rFonts w:ascii="Arial" w:cs="Arial" w:eastAsia="Arial" w:hAnsi="Arial"/>
                <w:sz w:val="14"/>
                <w:szCs w:val="14"/>
                <w:color w:val="auto"/>
              </w:rPr>
              <w:t>6,924</w:t>
            </w:r>
          </w:p>
        </w:tc>
        <w:tc>
          <w:tcPr>
            <w:tcW w:w="680" w:type="dxa"/>
            <w:vAlign w:val="bottom"/>
            <w:shd w:val="clear" w:color="auto" w:fill="E8F0F8"/>
          </w:tcPr>
          <w:p>
            <w:pPr>
              <w:jc w:val="center"/>
              <w:ind w:left="108"/>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$1,096,173</w:t>
            </w:r>
          </w:p>
        </w:tc>
        <w:tc>
          <w:tcPr>
            <w:tcW w:w="0" w:type="dxa"/>
            <w:vAlign w:val="bottom"/>
          </w:tcPr>
          <w:p>
            <w:pPr>
              <w:spacing w:after="0"/>
              <w:rPr>
                <w:sz w:val="1"/>
                <w:szCs w:val="1"/>
                <w:color w:val="auto"/>
              </w:rPr>
            </w:pPr>
          </w:p>
        </w:tc>
      </w:tr>
      <w:tr>
        <w:trPr>
          <w:trHeight w:val="230"/>
        </w:trPr>
        <w:tc>
          <w:tcPr>
            <w:tcW w:w="2520" w:type="dxa"/>
            <w:vAlign w:val="bottom"/>
            <w:shd w:val="clear" w:color="auto" w:fill="E8F0F8"/>
          </w:tcPr>
          <w:p>
            <w:pPr>
              <w:spacing w:after="0"/>
              <w:rPr>
                <w:sz w:val="19"/>
                <w:szCs w:val="19"/>
                <w:color w:val="auto"/>
              </w:rPr>
            </w:pPr>
          </w:p>
        </w:tc>
        <w:tc>
          <w:tcPr>
            <w:tcW w:w="940" w:type="dxa"/>
            <w:vAlign w:val="bottom"/>
            <w:shd w:val="clear" w:color="auto" w:fill="E8F0F8"/>
          </w:tcPr>
          <w:p>
            <w:pPr>
              <w:jc w:val="right"/>
              <w:spacing w:after="0"/>
              <w:rPr>
                <w:sz w:val="20"/>
                <w:szCs w:val="20"/>
                <w:color w:val="auto"/>
              </w:rPr>
            </w:pPr>
            <w:r>
              <w:rPr>
                <w:rFonts w:ascii="Arial" w:cs="Arial" w:eastAsia="Arial" w:hAnsi="Arial"/>
                <w:sz w:val="14"/>
                <w:szCs w:val="14"/>
                <w:color w:val="auto"/>
              </w:rPr>
              <w:t>02/12/2018</w:t>
            </w:r>
          </w:p>
        </w:tc>
        <w:tc>
          <w:tcPr>
            <w:tcW w:w="48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(5)</w:t>
            </w:r>
          </w:p>
        </w:tc>
        <w:tc>
          <w:tcPr>
            <w:tcW w:w="760" w:type="dxa"/>
            <w:vAlign w:val="bottom"/>
            <w:shd w:val="clear" w:color="auto" w:fill="E8F0F8"/>
          </w:tcPr>
          <w:p>
            <w:pPr>
              <w:jc w:val="center"/>
              <w:spacing w:after="0"/>
              <w:rPr>
                <w:sz w:val="20"/>
                <w:szCs w:val="20"/>
                <w:color w:val="auto"/>
              </w:rPr>
            </w:pPr>
            <w:r>
              <w:rPr>
                <w:rFonts w:ascii="Arial" w:cs="Arial" w:eastAsia="Arial" w:hAnsi="Arial"/>
                <w:sz w:val="14"/>
                <w:szCs w:val="14"/>
                <w:color w:val="auto"/>
              </w:rPr>
              <w:t>$110,939</w:t>
            </w:r>
          </w:p>
        </w:tc>
        <w:tc>
          <w:tcPr>
            <w:tcW w:w="14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8F0F8"/>
          </w:tcPr>
          <w:p>
            <w:pPr>
              <w:jc w:val="right"/>
              <w:spacing w:after="0"/>
              <w:rPr>
                <w:sz w:val="20"/>
                <w:szCs w:val="20"/>
                <w:color w:val="auto"/>
              </w:rPr>
            </w:pPr>
            <w:r>
              <w:rPr>
                <w:rFonts w:ascii="Arial" w:cs="Arial" w:eastAsia="Arial" w:hAnsi="Arial"/>
                <w:sz w:val="14"/>
                <w:szCs w:val="14"/>
                <w:color w:val="auto"/>
              </w:rPr>
              <w:t>443,757</w:t>
            </w:r>
          </w:p>
        </w:tc>
        <w:tc>
          <w:tcPr>
            <w:tcW w:w="140" w:type="dxa"/>
            <w:vAlign w:val="bottom"/>
            <w:shd w:val="clear" w:color="auto" w:fill="E8F0F8"/>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8F0F8"/>
          </w:tcPr>
          <w:p>
            <w:pPr>
              <w:jc w:val="right"/>
              <w:ind w:right="188"/>
              <w:spacing w:after="0"/>
              <w:rPr>
                <w:sz w:val="20"/>
                <w:szCs w:val="20"/>
                <w:color w:val="auto"/>
              </w:rPr>
            </w:pPr>
            <w:r>
              <w:rPr>
                <w:rFonts w:ascii="Arial" w:cs="Arial" w:eastAsia="Arial" w:hAnsi="Arial"/>
                <w:sz w:val="14"/>
                <w:szCs w:val="14"/>
                <w:color w:val="auto"/>
              </w:rPr>
              <w:t>998,452</w:t>
            </w:r>
          </w:p>
        </w:tc>
        <w:tc>
          <w:tcPr>
            <w:tcW w:w="980" w:type="dxa"/>
            <w:vAlign w:val="bottom"/>
            <w:shd w:val="clear" w:color="auto" w:fill="E8F0F8"/>
          </w:tcPr>
          <w:p>
            <w:pPr>
              <w:jc w:val="center"/>
              <w:ind w:left="128"/>
              <w:spacing w:after="0"/>
              <w:rPr>
                <w:sz w:val="20"/>
                <w:szCs w:val="20"/>
                <w:color w:val="auto"/>
              </w:rPr>
            </w:pPr>
            <w:r>
              <w:rPr>
                <w:rFonts w:ascii="Arial" w:cs="Arial" w:eastAsia="Arial" w:hAnsi="Arial"/>
                <w:sz w:val="14"/>
                <w:szCs w:val="14"/>
                <w:color w:val="auto"/>
                <w:w w:val="99"/>
              </w:rPr>
              <w:t>—</w:t>
            </w:r>
          </w:p>
        </w:tc>
        <w:tc>
          <w:tcPr>
            <w:tcW w:w="940" w:type="dxa"/>
            <w:vAlign w:val="bottom"/>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shd w:val="clear" w:color="auto" w:fill="E8F0F8"/>
          </w:tcPr>
          <w:p>
            <w:pPr>
              <w:jc w:val="center"/>
              <w:ind w:right="68"/>
              <w:spacing w:after="0"/>
              <w:rPr>
                <w:sz w:val="20"/>
                <w:szCs w:val="20"/>
                <w:color w:val="auto"/>
              </w:rPr>
            </w:pPr>
            <w:r>
              <w:rPr>
                <w:rFonts w:ascii="Arial" w:cs="Arial" w:eastAsia="Arial" w:hAnsi="Arial"/>
                <w:sz w:val="14"/>
                <w:szCs w:val="14"/>
                <w:color w:val="auto"/>
                <w:w w:val="99"/>
              </w:rPr>
              <w:t>—</w:t>
            </w:r>
          </w:p>
        </w:tc>
        <w:tc>
          <w:tcPr>
            <w:tcW w:w="680" w:type="dxa"/>
            <w:vAlign w:val="bottom"/>
            <w:shd w:val="clear" w:color="auto" w:fill="E8F0F8"/>
          </w:tcPr>
          <w:p>
            <w:pPr>
              <w:jc w:val="center"/>
              <w:ind w:left="108"/>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E8F0F8"/>
          </w:tcPr>
          <w:p>
            <w:pPr>
              <w:ind w:lef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2520" w:type="dxa"/>
            <w:vAlign w:val="bottom"/>
            <w:tcBorders>
              <w:bottom w:val="single" w:sz="8" w:color="E8F0F8"/>
            </w:tcBorders>
            <w:shd w:val="clear" w:color="auto" w:fill="E8F0F8"/>
          </w:tcPr>
          <w:p>
            <w:pPr>
              <w:spacing w:after="0"/>
              <w:rPr>
                <w:sz w:val="20"/>
                <w:szCs w:val="20"/>
                <w:color w:val="auto"/>
              </w:rPr>
            </w:pPr>
          </w:p>
        </w:tc>
        <w:tc>
          <w:tcPr>
            <w:tcW w:w="9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4"/>
                <w:szCs w:val="14"/>
                <w:color w:val="auto"/>
              </w:rPr>
              <w:t>02/12/2018</w:t>
            </w:r>
          </w:p>
        </w:tc>
        <w:tc>
          <w:tcPr>
            <w:tcW w:w="48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4"/>
                <w:szCs w:val="14"/>
                <w:color w:val="auto"/>
              </w:rPr>
              <w:t>(6)</w:t>
            </w:r>
          </w:p>
        </w:tc>
        <w:tc>
          <w:tcPr>
            <w:tcW w:w="760" w:type="dxa"/>
            <w:vAlign w:val="bottom"/>
            <w:tcBorders>
              <w:bottom w:val="single" w:sz="8" w:color="E8F0F8"/>
            </w:tcBorders>
            <w:shd w:val="clear" w:color="auto" w:fill="E8F0F8"/>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8F0F8"/>
            </w:tcBorders>
            <w:shd w:val="clear" w:color="auto" w:fill="E8F0F8"/>
          </w:tcPr>
          <w:p>
            <w:pPr>
              <w:spacing w:after="0"/>
              <w:rPr>
                <w:sz w:val="20"/>
                <w:szCs w:val="20"/>
                <w:color w:val="auto"/>
              </w:rPr>
            </w:pPr>
          </w:p>
        </w:tc>
        <w:tc>
          <w:tcPr>
            <w:tcW w:w="72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E8F0F8"/>
            </w:tcBorders>
            <w:shd w:val="clear" w:color="auto" w:fill="E8F0F8"/>
          </w:tcPr>
          <w:p>
            <w:pPr>
              <w:spacing w:after="0"/>
              <w:rPr>
                <w:sz w:val="20"/>
                <w:szCs w:val="20"/>
                <w:color w:val="auto"/>
              </w:rPr>
            </w:pPr>
          </w:p>
        </w:tc>
        <w:tc>
          <w:tcPr>
            <w:tcW w:w="900" w:type="dxa"/>
            <w:vAlign w:val="bottom"/>
            <w:tcBorders>
              <w:bottom w:val="single" w:sz="8" w:color="E8F0F8"/>
            </w:tcBorders>
            <w:shd w:val="clear" w:color="auto" w:fill="E8F0F8"/>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E8F0F8"/>
            </w:tcBorders>
            <w:shd w:val="clear" w:color="auto" w:fill="E8F0F8"/>
          </w:tcPr>
          <w:p>
            <w:pPr>
              <w:jc w:val="center"/>
              <w:ind w:left="128"/>
              <w:spacing w:after="0"/>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E8F0F8"/>
            </w:tcBorders>
            <w:shd w:val="clear" w:color="auto" w:fill="E8F0F8"/>
          </w:tcPr>
          <w:p>
            <w:pPr>
              <w:jc w:val="center"/>
              <w:ind w:right="68"/>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E8F0F8"/>
            </w:tcBorders>
            <w:shd w:val="clear" w:color="auto" w:fill="E8F0F8"/>
          </w:tcPr>
          <w:p>
            <w:pPr>
              <w:jc w:val="center"/>
              <w:ind w:left="128"/>
              <w:spacing w:after="0"/>
              <w:rPr>
                <w:sz w:val="20"/>
                <w:szCs w:val="20"/>
                <w:color w:val="auto"/>
              </w:rPr>
            </w:pPr>
            <w:r>
              <w:rPr>
                <w:rFonts w:ascii="Arial" w:cs="Arial" w:eastAsia="Arial" w:hAnsi="Arial"/>
                <w:sz w:val="14"/>
                <w:szCs w:val="14"/>
                <w:color w:val="auto"/>
              </w:rPr>
              <w:t>3,790</w:t>
            </w:r>
          </w:p>
        </w:tc>
        <w:tc>
          <w:tcPr>
            <w:tcW w:w="900" w:type="dxa"/>
            <w:vAlign w:val="bottom"/>
            <w:tcBorders>
              <w:bottom w:val="single" w:sz="8" w:color="E8F0F8"/>
            </w:tcBorders>
            <w:shd w:val="clear" w:color="auto" w:fill="E8F0F8"/>
          </w:tcPr>
          <w:p>
            <w:pPr>
              <w:jc w:val="center"/>
              <w:spacing w:after="0"/>
              <w:rPr>
                <w:sz w:val="20"/>
                <w:szCs w:val="20"/>
                <w:color w:val="auto"/>
              </w:rPr>
            </w:pPr>
            <w:r>
              <w:rPr>
                <w:rFonts w:ascii="Arial" w:cs="Arial" w:eastAsia="Arial" w:hAnsi="Arial"/>
                <w:sz w:val="14"/>
                <w:szCs w:val="14"/>
                <w:color w:val="auto"/>
              </w:rPr>
              <w:t>$1,200,028</w:t>
            </w:r>
          </w:p>
        </w:tc>
        <w:tc>
          <w:tcPr>
            <w:tcW w:w="0" w:type="dxa"/>
            <w:vAlign w:val="bottom"/>
          </w:tcPr>
          <w:p>
            <w:pPr>
              <w:spacing w:after="0"/>
              <w:rPr>
                <w:sz w:val="1"/>
                <w:szCs w:val="1"/>
                <w:color w:val="auto"/>
              </w:rPr>
            </w:pPr>
          </w:p>
        </w:tc>
      </w:tr>
      <w:tr>
        <w:trPr>
          <w:trHeight w:val="20"/>
        </w:trPr>
        <w:tc>
          <w:tcPr>
            <w:tcW w:w="2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-2915285</wp:posOffset>
            </wp:positionV>
            <wp:extent cx="350774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4"/>
          <w:szCs w:val="14"/>
          <w:i w:val="1"/>
          <w:iCs w:val="1"/>
          <w:color w:val="auto"/>
        </w:rPr>
        <w:t>Notes to the 2018 Grants of Plan-Based Awards Table</w:t>
      </w:r>
    </w:p>
    <w:p>
      <w:pPr>
        <w:spacing w:after="0" w:line="127" w:lineRule="exact"/>
        <w:rPr>
          <w:sz w:val="20"/>
          <w:szCs w:val="20"/>
          <w:color w:val="auto"/>
        </w:rPr>
      </w:pPr>
    </w:p>
    <w:p>
      <w:pPr>
        <w:ind w:left="420" w:hanging="216"/>
        <w:spacing w:after="0"/>
        <w:tabs>
          <w:tab w:leader="none" w:pos="42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Reflects the potential future payouts of awards granted in 2018 under our 2018 annual bonus plan and our LTI program for each NEO as of the respective grant dates.</w:t>
      </w:r>
    </w:p>
    <w:p>
      <w:pPr>
        <w:spacing w:after="0" w:line="1" w:lineRule="exact"/>
        <w:rPr>
          <w:rFonts w:ascii="Arial" w:cs="Arial" w:eastAsia="Arial" w:hAnsi="Arial"/>
          <w:sz w:val="14"/>
          <w:szCs w:val="14"/>
          <w:color w:val="auto"/>
        </w:rPr>
      </w:pPr>
    </w:p>
    <w:p>
      <w:pPr>
        <w:ind w:left="420" w:right="40" w:hanging="216"/>
        <w:spacing w:after="0" w:line="241" w:lineRule="auto"/>
        <w:tabs>
          <w:tab w:leader="none" w:pos="42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Represents the grant date fair value of PSUs, MSUs and RSUs, computed in accordance with ASC 718, excluding the effect of estimated forfeitures. The grant date fair value for MSU awards is estimated as of the date of grant using a lattice model with a Monte Carlo simulation based on the probable outcome of applicable performance conditions. The grant date fair value for both PSU and RSU awards is determined by multiplying the number of shares subject to the award (assuming target performance for PSUs) by the closing price of our common stock on the grant date. For the 2018 Cash-Settled PSUs, the grant date value of one-third of the award is included, which is the tranche of the award for which goals had been set relating to the 2018 performance period and fair value was determinable in 2018. The remaining tranches of the 2018 Cash-Settled PSUs will be included in compensation tables for 2019 and 2020, the years when goals will be set with respect to such performance periods and fair value is determinable. The assumptions used to calculate the grant date fair value of stock awards are included in footnote 16 of our 2018 Annual Report on Form 10-K. The maximum payouts for these awards are included in the footnotes following the Summary Compensation Table above.</w:t>
      </w:r>
    </w:p>
    <w:p>
      <w:pPr>
        <w:spacing w:after="0" w:line="3" w:lineRule="exact"/>
        <w:rPr>
          <w:rFonts w:ascii="Arial" w:cs="Arial" w:eastAsia="Arial" w:hAnsi="Arial"/>
          <w:sz w:val="14"/>
          <w:szCs w:val="14"/>
          <w:color w:val="auto"/>
        </w:rPr>
      </w:pPr>
    </w:p>
    <w:p>
      <w:pPr>
        <w:ind w:left="420" w:right="120" w:hanging="216"/>
        <w:spacing w:after="0" w:line="241" w:lineRule="auto"/>
        <w:tabs>
          <w:tab w:leader="none" w:pos="42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These amounts relate to the annual grant of MSUs. MSU grants represent 50% of the annual LTI grant date target value (excluding one-time RSU grants). These are performance-based RSUs tied to the growth in our stock price between the grant date and each of three annual vesting dates. The number of MSUs earned is determined on each vesting date. Columns (f), (g) and (h) represent the number of MSUs that can be earned based on performance at the threshold level of 50%, target level of 100% and the maximum level of 200%, respectively. To the extent earned, the award becomes eligible to vest ratably over three years, generally subject to continued service, as described in further detail under the heading “Long-Term Incentives” above.</w:t>
      </w:r>
    </w:p>
    <w:p>
      <w:pPr>
        <w:spacing w:after="0" w:line="1" w:lineRule="exact"/>
        <w:rPr>
          <w:rFonts w:ascii="Arial" w:cs="Arial" w:eastAsia="Arial" w:hAnsi="Arial"/>
          <w:sz w:val="14"/>
          <w:szCs w:val="14"/>
          <w:color w:val="auto"/>
        </w:rPr>
      </w:pPr>
    </w:p>
    <w:p>
      <w:pPr>
        <w:ind w:left="420" w:right="20" w:hanging="216"/>
        <w:spacing w:after="0" w:line="241" w:lineRule="auto"/>
        <w:tabs>
          <w:tab w:leader="none" w:pos="42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These amounts relate to the annual grant of PSUs. PSU grants represent 50% of the annual LTI grant date target value (excluding one-time RSU grants). The PSUs have three-year cliff vesting. The amounts shown include the 2018 Stock-Settled PSUs and one-third of the 2018 Cash-Settled PSUs, which is the tranche of the award for which goals had been set in 2018 relating to the 2018 performance period and fair value was determinable in 2018. The remaining tranches of the 2018 Cash-Settled PSUs will be included in compensation tables for 2019 and 2020, the years when goals will be set with respect to such performance periods and fair value is determinable. Columns (f), (g) and (h) represent the number of 2018 Stock-Settled PSUs and the 2018 tranche of the 2018 Cash-Settled PSUs that can be earned if the Company Multiplier were 50%, 100% and 200%, respectively. For additional information on our PSU awards, please see “Long-Term Incentives—2018 PSUs” above.</w:t>
      </w:r>
    </w:p>
    <w:p>
      <w:pPr>
        <w:spacing w:after="0" w:line="2" w:lineRule="exact"/>
        <w:rPr>
          <w:rFonts w:ascii="Arial" w:cs="Arial" w:eastAsia="Arial" w:hAnsi="Arial"/>
          <w:sz w:val="14"/>
          <w:szCs w:val="14"/>
          <w:color w:val="auto"/>
        </w:rPr>
      </w:pPr>
    </w:p>
    <w:p>
      <w:pPr>
        <w:ind w:left="420" w:right="360" w:hanging="216"/>
        <w:spacing w:after="0" w:line="247" w:lineRule="auto"/>
        <w:tabs>
          <w:tab w:leader="none" w:pos="42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These amounts relate to our 2018 annual bonus plan. The amounts shown in column (d) represent the 2018 target payout amount based on the target percentage applied to each NEO’s base salary as of December 31, 2018. For 2018 the bonus targets were 140% of base salary for Mr. Vounatsos and 70% of base salary for all other NEOs. The amounts in column (c), (d) and (e) represent a payment if the Company Multiplier and the Individual Multiplier were each 50%, 100% and 150%, respectively. Actual amounts paid to each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73660</wp:posOffset>
            </wp:positionV>
            <wp:extent cx="685800" cy="15430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-71120</wp:posOffset>
            </wp:positionV>
            <wp:extent cx="102870" cy="946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129"/>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under our 2018 annual bonus plan are included in the “Non-Equity Incentive Plan Compensation” column of the Summary Compensation Table above.</w:t>
      </w:r>
    </w:p>
    <w:p>
      <w:pPr>
        <w:spacing w:after="0" w:line="1" w:lineRule="exact"/>
        <w:rPr>
          <w:sz w:val="20"/>
          <w:szCs w:val="20"/>
          <w:color w:val="auto"/>
        </w:rPr>
      </w:pPr>
    </w:p>
    <w:p>
      <w:pPr>
        <w:ind w:left="420" w:right="140" w:hanging="216"/>
        <w:spacing w:after="0" w:line="258" w:lineRule="auto"/>
        <w:tabs>
          <w:tab w:leader="none" w:pos="42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These amounts relate to one-time transition awards of RSUs granted to each of the NEOs, except Messrs. Vounatsos and Capello, as described under “2018 One-Time Transition Awards” above.</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1A6DBB"/>
        </w:rPr>
        <w:t>Outstanding Equity Awards at 2018 Fiscal Year-End</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summarizes the equity awards that were outstanding as of December 31, 2018, for each of our NEOs.</w:t>
      </w:r>
    </w:p>
    <w:p>
      <w:pPr>
        <w:spacing w:after="0" w:line="245"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3160" w:type="dxa"/>
            <w:vAlign w:val="bottom"/>
            <w:shd w:val="clear" w:color="auto" w:fill="1A6DBB"/>
          </w:tcPr>
          <w:p>
            <w:pPr>
              <w:spacing w:after="0"/>
              <w:rPr>
                <w:sz w:val="13"/>
                <w:szCs w:val="13"/>
                <w:color w:val="auto"/>
              </w:rPr>
            </w:pPr>
          </w:p>
        </w:tc>
        <w:tc>
          <w:tcPr>
            <w:tcW w:w="820" w:type="dxa"/>
            <w:vAlign w:val="bottom"/>
            <w:shd w:val="clear" w:color="auto" w:fill="1A6DBB"/>
          </w:tcPr>
          <w:p>
            <w:pPr>
              <w:spacing w:after="0"/>
              <w:rPr>
                <w:sz w:val="13"/>
                <w:szCs w:val="13"/>
                <w:color w:val="auto"/>
              </w:rPr>
            </w:pPr>
          </w:p>
        </w:tc>
        <w:tc>
          <w:tcPr>
            <w:tcW w:w="420" w:type="dxa"/>
            <w:vAlign w:val="bottom"/>
            <w:shd w:val="clear" w:color="auto" w:fill="1A6DBB"/>
          </w:tcPr>
          <w:p>
            <w:pPr>
              <w:spacing w:after="0"/>
              <w:rPr>
                <w:sz w:val="13"/>
                <w:szCs w:val="13"/>
                <w:color w:val="auto"/>
              </w:rPr>
            </w:pPr>
          </w:p>
        </w:tc>
        <w:tc>
          <w:tcPr>
            <w:tcW w:w="180" w:type="dxa"/>
            <w:vAlign w:val="bottom"/>
            <w:shd w:val="clear" w:color="auto" w:fill="1A6DBB"/>
          </w:tcPr>
          <w:p>
            <w:pPr>
              <w:spacing w:after="0"/>
              <w:rPr>
                <w:sz w:val="13"/>
                <w:szCs w:val="13"/>
                <w:color w:val="auto"/>
              </w:rPr>
            </w:pPr>
          </w:p>
        </w:tc>
        <w:tc>
          <w:tcPr>
            <w:tcW w:w="1140" w:type="dxa"/>
            <w:vAlign w:val="bottom"/>
            <w:shd w:val="clear" w:color="auto" w:fill="1A6DBB"/>
          </w:tcPr>
          <w:p>
            <w:pPr>
              <w:spacing w:after="0"/>
              <w:rPr>
                <w:sz w:val="13"/>
                <w:szCs w:val="13"/>
                <w:color w:val="auto"/>
              </w:rPr>
            </w:pPr>
          </w:p>
        </w:tc>
        <w:tc>
          <w:tcPr>
            <w:tcW w:w="1380" w:type="dxa"/>
            <w:vAlign w:val="bottom"/>
            <w:gridSpan w:val="2"/>
            <w:shd w:val="clear" w:color="auto" w:fill="1A6DBB"/>
          </w:tcPr>
          <w:p>
            <w:pPr>
              <w:jc w:val="right"/>
              <w:ind w:right="437"/>
              <w:spacing w:after="0"/>
              <w:rPr>
                <w:sz w:val="20"/>
                <w:szCs w:val="20"/>
                <w:color w:val="auto"/>
              </w:rPr>
            </w:pPr>
            <w:r>
              <w:rPr>
                <w:rFonts w:ascii="Arial" w:cs="Arial" w:eastAsia="Arial" w:hAnsi="Arial"/>
                <w:sz w:val="13"/>
                <w:szCs w:val="13"/>
                <w:color w:val="FFFFFF"/>
              </w:rPr>
              <w:t>Option Awards</w:t>
            </w:r>
          </w:p>
        </w:tc>
        <w:tc>
          <w:tcPr>
            <w:tcW w:w="820" w:type="dxa"/>
            <w:vAlign w:val="bottom"/>
            <w:shd w:val="clear" w:color="auto" w:fill="1A6DBB"/>
          </w:tcPr>
          <w:p>
            <w:pPr>
              <w:spacing w:after="0"/>
              <w:rPr>
                <w:sz w:val="13"/>
                <w:szCs w:val="13"/>
                <w:color w:val="auto"/>
              </w:rPr>
            </w:pPr>
          </w:p>
        </w:tc>
        <w:tc>
          <w:tcPr>
            <w:tcW w:w="620" w:type="dxa"/>
            <w:vAlign w:val="bottom"/>
            <w:shd w:val="clear" w:color="auto" w:fill="1A6DBB"/>
          </w:tcPr>
          <w:p>
            <w:pPr>
              <w:spacing w:after="0"/>
              <w:rPr>
                <w:sz w:val="13"/>
                <w:szCs w:val="13"/>
                <w:color w:val="auto"/>
              </w:rPr>
            </w:pPr>
          </w:p>
        </w:tc>
        <w:tc>
          <w:tcPr>
            <w:tcW w:w="160" w:type="dxa"/>
            <w:vAlign w:val="bottom"/>
            <w:shd w:val="clear" w:color="auto" w:fill="1A6DBB"/>
          </w:tcPr>
          <w:p>
            <w:pPr>
              <w:spacing w:after="0"/>
              <w:rPr>
                <w:sz w:val="13"/>
                <w:szCs w:val="13"/>
                <w:color w:val="auto"/>
              </w:rPr>
            </w:pPr>
          </w:p>
        </w:tc>
        <w:tc>
          <w:tcPr>
            <w:tcW w:w="1400" w:type="dxa"/>
            <w:vAlign w:val="bottom"/>
            <w:gridSpan w:val="2"/>
            <w:shd w:val="clear" w:color="auto" w:fill="1A6DBB"/>
          </w:tcPr>
          <w:p>
            <w:pPr>
              <w:jc w:val="right"/>
              <w:ind w:right="197"/>
              <w:spacing w:after="0"/>
              <w:rPr>
                <w:sz w:val="20"/>
                <w:szCs w:val="20"/>
                <w:color w:val="auto"/>
              </w:rPr>
            </w:pPr>
            <w:r>
              <w:rPr>
                <w:rFonts w:ascii="Arial" w:cs="Arial" w:eastAsia="Arial" w:hAnsi="Arial"/>
                <w:sz w:val="13"/>
                <w:szCs w:val="13"/>
                <w:color w:val="FFFFFF"/>
              </w:rPr>
              <w:t>Stock Awards</w:t>
            </w:r>
          </w:p>
        </w:tc>
        <w:tc>
          <w:tcPr>
            <w:tcW w:w="160" w:type="dxa"/>
            <w:vAlign w:val="bottom"/>
            <w:shd w:val="clear" w:color="auto" w:fill="1A6DBB"/>
          </w:tcPr>
          <w:p>
            <w:pPr>
              <w:spacing w:after="0"/>
              <w:rPr>
                <w:sz w:val="13"/>
                <w:szCs w:val="13"/>
                <w:color w:val="auto"/>
              </w:rPr>
            </w:pPr>
          </w:p>
        </w:tc>
        <w:tc>
          <w:tcPr>
            <w:tcW w:w="760" w:type="dxa"/>
            <w:vAlign w:val="bottom"/>
            <w:shd w:val="clear" w:color="auto" w:fill="1A6DBB"/>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160" w:type="dxa"/>
            <w:vAlign w:val="bottom"/>
            <w:shd w:val="clear" w:color="auto" w:fill="1A6DBB"/>
          </w:tcPr>
          <w:p>
            <w:pPr>
              <w:spacing w:after="0"/>
              <w:rPr>
                <w:sz w:val="12"/>
                <w:szCs w:val="12"/>
                <w:color w:val="auto"/>
              </w:rPr>
            </w:pPr>
          </w:p>
        </w:tc>
        <w:tc>
          <w:tcPr>
            <w:tcW w:w="820" w:type="dxa"/>
            <w:vAlign w:val="bottom"/>
            <w:shd w:val="clear" w:color="auto" w:fill="1A6DBB"/>
          </w:tcPr>
          <w:p>
            <w:pPr>
              <w:spacing w:after="0"/>
              <w:rPr>
                <w:sz w:val="12"/>
                <w:szCs w:val="12"/>
                <w:color w:val="auto"/>
              </w:rPr>
            </w:pPr>
          </w:p>
        </w:tc>
        <w:tc>
          <w:tcPr>
            <w:tcW w:w="420" w:type="dxa"/>
            <w:vAlign w:val="bottom"/>
            <w:shd w:val="clear" w:color="auto" w:fill="1A6DBB"/>
          </w:tcPr>
          <w:p>
            <w:pPr>
              <w:spacing w:after="0"/>
              <w:rPr>
                <w:sz w:val="12"/>
                <w:szCs w:val="12"/>
                <w:color w:val="auto"/>
              </w:rPr>
            </w:pPr>
          </w:p>
        </w:tc>
        <w:tc>
          <w:tcPr>
            <w:tcW w:w="180" w:type="dxa"/>
            <w:vAlign w:val="bottom"/>
            <w:shd w:val="clear" w:color="auto" w:fill="1A6DBB"/>
          </w:tcPr>
          <w:p>
            <w:pPr>
              <w:spacing w:after="0"/>
              <w:rPr>
                <w:sz w:val="12"/>
                <w:szCs w:val="12"/>
                <w:color w:val="auto"/>
              </w:rPr>
            </w:pPr>
          </w:p>
        </w:tc>
        <w:tc>
          <w:tcPr>
            <w:tcW w:w="1140" w:type="dxa"/>
            <w:vAlign w:val="bottom"/>
            <w:shd w:val="clear" w:color="auto" w:fill="1A6DBB"/>
          </w:tcPr>
          <w:p>
            <w:pPr>
              <w:spacing w:after="0"/>
              <w:rPr>
                <w:sz w:val="12"/>
                <w:szCs w:val="12"/>
                <w:color w:val="auto"/>
              </w:rPr>
            </w:pPr>
          </w:p>
        </w:tc>
        <w:tc>
          <w:tcPr>
            <w:tcW w:w="600" w:type="dxa"/>
            <w:vAlign w:val="bottom"/>
            <w:shd w:val="clear" w:color="auto" w:fill="1A6DBB"/>
          </w:tcPr>
          <w:p>
            <w:pPr>
              <w:spacing w:after="0"/>
              <w:rPr>
                <w:sz w:val="12"/>
                <w:szCs w:val="12"/>
                <w:color w:val="auto"/>
              </w:rPr>
            </w:pPr>
          </w:p>
        </w:tc>
        <w:tc>
          <w:tcPr>
            <w:tcW w:w="780" w:type="dxa"/>
            <w:vAlign w:val="bottom"/>
            <w:shd w:val="clear" w:color="auto" w:fill="1A6DBB"/>
          </w:tcPr>
          <w:p>
            <w:pPr>
              <w:spacing w:after="0"/>
              <w:rPr>
                <w:sz w:val="12"/>
                <w:szCs w:val="12"/>
                <w:color w:val="auto"/>
              </w:rPr>
            </w:pPr>
          </w:p>
        </w:tc>
        <w:tc>
          <w:tcPr>
            <w:tcW w:w="820" w:type="dxa"/>
            <w:vAlign w:val="bottom"/>
            <w:shd w:val="clear" w:color="auto" w:fill="1A6DBB"/>
          </w:tcPr>
          <w:p>
            <w:pPr>
              <w:spacing w:after="0"/>
              <w:rPr>
                <w:sz w:val="12"/>
                <w:szCs w:val="12"/>
                <w:color w:val="auto"/>
              </w:rPr>
            </w:pPr>
          </w:p>
        </w:tc>
        <w:tc>
          <w:tcPr>
            <w:tcW w:w="620" w:type="dxa"/>
            <w:vAlign w:val="bottom"/>
            <w:shd w:val="clear" w:color="auto" w:fill="1A6DBB"/>
          </w:tcPr>
          <w:p>
            <w:pPr>
              <w:spacing w:after="0"/>
              <w:rPr>
                <w:sz w:val="12"/>
                <w:szCs w:val="12"/>
                <w:color w:val="auto"/>
              </w:rPr>
            </w:pPr>
          </w:p>
        </w:tc>
        <w:tc>
          <w:tcPr>
            <w:tcW w:w="160" w:type="dxa"/>
            <w:vAlign w:val="bottom"/>
            <w:shd w:val="clear" w:color="auto" w:fill="1A6DBB"/>
          </w:tcPr>
          <w:p>
            <w:pPr>
              <w:spacing w:after="0"/>
              <w:rPr>
                <w:sz w:val="12"/>
                <w:szCs w:val="12"/>
                <w:color w:val="auto"/>
              </w:rPr>
            </w:pPr>
          </w:p>
        </w:tc>
        <w:tc>
          <w:tcPr>
            <w:tcW w:w="660" w:type="dxa"/>
            <w:vAlign w:val="bottom"/>
            <w:shd w:val="clear" w:color="auto" w:fill="1A6DBB"/>
          </w:tcPr>
          <w:p>
            <w:pPr>
              <w:spacing w:after="0"/>
              <w:rPr>
                <w:sz w:val="12"/>
                <w:szCs w:val="12"/>
                <w:color w:val="auto"/>
              </w:rPr>
            </w:pPr>
          </w:p>
        </w:tc>
        <w:tc>
          <w:tcPr>
            <w:tcW w:w="1660" w:type="dxa"/>
            <w:vAlign w:val="bottom"/>
            <w:gridSpan w:val="3"/>
            <w:shd w:val="clear" w:color="auto" w:fill="1A6DBB"/>
          </w:tcPr>
          <w:p>
            <w:pPr>
              <w:jc w:val="right"/>
              <w:ind w:right="197"/>
              <w:spacing w:after="0" w:line="143" w:lineRule="exact"/>
              <w:rPr>
                <w:sz w:val="20"/>
                <w:szCs w:val="20"/>
                <w:color w:val="auto"/>
              </w:rPr>
            </w:pPr>
            <w:r>
              <w:rPr>
                <w:rFonts w:ascii="Arial" w:cs="Arial" w:eastAsia="Arial" w:hAnsi="Arial"/>
                <w:sz w:val="13"/>
                <w:szCs w:val="13"/>
                <w:color w:val="FFFFFF"/>
              </w:rPr>
              <w:t>Equity Incentive Plan</w:t>
            </w:r>
          </w:p>
        </w:tc>
        <w:tc>
          <w:tcPr>
            <w:tcW w:w="0" w:type="dxa"/>
            <w:vAlign w:val="bottom"/>
          </w:tcPr>
          <w:p>
            <w:pPr>
              <w:spacing w:after="0"/>
              <w:rPr>
                <w:sz w:val="1"/>
                <w:szCs w:val="1"/>
                <w:color w:val="auto"/>
              </w:rPr>
            </w:pPr>
          </w:p>
        </w:tc>
      </w:tr>
      <w:tr>
        <w:trPr>
          <w:trHeight w:val="141"/>
        </w:trPr>
        <w:tc>
          <w:tcPr>
            <w:tcW w:w="3160" w:type="dxa"/>
            <w:vAlign w:val="bottom"/>
            <w:shd w:val="clear" w:color="auto" w:fill="1A6DBB"/>
          </w:tcPr>
          <w:p>
            <w:pPr>
              <w:spacing w:after="0"/>
              <w:rPr>
                <w:sz w:val="12"/>
                <w:szCs w:val="12"/>
                <w:color w:val="auto"/>
              </w:rPr>
            </w:pPr>
          </w:p>
        </w:tc>
        <w:tc>
          <w:tcPr>
            <w:tcW w:w="820" w:type="dxa"/>
            <w:vAlign w:val="bottom"/>
            <w:shd w:val="clear" w:color="auto" w:fill="1A6DBB"/>
          </w:tcPr>
          <w:p>
            <w:pPr>
              <w:spacing w:after="0"/>
              <w:rPr>
                <w:sz w:val="12"/>
                <w:szCs w:val="12"/>
                <w:color w:val="auto"/>
              </w:rPr>
            </w:pPr>
          </w:p>
        </w:tc>
        <w:tc>
          <w:tcPr>
            <w:tcW w:w="420" w:type="dxa"/>
            <w:vAlign w:val="bottom"/>
            <w:shd w:val="clear" w:color="auto" w:fill="1A6DBB"/>
          </w:tcPr>
          <w:p>
            <w:pPr>
              <w:spacing w:after="0"/>
              <w:rPr>
                <w:sz w:val="12"/>
                <w:szCs w:val="12"/>
                <w:color w:val="auto"/>
              </w:rPr>
            </w:pPr>
          </w:p>
        </w:tc>
        <w:tc>
          <w:tcPr>
            <w:tcW w:w="180" w:type="dxa"/>
            <w:vAlign w:val="bottom"/>
            <w:shd w:val="clear" w:color="auto" w:fill="1A6DBB"/>
          </w:tcPr>
          <w:p>
            <w:pPr>
              <w:spacing w:after="0"/>
              <w:rPr>
                <w:sz w:val="12"/>
                <w:szCs w:val="12"/>
                <w:color w:val="auto"/>
              </w:rPr>
            </w:pPr>
          </w:p>
        </w:tc>
        <w:tc>
          <w:tcPr>
            <w:tcW w:w="1140" w:type="dxa"/>
            <w:vAlign w:val="bottom"/>
            <w:shd w:val="clear" w:color="auto" w:fill="1A6DBB"/>
          </w:tcPr>
          <w:p>
            <w:pPr>
              <w:spacing w:after="0"/>
              <w:rPr>
                <w:sz w:val="12"/>
                <w:szCs w:val="12"/>
                <w:color w:val="auto"/>
              </w:rPr>
            </w:pPr>
          </w:p>
        </w:tc>
        <w:tc>
          <w:tcPr>
            <w:tcW w:w="600" w:type="dxa"/>
            <w:vAlign w:val="bottom"/>
            <w:shd w:val="clear" w:color="auto" w:fill="1A6DBB"/>
          </w:tcPr>
          <w:p>
            <w:pPr>
              <w:spacing w:after="0"/>
              <w:rPr>
                <w:sz w:val="12"/>
                <w:szCs w:val="12"/>
                <w:color w:val="auto"/>
              </w:rPr>
            </w:pPr>
          </w:p>
        </w:tc>
        <w:tc>
          <w:tcPr>
            <w:tcW w:w="780" w:type="dxa"/>
            <w:vAlign w:val="bottom"/>
            <w:shd w:val="clear" w:color="auto" w:fill="1A6DBB"/>
          </w:tcPr>
          <w:p>
            <w:pPr>
              <w:spacing w:after="0"/>
              <w:rPr>
                <w:sz w:val="12"/>
                <w:szCs w:val="12"/>
                <w:color w:val="auto"/>
              </w:rPr>
            </w:pPr>
          </w:p>
        </w:tc>
        <w:tc>
          <w:tcPr>
            <w:tcW w:w="820" w:type="dxa"/>
            <w:vAlign w:val="bottom"/>
            <w:shd w:val="clear" w:color="auto" w:fill="1A6DBB"/>
          </w:tcPr>
          <w:p>
            <w:pPr>
              <w:spacing w:after="0"/>
              <w:rPr>
                <w:sz w:val="12"/>
                <w:szCs w:val="12"/>
                <w:color w:val="auto"/>
              </w:rPr>
            </w:pPr>
          </w:p>
        </w:tc>
        <w:tc>
          <w:tcPr>
            <w:tcW w:w="620" w:type="dxa"/>
            <w:vAlign w:val="bottom"/>
            <w:vMerge w:val="restart"/>
            <w:shd w:val="clear" w:color="auto" w:fill="1A6DBB"/>
          </w:tcPr>
          <w:p>
            <w:pPr>
              <w:jc w:val="center"/>
              <w:spacing w:after="0"/>
              <w:rPr>
                <w:sz w:val="20"/>
                <w:szCs w:val="20"/>
                <w:color w:val="auto"/>
              </w:rPr>
            </w:pPr>
            <w:r>
              <w:rPr>
                <w:rFonts w:ascii="Arial" w:cs="Arial" w:eastAsia="Arial" w:hAnsi="Arial"/>
                <w:sz w:val="13"/>
                <w:szCs w:val="13"/>
                <w:color w:val="FFFFFF"/>
                <w:w w:val="99"/>
              </w:rPr>
              <w:t>Number</w:t>
            </w:r>
          </w:p>
        </w:tc>
        <w:tc>
          <w:tcPr>
            <w:tcW w:w="160" w:type="dxa"/>
            <w:vAlign w:val="bottom"/>
            <w:shd w:val="clear" w:color="auto" w:fill="1A6DBB"/>
          </w:tcPr>
          <w:p>
            <w:pPr>
              <w:spacing w:after="0"/>
              <w:rPr>
                <w:sz w:val="12"/>
                <w:szCs w:val="12"/>
                <w:color w:val="auto"/>
              </w:rPr>
            </w:pPr>
          </w:p>
        </w:tc>
        <w:tc>
          <w:tcPr>
            <w:tcW w:w="660" w:type="dxa"/>
            <w:vAlign w:val="bottom"/>
            <w:shd w:val="clear" w:color="auto" w:fill="1A6DBB"/>
          </w:tcPr>
          <w:p>
            <w:pPr>
              <w:spacing w:after="0"/>
              <w:rPr>
                <w:sz w:val="12"/>
                <w:szCs w:val="12"/>
                <w:color w:val="auto"/>
              </w:rPr>
            </w:pPr>
          </w:p>
        </w:tc>
        <w:tc>
          <w:tcPr>
            <w:tcW w:w="1660" w:type="dxa"/>
            <w:vAlign w:val="bottom"/>
            <w:gridSpan w:val="3"/>
            <w:shd w:val="clear" w:color="auto" w:fill="1A6DBB"/>
          </w:tcPr>
          <w:p>
            <w:pPr>
              <w:jc w:val="right"/>
              <w:ind w:right="577"/>
              <w:spacing w:after="0" w:line="141" w:lineRule="exact"/>
              <w:rPr>
                <w:sz w:val="20"/>
                <w:szCs w:val="20"/>
                <w:color w:val="auto"/>
              </w:rPr>
            </w:pPr>
            <w:r>
              <w:rPr>
                <w:rFonts w:ascii="Arial" w:cs="Arial" w:eastAsia="Arial" w:hAnsi="Arial"/>
                <w:sz w:val="13"/>
                <w:szCs w:val="13"/>
                <w:color w:val="FFFFFF"/>
              </w:rPr>
              <w:t>Awards</w:t>
            </w:r>
          </w:p>
        </w:tc>
        <w:tc>
          <w:tcPr>
            <w:tcW w:w="0" w:type="dxa"/>
            <w:vAlign w:val="bottom"/>
          </w:tcPr>
          <w:p>
            <w:pPr>
              <w:spacing w:after="0"/>
              <w:rPr>
                <w:sz w:val="1"/>
                <w:szCs w:val="1"/>
                <w:color w:val="auto"/>
              </w:rPr>
            </w:pPr>
          </w:p>
        </w:tc>
      </w:tr>
      <w:tr>
        <w:trPr>
          <w:trHeight w:val="143"/>
        </w:trPr>
        <w:tc>
          <w:tcPr>
            <w:tcW w:w="3160" w:type="dxa"/>
            <w:vAlign w:val="bottom"/>
            <w:shd w:val="clear" w:color="auto" w:fill="1A6DBB"/>
          </w:tcPr>
          <w:p>
            <w:pPr>
              <w:spacing w:after="0"/>
              <w:rPr>
                <w:sz w:val="12"/>
                <w:szCs w:val="12"/>
                <w:color w:val="auto"/>
              </w:rPr>
            </w:pPr>
          </w:p>
        </w:tc>
        <w:tc>
          <w:tcPr>
            <w:tcW w:w="820" w:type="dxa"/>
            <w:vAlign w:val="bottom"/>
            <w:shd w:val="clear" w:color="auto" w:fill="1A6DBB"/>
          </w:tcPr>
          <w:p>
            <w:pPr>
              <w:spacing w:after="0"/>
              <w:rPr>
                <w:sz w:val="12"/>
                <w:szCs w:val="12"/>
                <w:color w:val="auto"/>
              </w:rPr>
            </w:pPr>
          </w:p>
        </w:tc>
        <w:tc>
          <w:tcPr>
            <w:tcW w:w="420" w:type="dxa"/>
            <w:vAlign w:val="bottom"/>
            <w:shd w:val="clear" w:color="auto" w:fill="1A6DBB"/>
          </w:tcPr>
          <w:p>
            <w:pPr>
              <w:spacing w:after="0"/>
              <w:rPr>
                <w:sz w:val="12"/>
                <w:szCs w:val="12"/>
                <w:color w:val="auto"/>
              </w:rPr>
            </w:pPr>
          </w:p>
        </w:tc>
        <w:tc>
          <w:tcPr>
            <w:tcW w:w="180" w:type="dxa"/>
            <w:vAlign w:val="bottom"/>
            <w:shd w:val="clear" w:color="auto" w:fill="1A6DBB"/>
          </w:tcPr>
          <w:p>
            <w:pPr>
              <w:spacing w:after="0"/>
              <w:rPr>
                <w:sz w:val="12"/>
                <w:szCs w:val="12"/>
                <w:color w:val="auto"/>
              </w:rPr>
            </w:pPr>
          </w:p>
        </w:tc>
        <w:tc>
          <w:tcPr>
            <w:tcW w:w="1140" w:type="dxa"/>
            <w:vAlign w:val="bottom"/>
            <w:shd w:val="clear" w:color="auto" w:fill="1A6DBB"/>
          </w:tcPr>
          <w:p>
            <w:pPr>
              <w:spacing w:after="0"/>
              <w:rPr>
                <w:sz w:val="12"/>
                <w:szCs w:val="12"/>
                <w:color w:val="auto"/>
              </w:rPr>
            </w:pPr>
          </w:p>
        </w:tc>
        <w:tc>
          <w:tcPr>
            <w:tcW w:w="600" w:type="dxa"/>
            <w:vAlign w:val="bottom"/>
            <w:shd w:val="clear" w:color="auto" w:fill="1A6DBB"/>
          </w:tcPr>
          <w:p>
            <w:pPr>
              <w:spacing w:after="0"/>
              <w:rPr>
                <w:sz w:val="12"/>
                <w:szCs w:val="12"/>
                <w:color w:val="auto"/>
              </w:rPr>
            </w:pPr>
          </w:p>
        </w:tc>
        <w:tc>
          <w:tcPr>
            <w:tcW w:w="780" w:type="dxa"/>
            <w:vAlign w:val="bottom"/>
            <w:shd w:val="clear" w:color="auto" w:fill="1A6DBB"/>
          </w:tcPr>
          <w:p>
            <w:pPr>
              <w:spacing w:after="0"/>
              <w:rPr>
                <w:sz w:val="12"/>
                <w:szCs w:val="12"/>
                <w:color w:val="auto"/>
              </w:rPr>
            </w:pPr>
          </w:p>
        </w:tc>
        <w:tc>
          <w:tcPr>
            <w:tcW w:w="820" w:type="dxa"/>
            <w:vAlign w:val="bottom"/>
            <w:shd w:val="clear" w:color="auto" w:fill="1A6DBB"/>
          </w:tcPr>
          <w:p>
            <w:pPr>
              <w:spacing w:after="0"/>
              <w:rPr>
                <w:sz w:val="12"/>
                <w:szCs w:val="12"/>
                <w:color w:val="auto"/>
              </w:rPr>
            </w:pPr>
          </w:p>
        </w:tc>
        <w:tc>
          <w:tcPr>
            <w:tcW w:w="620" w:type="dxa"/>
            <w:vAlign w:val="bottom"/>
            <w:vMerge w:val="continue"/>
            <w:shd w:val="clear" w:color="auto" w:fill="1A6DBB"/>
          </w:tcPr>
          <w:p>
            <w:pPr>
              <w:spacing w:after="0"/>
              <w:rPr>
                <w:sz w:val="12"/>
                <w:szCs w:val="12"/>
                <w:color w:val="auto"/>
              </w:rPr>
            </w:pPr>
          </w:p>
        </w:tc>
        <w:tc>
          <w:tcPr>
            <w:tcW w:w="160" w:type="dxa"/>
            <w:vAlign w:val="bottom"/>
            <w:shd w:val="clear" w:color="auto" w:fill="1A6DBB"/>
          </w:tcPr>
          <w:p>
            <w:pPr>
              <w:spacing w:after="0"/>
              <w:rPr>
                <w:sz w:val="12"/>
                <w:szCs w:val="12"/>
                <w:color w:val="auto"/>
              </w:rPr>
            </w:pPr>
          </w:p>
        </w:tc>
        <w:tc>
          <w:tcPr>
            <w:tcW w:w="660" w:type="dxa"/>
            <w:vAlign w:val="bottom"/>
            <w:shd w:val="clear" w:color="auto" w:fill="1A6DBB"/>
          </w:tcPr>
          <w:p>
            <w:pPr>
              <w:spacing w:after="0"/>
              <w:rPr>
                <w:sz w:val="12"/>
                <w:szCs w:val="12"/>
                <w:color w:val="auto"/>
              </w:rPr>
            </w:pPr>
          </w:p>
        </w:tc>
        <w:tc>
          <w:tcPr>
            <w:tcW w:w="740" w:type="dxa"/>
            <w:vAlign w:val="bottom"/>
            <w:shd w:val="clear" w:color="auto" w:fill="1A6DBB"/>
          </w:tcPr>
          <w:p>
            <w:pPr>
              <w:spacing w:after="0"/>
              <w:rPr>
                <w:sz w:val="12"/>
                <w:szCs w:val="12"/>
                <w:color w:val="auto"/>
              </w:rPr>
            </w:pPr>
          </w:p>
        </w:tc>
        <w:tc>
          <w:tcPr>
            <w:tcW w:w="160" w:type="dxa"/>
            <w:vAlign w:val="bottom"/>
            <w:shd w:val="clear" w:color="auto" w:fill="1A6DBB"/>
          </w:tcPr>
          <w:p>
            <w:pPr>
              <w:spacing w:after="0"/>
              <w:rPr>
                <w:sz w:val="12"/>
                <w:szCs w:val="12"/>
                <w:color w:val="auto"/>
              </w:rPr>
            </w:pPr>
          </w:p>
        </w:tc>
        <w:tc>
          <w:tcPr>
            <w:tcW w:w="760" w:type="dxa"/>
            <w:vAlign w:val="bottom"/>
            <w:shd w:val="clear" w:color="auto" w:fill="1A6DBB"/>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shd w:val="clear" w:color="auto" w:fill="1A6DBB"/>
          </w:tcPr>
          <w:p>
            <w:pPr>
              <w:spacing w:after="0"/>
              <w:rPr>
                <w:sz w:val="11"/>
                <w:szCs w:val="11"/>
                <w:color w:val="auto"/>
              </w:rPr>
            </w:pPr>
          </w:p>
        </w:tc>
        <w:tc>
          <w:tcPr>
            <w:tcW w:w="820" w:type="dxa"/>
            <w:vAlign w:val="bottom"/>
            <w:shd w:val="clear" w:color="auto" w:fill="1A6DBB"/>
          </w:tcPr>
          <w:p>
            <w:pPr>
              <w:spacing w:after="0"/>
              <w:rPr>
                <w:sz w:val="11"/>
                <w:szCs w:val="11"/>
                <w:color w:val="auto"/>
              </w:rPr>
            </w:pPr>
          </w:p>
        </w:tc>
        <w:tc>
          <w:tcPr>
            <w:tcW w:w="420" w:type="dxa"/>
            <w:vAlign w:val="bottom"/>
            <w:shd w:val="clear" w:color="auto" w:fill="1A6DBB"/>
          </w:tcPr>
          <w:p>
            <w:pPr>
              <w:spacing w:after="0"/>
              <w:rPr>
                <w:sz w:val="11"/>
                <w:szCs w:val="11"/>
                <w:color w:val="auto"/>
              </w:rPr>
            </w:pPr>
          </w:p>
        </w:tc>
        <w:tc>
          <w:tcPr>
            <w:tcW w:w="180" w:type="dxa"/>
            <w:vAlign w:val="bottom"/>
            <w:shd w:val="clear" w:color="auto" w:fill="1A6DBB"/>
          </w:tcPr>
          <w:p>
            <w:pPr>
              <w:spacing w:after="0"/>
              <w:rPr>
                <w:sz w:val="11"/>
                <w:szCs w:val="11"/>
                <w:color w:val="auto"/>
              </w:rPr>
            </w:pPr>
          </w:p>
        </w:tc>
        <w:tc>
          <w:tcPr>
            <w:tcW w:w="1140" w:type="dxa"/>
            <w:vAlign w:val="bottom"/>
            <w:shd w:val="clear" w:color="auto" w:fill="1A6DBB"/>
          </w:tcPr>
          <w:p>
            <w:pPr>
              <w:spacing w:after="0"/>
              <w:rPr>
                <w:sz w:val="11"/>
                <w:szCs w:val="11"/>
                <w:color w:val="auto"/>
              </w:rPr>
            </w:pPr>
          </w:p>
        </w:tc>
        <w:tc>
          <w:tcPr>
            <w:tcW w:w="600" w:type="dxa"/>
            <w:vAlign w:val="bottom"/>
            <w:shd w:val="clear" w:color="auto" w:fill="1A6DBB"/>
          </w:tcPr>
          <w:p>
            <w:pPr>
              <w:spacing w:after="0"/>
              <w:rPr>
                <w:sz w:val="11"/>
                <w:szCs w:val="11"/>
                <w:color w:val="auto"/>
              </w:rPr>
            </w:pPr>
          </w:p>
        </w:tc>
        <w:tc>
          <w:tcPr>
            <w:tcW w:w="780" w:type="dxa"/>
            <w:vAlign w:val="bottom"/>
            <w:shd w:val="clear" w:color="auto" w:fill="1A6DBB"/>
          </w:tcPr>
          <w:p>
            <w:pPr>
              <w:spacing w:after="0"/>
              <w:rPr>
                <w:sz w:val="11"/>
                <w:szCs w:val="11"/>
                <w:color w:val="auto"/>
              </w:rPr>
            </w:pPr>
          </w:p>
        </w:tc>
        <w:tc>
          <w:tcPr>
            <w:tcW w:w="820" w:type="dxa"/>
            <w:vAlign w:val="bottom"/>
            <w:shd w:val="clear" w:color="auto" w:fill="1A6DBB"/>
          </w:tcPr>
          <w:p>
            <w:pPr>
              <w:spacing w:after="0"/>
              <w:rPr>
                <w:sz w:val="11"/>
                <w:szCs w:val="11"/>
                <w:color w:val="auto"/>
              </w:rPr>
            </w:pPr>
          </w:p>
        </w:tc>
        <w:tc>
          <w:tcPr>
            <w:tcW w:w="620" w:type="dxa"/>
            <w:vAlign w:val="bottom"/>
            <w:shd w:val="clear" w:color="auto" w:fill="1A6DBB"/>
          </w:tcPr>
          <w:p>
            <w:pPr>
              <w:jc w:val="center"/>
              <w:spacing w:after="0" w:line="135" w:lineRule="exact"/>
              <w:rPr>
                <w:sz w:val="20"/>
                <w:szCs w:val="20"/>
                <w:color w:val="auto"/>
              </w:rPr>
            </w:pPr>
            <w:r>
              <w:rPr>
                <w:rFonts w:ascii="Arial" w:cs="Arial" w:eastAsia="Arial" w:hAnsi="Arial"/>
                <w:sz w:val="13"/>
                <w:szCs w:val="13"/>
                <w:color w:val="FFFFFF"/>
                <w:w w:val="91"/>
              </w:rPr>
              <w:t>of</w:t>
            </w:r>
          </w:p>
        </w:tc>
        <w:tc>
          <w:tcPr>
            <w:tcW w:w="160" w:type="dxa"/>
            <w:vAlign w:val="bottom"/>
            <w:shd w:val="clear" w:color="auto" w:fill="1A6DBB"/>
          </w:tcPr>
          <w:p>
            <w:pPr>
              <w:spacing w:after="0"/>
              <w:rPr>
                <w:sz w:val="11"/>
                <w:szCs w:val="11"/>
                <w:color w:val="auto"/>
              </w:rPr>
            </w:pPr>
          </w:p>
        </w:tc>
        <w:tc>
          <w:tcPr>
            <w:tcW w:w="660" w:type="dxa"/>
            <w:vAlign w:val="bottom"/>
            <w:shd w:val="clear" w:color="auto" w:fill="1A6DBB"/>
          </w:tcPr>
          <w:p>
            <w:pPr>
              <w:jc w:val="center"/>
              <w:ind w:right="117"/>
              <w:spacing w:after="0" w:line="135" w:lineRule="exact"/>
              <w:rPr>
                <w:sz w:val="20"/>
                <w:szCs w:val="20"/>
                <w:color w:val="auto"/>
              </w:rPr>
            </w:pPr>
            <w:r>
              <w:rPr>
                <w:rFonts w:ascii="Arial" w:cs="Arial" w:eastAsia="Arial" w:hAnsi="Arial"/>
                <w:sz w:val="13"/>
                <w:szCs w:val="13"/>
                <w:color w:val="FFFFFF"/>
              </w:rPr>
              <w:t>Market</w:t>
            </w:r>
          </w:p>
        </w:tc>
        <w:tc>
          <w:tcPr>
            <w:tcW w:w="740" w:type="dxa"/>
            <w:vAlign w:val="bottom"/>
            <w:shd w:val="clear" w:color="auto" w:fill="1A6DBB"/>
          </w:tcPr>
          <w:p>
            <w:pPr>
              <w:jc w:val="center"/>
              <w:spacing w:after="0" w:line="135" w:lineRule="exact"/>
              <w:rPr>
                <w:sz w:val="20"/>
                <w:szCs w:val="20"/>
                <w:color w:val="auto"/>
              </w:rPr>
            </w:pPr>
            <w:r>
              <w:rPr>
                <w:rFonts w:ascii="Arial" w:cs="Arial" w:eastAsia="Arial" w:hAnsi="Arial"/>
                <w:sz w:val="13"/>
                <w:szCs w:val="13"/>
                <w:color w:val="FFFFFF"/>
                <w:w w:val="99"/>
              </w:rPr>
              <w:t>Number</w:t>
            </w:r>
          </w:p>
        </w:tc>
        <w:tc>
          <w:tcPr>
            <w:tcW w:w="160" w:type="dxa"/>
            <w:vAlign w:val="bottom"/>
            <w:shd w:val="clear" w:color="auto" w:fill="1A6DBB"/>
          </w:tcPr>
          <w:p>
            <w:pPr>
              <w:spacing w:after="0"/>
              <w:rPr>
                <w:sz w:val="11"/>
                <w:szCs w:val="11"/>
                <w:color w:val="auto"/>
              </w:rPr>
            </w:pPr>
          </w:p>
        </w:tc>
        <w:tc>
          <w:tcPr>
            <w:tcW w:w="760" w:type="dxa"/>
            <w:vAlign w:val="bottom"/>
            <w:shd w:val="clear" w:color="auto" w:fill="1A6DBB"/>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shd w:val="clear" w:color="auto" w:fill="1A6DBB"/>
          </w:tcPr>
          <w:p>
            <w:pPr>
              <w:spacing w:after="0"/>
              <w:rPr>
                <w:sz w:val="11"/>
                <w:szCs w:val="11"/>
                <w:color w:val="auto"/>
              </w:rPr>
            </w:pPr>
          </w:p>
        </w:tc>
        <w:tc>
          <w:tcPr>
            <w:tcW w:w="820" w:type="dxa"/>
            <w:vAlign w:val="bottom"/>
            <w:shd w:val="clear" w:color="auto" w:fill="1A6DBB"/>
          </w:tcPr>
          <w:p>
            <w:pPr>
              <w:spacing w:after="0"/>
              <w:rPr>
                <w:sz w:val="11"/>
                <w:szCs w:val="11"/>
                <w:color w:val="auto"/>
              </w:rPr>
            </w:pPr>
          </w:p>
        </w:tc>
        <w:tc>
          <w:tcPr>
            <w:tcW w:w="420" w:type="dxa"/>
            <w:vAlign w:val="bottom"/>
            <w:shd w:val="clear" w:color="auto" w:fill="1A6DBB"/>
          </w:tcPr>
          <w:p>
            <w:pPr>
              <w:spacing w:after="0"/>
              <w:rPr>
                <w:sz w:val="11"/>
                <w:szCs w:val="11"/>
                <w:color w:val="auto"/>
              </w:rPr>
            </w:pPr>
          </w:p>
        </w:tc>
        <w:tc>
          <w:tcPr>
            <w:tcW w:w="180" w:type="dxa"/>
            <w:vAlign w:val="bottom"/>
            <w:shd w:val="clear" w:color="auto" w:fill="1A6DBB"/>
          </w:tcPr>
          <w:p>
            <w:pPr>
              <w:spacing w:after="0"/>
              <w:rPr>
                <w:sz w:val="11"/>
                <w:szCs w:val="11"/>
                <w:color w:val="auto"/>
              </w:rPr>
            </w:pPr>
          </w:p>
        </w:tc>
        <w:tc>
          <w:tcPr>
            <w:tcW w:w="1140" w:type="dxa"/>
            <w:vAlign w:val="bottom"/>
            <w:shd w:val="clear" w:color="auto" w:fill="1A6DBB"/>
          </w:tcPr>
          <w:p>
            <w:pPr>
              <w:spacing w:after="0"/>
              <w:rPr>
                <w:sz w:val="11"/>
                <w:szCs w:val="11"/>
                <w:color w:val="auto"/>
              </w:rPr>
            </w:pPr>
          </w:p>
        </w:tc>
        <w:tc>
          <w:tcPr>
            <w:tcW w:w="600" w:type="dxa"/>
            <w:vAlign w:val="bottom"/>
            <w:shd w:val="clear" w:color="auto" w:fill="1A6DBB"/>
          </w:tcPr>
          <w:p>
            <w:pPr>
              <w:spacing w:after="0"/>
              <w:rPr>
                <w:sz w:val="11"/>
                <w:szCs w:val="11"/>
                <w:color w:val="auto"/>
              </w:rPr>
            </w:pPr>
          </w:p>
        </w:tc>
        <w:tc>
          <w:tcPr>
            <w:tcW w:w="780" w:type="dxa"/>
            <w:vAlign w:val="bottom"/>
            <w:shd w:val="clear" w:color="auto" w:fill="1A6DBB"/>
          </w:tcPr>
          <w:p>
            <w:pPr>
              <w:spacing w:after="0"/>
              <w:rPr>
                <w:sz w:val="11"/>
                <w:szCs w:val="11"/>
                <w:color w:val="auto"/>
              </w:rPr>
            </w:pPr>
          </w:p>
        </w:tc>
        <w:tc>
          <w:tcPr>
            <w:tcW w:w="820" w:type="dxa"/>
            <w:vAlign w:val="bottom"/>
            <w:shd w:val="clear" w:color="auto" w:fill="1A6DBB"/>
          </w:tcPr>
          <w:p>
            <w:pPr>
              <w:spacing w:after="0"/>
              <w:rPr>
                <w:sz w:val="11"/>
                <w:szCs w:val="11"/>
                <w:color w:val="auto"/>
              </w:rPr>
            </w:pPr>
          </w:p>
        </w:tc>
        <w:tc>
          <w:tcPr>
            <w:tcW w:w="620" w:type="dxa"/>
            <w:vAlign w:val="bottom"/>
            <w:shd w:val="clear" w:color="auto" w:fill="1A6DBB"/>
          </w:tcPr>
          <w:p>
            <w:pPr>
              <w:jc w:val="center"/>
              <w:spacing w:after="0" w:line="135" w:lineRule="exact"/>
              <w:rPr>
                <w:sz w:val="20"/>
                <w:szCs w:val="20"/>
                <w:color w:val="auto"/>
              </w:rPr>
            </w:pPr>
            <w:r>
              <w:rPr>
                <w:rFonts w:ascii="Arial" w:cs="Arial" w:eastAsia="Arial" w:hAnsi="Arial"/>
                <w:sz w:val="13"/>
                <w:szCs w:val="13"/>
                <w:color w:val="FFFFFF"/>
                <w:w w:val="97"/>
              </w:rPr>
              <w:t>Shares</w:t>
            </w:r>
          </w:p>
        </w:tc>
        <w:tc>
          <w:tcPr>
            <w:tcW w:w="160" w:type="dxa"/>
            <w:vAlign w:val="bottom"/>
            <w:shd w:val="clear" w:color="auto" w:fill="1A6DBB"/>
          </w:tcPr>
          <w:p>
            <w:pPr>
              <w:spacing w:after="0"/>
              <w:rPr>
                <w:sz w:val="11"/>
                <w:szCs w:val="11"/>
                <w:color w:val="auto"/>
              </w:rPr>
            </w:pPr>
          </w:p>
        </w:tc>
        <w:tc>
          <w:tcPr>
            <w:tcW w:w="660" w:type="dxa"/>
            <w:vAlign w:val="bottom"/>
            <w:shd w:val="clear" w:color="auto" w:fill="1A6DBB"/>
          </w:tcPr>
          <w:p>
            <w:pPr>
              <w:jc w:val="center"/>
              <w:ind w:right="117"/>
              <w:spacing w:after="0" w:line="135" w:lineRule="exact"/>
              <w:rPr>
                <w:sz w:val="20"/>
                <w:szCs w:val="20"/>
                <w:color w:val="auto"/>
              </w:rPr>
            </w:pPr>
            <w:r>
              <w:rPr>
                <w:rFonts w:ascii="Arial" w:cs="Arial" w:eastAsia="Arial" w:hAnsi="Arial"/>
                <w:sz w:val="13"/>
                <w:szCs w:val="13"/>
                <w:color w:val="FFFFFF"/>
                <w:w w:val="92"/>
              </w:rPr>
              <w:t>Value of</w:t>
            </w:r>
          </w:p>
        </w:tc>
        <w:tc>
          <w:tcPr>
            <w:tcW w:w="740" w:type="dxa"/>
            <w:vAlign w:val="bottom"/>
            <w:shd w:val="clear" w:color="auto" w:fill="1A6DBB"/>
          </w:tcPr>
          <w:p>
            <w:pPr>
              <w:jc w:val="center"/>
              <w:spacing w:after="0" w:line="135" w:lineRule="exact"/>
              <w:rPr>
                <w:sz w:val="20"/>
                <w:szCs w:val="20"/>
                <w:color w:val="auto"/>
              </w:rPr>
            </w:pPr>
            <w:r>
              <w:rPr>
                <w:rFonts w:ascii="Arial" w:cs="Arial" w:eastAsia="Arial" w:hAnsi="Arial"/>
                <w:sz w:val="13"/>
                <w:szCs w:val="13"/>
                <w:color w:val="FFFFFF"/>
                <w:w w:val="91"/>
              </w:rPr>
              <w:t>of</w:t>
            </w:r>
          </w:p>
        </w:tc>
        <w:tc>
          <w:tcPr>
            <w:tcW w:w="160" w:type="dxa"/>
            <w:vAlign w:val="bottom"/>
            <w:shd w:val="clear" w:color="auto" w:fill="1A6DBB"/>
          </w:tcPr>
          <w:p>
            <w:pPr>
              <w:spacing w:after="0"/>
              <w:rPr>
                <w:sz w:val="11"/>
                <w:szCs w:val="11"/>
                <w:color w:val="auto"/>
              </w:rPr>
            </w:pPr>
          </w:p>
        </w:tc>
        <w:tc>
          <w:tcPr>
            <w:tcW w:w="760" w:type="dxa"/>
            <w:vAlign w:val="bottom"/>
            <w:shd w:val="clear" w:color="auto" w:fill="1A6DBB"/>
          </w:tcPr>
          <w:p>
            <w:pPr>
              <w:jc w:val="center"/>
              <w:ind w:right="117"/>
              <w:spacing w:after="0" w:line="135" w:lineRule="exact"/>
              <w:rPr>
                <w:sz w:val="20"/>
                <w:szCs w:val="20"/>
                <w:color w:val="auto"/>
              </w:rPr>
            </w:pPr>
            <w:r>
              <w:rPr>
                <w:rFonts w:ascii="Arial" w:cs="Arial" w:eastAsia="Arial" w:hAnsi="Arial"/>
                <w:sz w:val="13"/>
                <w:szCs w:val="13"/>
                <w:color w:val="FFFFFF"/>
                <w:w w:val="95"/>
              </w:rPr>
              <w:t>Market</w:t>
            </w:r>
          </w:p>
        </w:tc>
        <w:tc>
          <w:tcPr>
            <w:tcW w:w="0" w:type="dxa"/>
            <w:vAlign w:val="bottom"/>
          </w:tcPr>
          <w:p>
            <w:pPr>
              <w:spacing w:after="0"/>
              <w:rPr>
                <w:sz w:val="1"/>
                <w:szCs w:val="1"/>
                <w:color w:val="auto"/>
              </w:rPr>
            </w:pPr>
          </w:p>
        </w:tc>
      </w:tr>
      <w:tr>
        <w:trPr>
          <w:trHeight w:val="135"/>
        </w:trPr>
        <w:tc>
          <w:tcPr>
            <w:tcW w:w="3160" w:type="dxa"/>
            <w:vAlign w:val="bottom"/>
            <w:shd w:val="clear" w:color="auto" w:fill="1A6DBB"/>
          </w:tcPr>
          <w:p>
            <w:pPr>
              <w:spacing w:after="0"/>
              <w:rPr>
                <w:sz w:val="11"/>
                <w:szCs w:val="11"/>
                <w:color w:val="auto"/>
              </w:rPr>
            </w:pPr>
          </w:p>
        </w:tc>
        <w:tc>
          <w:tcPr>
            <w:tcW w:w="820" w:type="dxa"/>
            <w:vAlign w:val="bottom"/>
            <w:shd w:val="clear" w:color="auto" w:fill="1A6DBB"/>
          </w:tcPr>
          <w:p>
            <w:pPr>
              <w:spacing w:after="0"/>
              <w:rPr>
                <w:sz w:val="11"/>
                <w:szCs w:val="11"/>
                <w:color w:val="auto"/>
              </w:rPr>
            </w:pPr>
          </w:p>
        </w:tc>
        <w:tc>
          <w:tcPr>
            <w:tcW w:w="420" w:type="dxa"/>
            <w:vAlign w:val="bottom"/>
            <w:shd w:val="clear" w:color="auto" w:fill="1A6DBB"/>
          </w:tcPr>
          <w:p>
            <w:pPr>
              <w:spacing w:after="0"/>
              <w:rPr>
                <w:sz w:val="11"/>
                <w:szCs w:val="11"/>
                <w:color w:val="auto"/>
              </w:rPr>
            </w:pPr>
          </w:p>
        </w:tc>
        <w:tc>
          <w:tcPr>
            <w:tcW w:w="180" w:type="dxa"/>
            <w:vAlign w:val="bottom"/>
            <w:shd w:val="clear" w:color="auto" w:fill="1A6DBB"/>
          </w:tcPr>
          <w:p>
            <w:pPr>
              <w:spacing w:after="0"/>
              <w:rPr>
                <w:sz w:val="11"/>
                <w:szCs w:val="11"/>
                <w:color w:val="auto"/>
              </w:rPr>
            </w:pPr>
          </w:p>
        </w:tc>
        <w:tc>
          <w:tcPr>
            <w:tcW w:w="1740" w:type="dxa"/>
            <w:vAlign w:val="bottom"/>
            <w:gridSpan w:val="2"/>
            <w:vMerge w:val="restart"/>
            <w:shd w:val="clear" w:color="auto" w:fill="1A6DBB"/>
          </w:tcPr>
          <w:p>
            <w:pPr>
              <w:jc w:val="center"/>
              <w:spacing w:after="0"/>
              <w:rPr>
                <w:sz w:val="20"/>
                <w:szCs w:val="20"/>
                <w:color w:val="auto"/>
              </w:rPr>
            </w:pPr>
            <w:r>
              <w:rPr>
                <w:rFonts w:ascii="Arial" w:cs="Arial" w:eastAsia="Arial" w:hAnsi="Arial"/>
                <w:sz w:val="13"/>
                <w:szCs w:val="13"/>
                <w:color w:val="FFFFFF"/>
                <w:w w:val="97"/>
              </w:rPr>
              <w:t>Number of Securities</w:t>
            </w:r>
          </w:p>
        </w:tc>
        <w:tc>
          <w:tcPr>
            <w:tcW w:w="780" w:type="dxa"/>
            <w:vAlign w:val="bottom"/>
            <w:shd w:val="clear" w:color="auto" w:fill="1A6DBB"/>
          </w:tcPr>
          <w:p>
            <w:pPr>
              <w:spacing w:after="0"/>
              <w:rPr>
                <w:sz w:val="11"/>
                <w:szCs w:val="11"/>
                <w:color w:val="auto"/>
              </w:rPr>
            </w:pPr>
          </w:p>
        </w:tc>
        <w:tc>
          <w:tcPr>
            <w:tcW w:w="820" w:type="dxa"/>
            <w:vAlign w:val="bottom"/>
            <w:shd w:val="clear" w:color="auto" w:fill="1A6DBB"/>
          </w:tcPr>
          <w:p>
            <w:pPr>
              <w:spacing w:after="0"/>
              <w:rPr>
                <w:sz w:val="11"/>
                <w:szCs w:val="11"/>
                <w:color w:val="auto"/>
              </w:rPr>
            </w:pPr>
          </w:p>
        </w:tc>
        <w:tc>
          <w:tcPr>
            <w:tcW w:w="620" w:type="dxa"/>
            <w:vAlign w:val="bottom"/>
            <w:shd w:val="clear" w:color="auto" w:fill="1A6DBB"/>
          </w:tcPr>
          <w:p>
            <w:pPr>
              <w:jc w:val="center"/>
              <w:spacing w:after="0" w:line="135" w:lineRule="exact"/>
              <w:rPr>
                <w:sz w:val="20"/>
                <w:szCs w:val="20"/>
                <w:color w:val="auto"/>
              </w:rPr>
            </w:pPr>
            <w:r>
              <w:rPr>
                <w:rFonts w:ascii="Arial" w:cs="Arial" w:eastAsia="Arial" w:hAnsi="Arial"/>
                <w:sz w:val="13"/>
                <w:szCs w:val="13"/>
                <w:color w:val="FFFFFF"/>
                <w:w w:val="93"/>
              </w:rPr>
              <w:t>or Units</w:t>
            </w:r>
          </w:p>
        </w:tc>
        <w:tc>
          <w:tcPr>
            <w:tcW w:w="820" w:type="dxa"/>
            <w:vAlign w:val="bottom"/>
            <w:gridSpan w:val="2"/>
            <w:shd w:val="clear" w:color="auto" w:fill="1A6DBB"/>
          </w:tcPr>
          <w:p>
            <w:pPr>
              <w:jc w:val="center"/>
              <w:spacing w:after="0" w:line="135" w:lineRule="exact"/>
              <w:rPr>
                <w:sz w:val="20"/>
                <w:szCs w:val="20"/>
                <w:color w:val="auto"/>
              </w:rPr>
            </w:pPr>
            <w:r>
              <w:rPr>
                <w:rFonts w:ascii="Arial" w:cs="Arial" w:eastAsia="Arial" w:hAnsi="Arial"/>
                <w:sz w:val="13"/>
                <w:szCs w:val="13"/>
                <w:color w:val="FFFFFF"/>
                <w:w w:val="99"/>
              </w:rPr>
              <w:t>Shares or</w:t>
            </w:r>
          </w:p>
        </w:tc>
        <w:tc>
          <w:tcPr>
            <w:tcW w:w="740" w:type="dxa"/>
            <w:vAlign w:val="bottom"/>
            <w:shd w:val="clear" w:color="auto" w:fill="1A6DBB"/>
          </w:tcPr>
          <w:p>
            <w:pPr>
              <w:jc w:val="center"/>
              <w:spacing w:after="0" w:line="135" w:lineRule="exact"/>
              <w:rPr>
                <w:sz w:val="20"/>
                <w:szCs w:val="20"/>
                <w:color w:val="auto"/>
              </w:rPr>
            </w:pPr>
            <w:r>
              <w:rPr>
                <w:rFonts w:ascii="Arial" w:cs="Arial" w:eastAsia="Arial" w:hAnsi="Arial"/>
                <w:sz w:val="13"/>
                <w:szCs w:val="13"/>
                <w:color w:val="FFFFFF"/>
                <w:w w:val="94"/>
              </w:rPr>
              <w:t>Unearned</w:t>
            </w:r>
          </w:p>
        </w:tc>
        <w:tc>
          <w:tcPr>
            <w:tcW w:w="160" w:type="dxa"/>
            <w:vAlign w:val="bottom"/>
            <w:shd w:val="clear" w:color="auto" w:fill="1A6DBB"/>
          </w:tcPr>
          <w:p>
            <w:pPr>
              <w:spacing w:after="0"/>
              <w:rPr>
                <w:sz w:val="11"/>
                <w:szCs w:val="11"/>
                <w:color w:val="auto"/>
              </w:rPr>
            </w:pPr>
          </w:p>
        </w:tc>
        <w:tc>
          <w:tcPr>
            <w:tcW w:w="760" w:type="dxa"/>
            <w:vAlign w:val="bottom"/>
            <w:shd w:val="clear" w:color="auto" w:fill="1A6DBB"/>
          </w:tcPr>
          <w:p>
            <w:pPr>
              <w:jc w:val="center"/>
              <w:ind w:right="117"/>
              <w:spacing w:after="0" w:line="135" w:lineRule="exact"/>
              <w:rPr>
                <w:sz w:val="20"/>
                <w:szCs w:val="20"/>
                <w:color w:val="auto"/>
              </w:rPr>
            </w:pPr>
            <w:r>
              <w:rPr>
                <w:rFonts w:ascii="Arial" w:cs="Arial" w:eastAsia="Arial" w:hAnsi="Arial"/>
                <w:sz w:val="13"/>
                <w:szCs w:val="13"/>
                <w:color w:val="FFFFFF"/>
                <w:w w:val="96"/>
              </w:rPr>
              <w:t>Value of</w:t>
            </w:r>
          </w:p>
        </w:tc>
        <w:tc>
          <w:tcPr>
            <w:tcW w:w="0" w:type="dxa"/>
            <w:vAlign w:val="bottom"/>
          </w:tcPr>
          <w:p>
            <w:pPr>
              <w:spacing w:after="0"/>
              <w:rPr>
                <w:sz w:val="1"/>
                <w:szCs w:val="1"/>
                <w:color w:val="auto"/>
              </w:rPr>
            </w:pPr>
          </w:p>
        </w:tc>
      </w:tr>
      <w:tr>
        <w:trPr>
          <w:trHeight w:val="122"/>
        </w:trPr>
        <w:tc>
          <w:tcPr>
            <w:tcW w:w="3160" w:type="dxa"/>
            <w:vAlign w:val="bottom"/>
            <w:shd w:val="clear" w:color="auto" w:fill="1A6DBB"/>
          </w:tcPr>
          <w:p>
            <w:pPr>
              <w:spacing w:after="0"/>
              <w:rPr>
                <w:sz w:val="10"/>
                <w:szCs w:val="10"/>
                <w:color w:val="auto"/>
              </w:rPr>
            </w:pPr>
          </w:p>
        </w:tc>
        <w:tc>
          <w:tcPr>
            <w:tcW w:w="820" w:type="dxa"/>
            <w:vAlign w:val="bottom"/>
            <w:shd w:val="clear" w:color="auto" w:fill="1A6DBB"/>
          </w:tcPr>
          <w:p>
            <w:pPr>
              <w:spacing w:after="0"/>
              <w:rPr>
                <w:sz w:val="10"/>
                <w:szCs w:val="10"/>
                <w:color w:val="auto"/>
              </w:rPr>
            </w:pPr>
          </w:p>
        </w:tc>
        <w:tc>
          <w:tcPr>
            <w:tcW w:w="420" w:type="dxa"/>
            <w:vAlign w:val="bottom"/>
            <w:shd w:val="clear" w:color="auto" w:fill="1A6DBB"/>
          </w:tcPr>
          <w:p>
            <w:pPr>
              <w:spacing w:after="0"/>
              <w:rPr>
                <w:sz w:val="10"/>
                <w:szCs w:val="10"/>
                <w:color w:val="auto"/>
              </w:rPr>
            </w:pPr>
          </w:p>
        </w:tc>
        <w:tc>
          <w:tcPr>
            <w:tcW w:w="180" w:type="dxa"/>
            <w:vAlign w:val="bottom"/>
            <w:shd w:val="clear" w:color="auto" w:fill="1A6DBB"/>
          </w:tcPr>
          <w:p>
            <w:pPr>
              <w:spacing w:after="0"/>
              <w:rPr>
                <w:sz w:val="10"/>
                <w:szCs w:val="10"/>
                <w:color w:val="auto"/>
              </w:rPr>
            </w:pPr>
          </w:p>
        </w:tc>
        <w:tc>
          <w:tcPr>
            <w:tcW w:w="1740" w:type="dxa"/>
            <w:vAlign w:val="bottom"/>
            <w:gridSpan w:val="2"/>
            <w:vMerge w:val="continue"/>
            <w:shd w:val="clear" w:color="auto" w:fill="1A6DBB"/>
          </w:tcPr>
          <w:p>
            <w:pPr>
              <w:spacing w:after="0"/>
              <w:rPr>
                <w:sz w:val="10"/>
                <w:szCs w:val="10"/>
                <w:color w:val="auto"/>
              </w:rPr>
            </w:pPr>
          </w:p>
        </w:tc>
        <w:tc>
          <w:tcPr>
            <w:tcW w:w="780" w:type="dxa"/>
            <w:vAlign w:val="bottom"/>
            <w:shd w:val="clear" w:color="auto" w:fill="1A6DBB"/>
          </w:tcPr>
          <w:p>
            <w:pPr>
              <w:spacing w:after="0"/>
              <w:rPr>
                <w:sz w:val="10"/>
                <w:szCs w:val="10"/>
                <w:color w:val="auto"/>
              </w:rPr>
            </w:pPr>
          </w:p>
        </w:tc>
        <w:tc>
          <w:tcPr>
            <w:tcW w:w="820" w:type="dxa"/>
            <w:vAlign w:val="bottom"/>
            <w:shd w:val="clear" w:color="auto" w:fill="1A6DBB"/>
          </w:tcPr>
          <w:p>
            <w:pPr>
              <w:spacing w:after="0"/>
              <w:rPr>
                <w:sz w:val="10"/>
                <w:szCs w:val="10"/>
                <w:color w:val="auto"/>
              </w:rPr>
            </w:pPr>
          </w:p>
        </w:tc>
        <w:tc>
          <w:tcPr>
            <w:tcW w:w="620" w:type="dxa"/>
            <w:vAlign w:val="bottom"/>
            <w:shd w:val="clear" w:color="auto" w:fill="1A6DBB"/>
          </w:tcPr>
          <w:p>
            <w:pPr>
              <w:jc w:val="center"/>
              <w:spacing w:after="0" w:line="122" w:lineRule="exact"/>
              <w:rPr>
                <w:sz w:val="20"/>
                <w:szCs w:val="20"/>
                <w:color w:val="auto"/>
              </w:rPr>
            </w:pPr>
            <w:r>
              <w:rPr>
                <w:rFonts w:ascii="Arial" w:cs="Arial" w:eastAsia="Arial" w:hAnsi="Arial"/>
                <w:sz w:val="13"/>
                <w:szCs w:val="13"/>
                <w:color w:val="FFFFFF"/>
                <w:w w:val="97"/>
              </w:rPr>
              <w:t>of Stock</w:t>
            </w:r>
          </w:p>
        </w:tc>
        <w:tc>
          <w:tcPr>
            <w:tcW w:w="160" w:type="dxa"/>
            <w:vAlign w:val="bottom"/>
            <w:shd w:val="clear" w:color="auto" w:fill="1A6DBB"/>
          </w:tcPr>
          <w:p>
            <w:pPr>
              <w:spacing w:after="0"/>
              <w:rPr>
                <w:sz w:val="10"/>
                <w:szCs w:val="10"/>
                <w:color w:val="auto"/>
              </w:rPr>
            </w:pPr>
          </w:p>
        </w:tc>
        <w:tc>
          <w:tcPr>
            <w:tcW w:w="660" w:type="dxa"/>
            <w:vAlign w:val="bottom"/>
            <w:shd w:val="clear" w:color="auto" w:fill="1A6DBB"/>
          </w:tcPr>
          <w:p>
            <w:pPr>
              <w:jc w:val="center"/>
              <w:ind w:right="117"/>
              <w:spacing w:after="0" w:line="122" w:lineRule="exact"/>
              <w:rPr>
                <w:sz w:val="20"/>
                <w:szCs w:val="20"/>
                <w:color w:val="auto"/>
              </w:rPr>
            </w:pPr>
            <w:r>
              <w:rPr>
                <w:rFonts w:ascii="Arial" w:cs="Arial" w:eastAsia="Arial" w:hAnsi="Arial"/>
                <w:sz w:val="13"/>
                <w:szCs w:val="13"/>
                <w:color w:val="FFFFFF"/>
                <w:w w:val="99"/>
              </w:rPr>
              <w:t>Units of</w:t>
            </w:r>
          </w:p>
        </w:tc>
        <w:tc>
          <w:tcPr>
            <w:tcW w:w="740" w:type="dxa"/>
            <w:vAlign w:val="bottom"/>
            <w:shd w:val="clear" w:color="auto" w:fill="1A6DBB"/>
          </w:tcPr>
          <w:p>
            <w:pPr>
              <w:jc w:val="center"/>
              <w:spacing w:after="0" w:line="122" w:lineRule="exact"/>
              <w:rPr>
                <w:sz w:val="20"/>
                <w:szCs w:val="20"/>
                <w:color w:val="auto"/>
              </w:rPr>
            </w:pPr>
            <w:r>
              <w:rPr>
                <w:rFonts w:ascii="Arial" w:cs="Arial" w:eastAsia="Arial" w:hAnsi="Arial"/>
                <w:sz w:val="13"/>
                <w:szCs w:val="13"/>
                <w:color w:val="FFFFFF"/>
                <w:w w:val="95"/>
              </w:rPr>
              <w:t>Shares or</w:t>
            </w:r>
          </w:p>
        </w:tc>
        <w:tc>
          <w:tcPr>
            <w:tcW w:w="160" w:type="dxa"/>
            <w:vAlign w:val="bottom"/>
            <w:shd w:val="clear" w:color="auto" w:fill="1A6DBB"/>
          </w:tcPr>
          <w:p>
            <w:pPr>
              <w:spacing w:after="0"/>
              <w:rPr>
                <w:sz w:val="10"/>
                <w:szCs w:val="10"/>
                <w:color w:val="auto"/>
              </w:rPr>
            </w:pPr>
          </w:p>
        </w:tc>
        <w:tc>
          <w:tcPr>
            <w:tcW w:w="760" w:type="dxa"/>
            <w:vAlign w:val="bottom"/>
            <w:shd w:val="clear" w:color="auto" w:fill="1A6DBB"/>
          </w:tcPr>
          <w:p>
            <w:pPr>
              <w:jc w:val="center"/>
              <w:ind w:right="117"/>
              <w:spacing w:after="0" w:line="122" w:lineRule="exact"/>
              <w:rPr>
                <w:sz w:val="20"/>
                <w:szCs w:val="20"/>
                <w:color w:val="auto"/>
              </w:rPr>
            </w:pPr>
            <w:r>
              <w:rPr>
                <w:rFonts w:ascii="Arial" w:cs="Arial" w:eastAsia="Arial" w:hAnsi="Arial"/>
                <w:sz w:val="13"/>
                <w:szCs w:val="13"/>
                <w:color w:val="FFFFFF"/>
                <w:w w:val="94"/>
              </w:rPr>
              <w:t>Unearned</w:t>
            </w:r>
          </w:p>
        </w:tc>
        <w:tc>
          <w:tcPr>
            <w:tcW w:w="0" w:type="dxa"/>
            <w:vAlign w:val="bottom"/>
          </w:tcPr>
          <w:p>
            <w:pPr>
              <w:spacing w:after="0"/>
              <w:rPr>
                <w:sz w:val="1"/>
                <w:szCs w:val="1"/>
                <w:color w:val="auto"/>
              </w:rPr>
            </w:pPr>
          </w:p>
        </w:tc>
      </w:tr>
      <w:tr>
        <w:trPr>
          <w:trHeight w:val="135"/>
        </w:trPr>
        <w:tc>
          <w:tcPr>
            <w:tcW w:w="3160" w:type="dxa"/>
            <w:vAlign w:val="bottom"/>
            <w:shd w:val="clear" w:color="auto" w:fill="1A6DBB"/>
          </w:tcPr>
          <w:p>
            <w:pPr>
              <w:spacing w:after="0"/>
              <w:rPr>
                <w:sz w:val="11"/>
                <w:szCs w:val="11"/>
                <w:color w:val="auto"/>
              </w:rPr>
            </w:pPr>
          </w:p>
        </w:tc>
        <w:tc>
          <w:tcPr>
            <w:tcW w:w="820" w:type="dxa"/>
            <w:vAlign w:val="bottom"/>
            <w:shd w:val="clear" w:color="auto" w:fill="1A6DBB"/>
          </w:tcPr>
          <w:p>
            <w:pPr>
              <w:spacing w:after="0"/>
              <w:rPr>
                <w:sz w:val="11"/>
                <w:szCs w:val="11"/>
                <w:color w:val="auto"/>
              </w:rPr>
            </w:pPr>
          </w:p>
        </w:tc>
        <w:tc>
          <w:tcPr>
            <w:tcW w:w="420" w:type="dxa"/>
            <w:vAlign w:val="bottom"/>
            <w:shd w:val="clear" w:color="auto" w:fill="1A6DBB"/>
          </w:tcPr>
          <w:p>
            <w:pPr>
              <w:spacing w:after="0"/>
              <w:rPr>
                <w:sz w:val="11"/>
                <w:szCs w:val="11"/>
                <w:color w:val="auto"/>
              </w:rPr>
            </w:pPr>
          </w:p>
        </w:tc>
        <w:tc>
          <w:tcPr>
            <w:tcW w:w="180" w:type="dxa"/>
            <w:vAlign w:val="bottom"/>
            <w:shd w:val="clear" w:color="auto" w:fill="1A6DBB"/>
          </w:tcPr>
          <w:p>
            <w:pPr>
              <w:spacing w:after="0"/>
              <w:rPr>
                <w:sz w:val="11"/>
                <w:szCs w:val="11"/>
                <w:color w:val="auto"/>
              </w:rPr>
            </w:pPr>
          </w:p>
        </w:tc>
        <w:tc>
          <w:tcPr>
            <w:tcW w:w="1740" w:type="dxa"/>
            <w:vAlign w:val="bottom"/>
            <w:gridSpan w:val="2"/>
            <w:shd w:val="clear" w:color="auto" w:fill="1A6DBB"/>
          </w:tcPr>
          <w:p>
            <w:pPr>
              <w:jc w:val="center"/>
              <w:spacing w:after="0" w:line="135" w:lineRule="exact"/>
              <w:rPr>
                <w:sz w:val="20"/>
                <w:szCs w:val="20"/>
                <w:color w:val="auto"/>
              </w:rPr>
            </w:pPr>
            <w:r>
              <w:rPr>
                <w:rFonts w:ascii="Arial" w:cs="Arial" w:eastAsia="Arial" w:hAnsi="Arial"/>
                <w:sz w:val="13"/>
                <w:szCs w:val="13"/>
                <w:color w:val="FFFFFF"/>
                <w:w w:val="97"/>
              </w:rPr>
              <w:t>Underlying Unexercised</w:t>
            </w:r>
          </w:p>
        </w:tc>
        <w:tc>
          <w:tcPr>
            <w:tcW w:w="780" w:type="dxa"/>
            <w:vAlign w:val="bottom"/>
            <w:shd w:val="clear" w:color="auto" w:fill="1A6DBB"/>
          </w:tcPr>
          <w:p>
            <w:pPr>
              <w:spacing w:after="0"/>
              <w:rPr>
                <w:sz w:val="11"/>
                <w:szCs w:val="11"/>
                <w:color w:val="auto"/>
              </w:rPr>
            </w:pPr>
          </w:p>
        </w:tc>
        <w:tc>
          <w:tcPr>
            <w:tcW w:w="820" w:type="dxa"/>
            <w:vAlign w:val="bottom"/>
            <w:shd w:val="clear" w:color="auto" w:fill="1A6DBB"/>
          </w:tcPr>
          <w:p>
            <w:pPr>
              <w:spacing w:after="0"/>
              <w:rPr>
                <w:sz w:val="11"/>
                <w:szCs w:val="11"/>
                <w:color w:val="auto"/>
              </w:rPr>
            </w:pPr>
          </w:p>
        </w:tc>
        <w:tc>
          <w:tcPr>
            <w:tcW w:w="620" w:type="dxa"/>
            <w:vAlign w:val="bottom"/>
            <w:shd w:val="clear" w:color="auto" w:fill="1A6DBB"/>
          </w:tcPr>
          <w:p>
            <w:pPr>
              <w:jc w:val="center"/>
              <w:spacing w:after="0" w:line="135" w:lineRule="exact"/>
              <w:rPr>
                <w:sz w:val="20"/>
                <w:szCs w:val="20"/>
                <w:color w:val="auto"/>
              </w:rPr>
            </w:pPr>
            <w:r>
              <w:rPr>
                <w:rFonts w:ascii="Arial" w:cs="Arial" w:eastAsia="Arial" w:hAnsi="Arial"/>
                <w:sz w:val="13"/>
                <w:szCs w:val="13"/>
                <w:color w:val="FFFFFF"/>
                <w:w w:val="99"/>
              </w:rPr>
              <w:t>That</w:t>
            </w:r>
          </w:p>
        </w:tc>
        <w:tc>
          <w:tcPr>
            <w:tcW w:w="160" w:type="dxa"/>
            <w:vAlign w:val="bottom"/>
            <w:shd w:val="clear" w:color="auto" w:fill="1A6DBB"/>
          </w:tcPr>
          <w:p>
            <w:pPr>
              <w:spacing w:after="0"/>
              <w:rPr>
                <w:sz w:val="11"/>
                <w:szCs w:val="11"/>
                <w:color w:val="auto"/>
              </w:rPr>
            </w:pPr>
          </w:p>
        </w:tc>
        <w:tc>
          <w:tcPr>
            <w:tcW w:w="660" w:type="dxa"/>
            <w:vAlign w:val="bottom"/>
            <w:shd w:val="clear" w:color="auto" w:fill="1A6DBB"/>
          </w:tcPr>
          <w:p>
            <w:pPr>
              <w:jc w:val="center"/>
              <w:ind w:right="117"/>
              <w:spacing w:after="0" w:line="135" w:lineRule="exact"/>
              <w:rPr>
                <w:sz w:val="20"/>
                <w:szCs w:val="20"/>
                <w:color w:val="auto"/>
              </w:rPr>
            </w:pPr>
            <w:r>
              <w:rPr>
                <w:rFonts w:ascii="Arial" w:cs="Arial" w:eastAsia="Arial" w:hAnsi="Arial"/>
                <w:sz w:val="13"/>
                <w:szCs w:val="13"/>
                <w:color w:val="FFFFFF"/>
                <w:w w:val="98"/>
              </w:rPr>
              <w:t>Stock</w:t>
            </w:r>
          </w:p>
        </w:tc>
        <w:tc>
          <w:tcPr>
            <w:tcW w:w="740" w:type="dxa"/>
            <w:vAlign w:val="bottom"/>
            <w:shd w:val="clear" w:color="auto" w:fill="1A6DBB"/>
          </w:tcPr>
          <w:p>
            <w:pPr>
              <w:jc w:val="center"/>
              <w:spacing w:after="0" w:line="135" w:lineRule="exact"/>
              <w:rPr>
                <w:sz w:val="20"/>
                <w:szCs w:val="20"/>
                <w:color w:val="auto"/>
              </w:rPr>
            </w:pPr>
            <w:r>
              <w:rPr>
                <w:rFonts w:ascii="Arial" w:cs="Arial" w:eastAsia="Arial" w:hAnsi="Arial"/>
                <w:sz w:val="13"/>
                <w:szCs w:val="13"/>
                <w:color w:val="FFFFFF"/>
              </w:rPr>
              <w:t>Units</w:t>
            </w:r>
          </w:p>
        </w:tc>
        <w:tc>
          <w:tcPr>
            <w:tcW w:w="160" w:type="dxa"/>
            <w:vAlign w:val="bottom"/>
            <w:shd w:val="clear" w:color="auto" w:fill="1A6DBB"/>
          </w:tcPr>
          <w:p>
            <w:pPr>
              <w:spacing w:after="0"/>
              <w:rPr>
                <w:sz w:val="11"/>
                <w:szCs w:val="11"/>
                <w:color w:val="auto"/>
              </w:rPr>
            </w:pPr>
          </w:p>
        </w:tc>
        <w:tc>
          <w:tcPr>
            <w:tcW w:w="760" w:type="dxa"/>
            <w:vAlign w:val="bottom"/>
            <w:shd w:val="clear" w:color="auto" w:fill="1A6DBB"/>
          </w:tcPr>
          <w:p>
            <w:pPr>
              <w:jc w:val="center"/>
              <w:ind w:right="117"/>
              <w:spacing w:after="0" w:line="135" w:lineRule="exact"/>
              <w:rPr>
                <w:sz w:val="20"/>
                <w:szCs w:val="20"/>
                <w:color w:val="auto"/>
              </w:rPr>
            </w:pPr>
            <w:r>
              <w:rPr>
                <w:rFonts w:ascii="Arial" w:cs="Arial" w:eastAsia="Arial" w:hAnsi="Arial"/>
                <w:sz w:val="13"/>
                <w:szCs w:val="13"/>
                <w:color w:val="FFFFFF"/>
                <w:w w:val="95"/>
              </w:rPr>
              <w:t>Shares or</w:t>
            </w:r>
          </w:p>
        </w:tc>
        <w:tc>
          <w:tcPr>
            <w:tcW w:w="0" w:type="dxa"/>
            <w:vAlign w:val="bottom"/>
          </w:tcPr>
          <w:p>
            <w:pPr>
              <w:spacing w:after="0"/>
              <w:rPr>
                <w:sz w:val="1"/>
                <w:szCs w:val="1"/>
                <w:color w:val="auto"/>
              </w:rPr>
            </w:pPr>
          </w:p>
        </w:tc>
      </w:tr>
      <w:tr>
        <w:trPr>
          <w:trHeight w:val="141"/>
        </w:trPr>
        <w:tc>
          <w:tcPr>
            <w:tcW w:w="3160" w:type="dxa"/>
            <w:vAlign w:val="bottom"/>
            <w:shd w:val="clear" w:color="auto" w:fill="1A6DBB"/>
          </w:tcPr>
          <w:p>
            <w:pPr>
              <w:spacing w:after="0"/>
              <w:rPr>
                <w:sz w:val="12"/>
                <w:szCs w:val="12"/>
                <w:color w:val="auto"/>
              </w:rPr>
            </w:pPr>
          </w:p>
        </w:tc>
        <w:tc>
          <w:tcPr>
            <w:tcW w:w="820" w:type="dxa"/>
            <w:vAlign w:val="bottom"/>
            <w:shd w:val="clear" w:color="auto" w:fill="1A6DBB"/>
          </w:tcPr>
          <w:p>
            <w:pPr>
              <w:spacing w:after="0"/>
              <w:rPr>
                <w:sz w:val="12"/>
                <w:szCs w:val="12"/>
                <w:color w:val="auto"/>
              </w:rPr>
            </w:pPr>
          </w:p>
        </w:tc>
        <w:tc>
          <w:tcPr>
            <w:tcW w:w="420" w:type="dxa"/>
            <w:vAlign w:val="bottom"/>
            <w:shd w:val="clear" w:color="auto" w:fill="1A6DBB"/>
          </w:tcPr>
          <w:p>
            <w:pPr>
              <w:spacing w:after="0"/>
              <w:rPr>
                <w:sz w:val="12"/>
                <w:szCs w:val="12"/>
                <w:color w:val="auto"/>
              </w:rPr>
            </w:pPr>
          </w:p>
        </w:tc>
        <w:tc>
          <w:tcPr>
            <w:tcW w:w="180" w:type="dxa"/>
            <w:vAlign w:val="bottom"/>
            <w:shd w:val="clear" w:color="auto" w:fill="1A6DBB"/>
          </w:tcPr>
          <w:p>
            <w:pPr>
              <w:spacing w:after="0"/>
              <w:rPr>
                <w:sz w:val="12"/>
                <w:szCs w:val="12"/>
                <w:color w:val="auto"/>
              </w:rPr>
            </w:pPr>
          </w:p>
        </w:tc>
        <w:tc>
          <w:tcPr>
            <w:tcW w:w="1140" w:type="dxa"/>
            <w:vAlign w:val="bottom"/>
            <w:shd w:val="clear" w:color="auto" w:fill="1A6DBB"/>
          </w:tcPr>
          <w:p>
            <w:pPr>
              <w:jc w:val="center"/>
              <w:ind w:left="477"/>
              <w:spacing w:after="0" w:line="141" w:lineRule="exact"/>
              <w:rPr>
                <w:sz w:val="20"/>
                <w:szCs w:val="20"/>
                <w:color w:val="auto"/>
              </w:rPr>
            </w:pPr>
            <w:r>
              <w:rPr>
                <w:rFonts w:ascii="Arial" w:cs="Arial" w:eastAsia="Arial" w:hAnsi="Arial"/>
                <w:sz w:val="13"/>
                <w:szCs w:val="13"/>
                <w:color w:val="FFFFFF"/>
                <w:w w:val="98"/>
              </w:rPr>
              <w:t>Options</w:t>
            </w:r>
          </w:p>
        </w:tc>
        <w:tc>
          <w:tcPr>
            <w:tcW w:w="600" w:type="dxa"/>
            <w:vAlign w:val="bottom"/>
            <w:shd w:val="clear" w:color="auto" w:fill="1A6DBB"/>
          </w:tcPr>
          <w:p>
            <w:pPr>
              <w:spacing w:after="0"/>
              <w:rPr>
                <w:sz w:val="12"/>
                <w:szCs w:val="12"/>
                <w:color w:val="auto"/>
              </w:rPr>
            </w:pPr>
          </w:p>
        </w:tc>
        <w:tc>
          <w:tcPr>
            <w:tcW w:w="780" w:type="dxa"/>
            <w:vAlign w:val="bottom"/>
            <w:shd w:val="clear" w:color="auto" w:fill="1A6DBB"/>
          </w:tcPr>
          <w:p>
            <w:pPr>
              <w:jc w:val="center"/>
              <w:spacing w:after="0" w:line="141" w:lineRule="exact"/>
              <w:rPr>
                <w:sz w:val="20"/>
                <w:szCs w:val="20"/>
                <w:color w:val="auto"/>
              </w:rPr>
            </w:pPr>
            <w:r>
              <w:rPr>
                <w:rFonts w:ascii="Arial" w:cs="Arial" w:eastAsia="Arial" w:hAnsi="Arial"/>
                <w:sz w:val="13"/>
                <w:szCs w:val="13"/>
                <w:color w:val="FFFFFF"/>
                <w:w w:val="93"/>
              </w:rPr>
              <w:t>Option</w:t>
            </w:r>
          </w:p>
        </w:tc>
        <w:tc>
          <w:tcPr>
            <w:tcW w:w="820" w:type="dxa"/>
            <w:vAlign w:val="bottom"/>
            <w:shd w:val="clear" w:color="auto" w:fill="1A6DBB"/>
          </w:tcPr>
          <w:p>
            <w:pPr>
              <w:jc w:val="center"/>
              <w:spacing w:after="0" w:line="141" w:lineRule="exact"/>
              <w:rPr>
                <w:sz w:val="20"/>
                <w:szCs w:val="20"/>
                <w:color w:val="auto"/>
              </w:rPr>
            </w:pPr>
            <w:r>
              <w:rPr>
                <w:rFonts w:ascii="Arial" w:cs="Arial" w:eastAsia="Arial" w:hAnsi="Arial"/>
                <w:sz w:val="13"/>
                <w:szCs w:val="13"/>
                <w:color w:val="FFFFFF"/>
                <w:w w:val="93"/>
              </w:rPr>
              <w:t>Option</w:t>
            </w:r>
          </w:p>
        </w:tc>
        <w:tc>
          <w:tcPr>
            <w:tcW w:w="620" w:type="dxa"/>
            <w:vAlign w:val="bottom"/>
            <w:shd w:val="clear" w:color="auto" w:fill="1A6DBB"/>
          </w:tcPr>
          <w:p>
            <w:pPr>
              <w:jc w:val="center"/>
              <w:spacing w:after="0" w:line="141" w:lineRule="exact"/>
              <w:rPr>
                <w:sz w:val="20"/>
                <w:szCs w:val="20"/>
                <w:color w:val="auto"/>
              </w:rPr>
            </w:pPr>
            <w:r>
              <w:rPr>
                <w:rFonts w:ascii="Arial" w:cs="Arial" w:eastAsia="Arial" w:hAnsi="Arial"/>
                <w:sz w:val="13"/>
                <w:szCs w:val="13"/>
                <w:color w:val="FFFFFF"/>
                <w:w w:val="98"/>
              </w:rPr>
              <w:t>Have</w:t>
            </w:r>
          </w:p>
        </w:tc>
        <w:tc>
          <w:tcPr>
            <w:tcW w:w="160" w:type="dxa"/>
            <w:vAlign w:val="bottom"/>
            <w:shd w:val="clear" w:color="auto" w:fill="1A6DBB"/>
          </w:tcPr>
          <w:p>
            <w:pPr>
              <w:spacing w:after="0"/>
              <w:rPr>
                <w:sz w:val="12"/>
                <w:szCs w:val="12"/>
                <w:color w:val="auto"/>
              </w:rPr>
            </w:pPr>
          </w:p>
        </w:tc>
        <w:tc>
          <w:tcPr>
            <w:tcW w:w="660" w:type="dxa"/>
            <w:vAlign w:val="bottom"/>
            <w:shd w:val="clear" w:color="auto" w:fill="1A6DBB"/>
          </w:tcPr>
          <w:p>
            <w:pPr>
              <w:jc w:val="center"/>
              <w:ind w:right="117"/>
              <w:spacing w:after="0" w:line="141" w:lineRule="exact"/>
              <w:rPr>
                <w:sz w:val="20"/>
                <w:szCs w:val="20"/>
                <w:color w:val="auto"/>
              </w:rPr>
            </w:pPr>
            <w:r>
              <w:rPr>
                <w:rFonts w:ascii="Arial" w:cs="Arial" w:eastAsia="Arial" w:hAnsi="Arial"/>
                <w:sz w:val="13"/>
                <w:szCs w:val="13"/>
                <w:color w:val="FFFFFF"/>
                <w:w w:val="92"/>
              </w:rPr>
              <w:t>That</w:t>
            </w:r>
          </w:p>
        </w:tc>
        <w:tc>
          <w:tcPr>
            <w:tcW w:w="740" w:type="dxa"/>
            <w:vAlign w:val="bottom"/>
            <w:shd w:val="clear" w:color="auto" w:fill="1A6DBB"/>
          </w:tcPr>
          <w:p>
            <w:pPr>
              <w:jc w:val="center"/>
              <w:spacing w:after="0" w:line="141" w:lineRule="exact"/>
              <w:rPr>
                <w:sz w:val="20"/>
                <w:szCs w:val="20"/>
                <w:color w:val="auto"/>
              </w:rPr>
            </w:pPr>
            <w:r>
              <w:rPr>
                <w:rFonts w:ascii="Arial" w:cs="Arial" w:eastAsia="Arial" w:hAnsi="Arial"/>
                <w:sz w:val="13"/>
                <w:szCs w:val="13"/>
                <w:color w:val="FFFFFF"/>
                <w:w w:val="99"/>
              </w:rPr>
              <w:t>That</w:t>
            </w:r>
          </w:p>
        </w:tc>
        <w:tc>
          <w:tcPr>
            <w:tcW w:w="160" w:type="dxa"/>
            <w:vAlign w:val="bottom"/>
            <w:shd w:val="clear" w:color="auto" w:fill="1A6DBB"/>
          </w:tcPr>
          <w:p>
            <w:pPr>
              <w:spacing w:after="0"/>
              <w:rPr>
                <w:sz w:val="12"/>
                <w:szCs w:val="12"/>
                <w:color w:val="auto"/>
              </w:rPr>
            </w:pPr>
          </w:p>
        </w:tc>
        <w:tc>
          <w:tcPr>
            <w:tcW w:w="760" w:type="dxa"/>
            <w:vAlign w:val="bottom"/>
            <w:shd w:val="clear" w:color="auto" w:fill="1A6DBB"/>
          </w:tcPr>
          <w:p>
            <w:pPr>
              <w:jc w:val="center"/>
              <w:ind w:right="117"/>
              <w:spacing w:after="0" w:line="141" w:lineRule="exact"/>
              <w:rPr>
                <w:sz w:val="20"/>
                <w:szCs w:val="20"/>
                <w:color w:val="auto"/>
              </w:rPr>
            </w:pPr>
            <w:r>
              <w:rPr>
                <w:rFonts w:ascii="Arial" w:cs="Arial" w:eastAsia="Arial" w:hAnsi="Arial"/>
                <w:sz w:val="13"/>
                <w:szCs w:val="13"/>
                <w:color w:val="FFFFFF"/>
                <w:w w:val="97"/>
              </w:rPr>
              <w:t>Units That</w:t>
            </w:r>
          </w:p>
        </w:tc>
        <w:tc>
          <w:tcPr>
            <w:tcW w:w="0" w:type="dxa"/>
            <w:vAlign w:val="bottom"/>
          </w:tcPr>
          <w:p>
            <w:pPr>
              <w:spacing w:after="0"/>
              <w:rPr>
                <w:sz w:val="1"/>
                <w:szCs w:val="1"/>
                <w:color w:val="auto"/>
              </w:rPr>
            </w:pPr>
          </w:p>
        </w:tc>
      </w:tr>
      <w:tr>
        <w:trPr>
          <w:trHeight w:val="143"/>
        </w:trPr>
        <w:tc>
          <w:tcPr>
            <w:tcW w:w="3160" w:type="dxa"/>
            <w:vAlign w:val="bottom"/>
            <w:shd w:val="clear" w:color="auto" w:fill="1A6DBB"/>
          </w:tcPr>
          <w:p>
            <w:pPr>
              <w:spacing w:after="0"/>
              <w:rPr>
                <w:sz w:val="12"/>
                <w:szCs w:val="12"/>
                <w:color w:val="auto"/>
              </w:rPr>
            </w:pPr>
          </w:p>
        </w:tc>
        <w:tc>
          <w:tcPr>
            <w:tcW w:w="820" w:type="dxa"/>
            <w:vAlign w:val="bottom"/>
            <w:shd w:val="clear" w:color="auto" w:fill="1A6DBB"/>
          </w:tcPr>
          <w:p>
            <w:pPr>
              <w:jc w:val="center"/>
              <w:ind w:left="37"/>
              <w:spacing w:after="0" w:line="143" w:lineRule="exact"/>
              <w:rPr>
                <w:sz w:val="20"/>
                <w:szCs w:val="20"/>
                <w:color w:val="auto"/>
              </w:rPr>
            </w:pPr>
            <w:r>
              <w:rPr>
                <w:rFonts w:ascii="Arial" w:cs="Arial" w:eastAsia="Arial" w:hAnsi="Arial"/>
                <w:sz w:val="13"/>
                <w:szCs w:val="13"/>
                <w:color w:val="FFFFFF"/>
                <w:w w:val="98"/>
              </w:rPr>
              <w:t>Grant</w:t>
            </w:r>
          </w:p>
        </w:tc>
        <w:tc>
          <w:tcPr>
            <w:tcW w:w="420" w:type="dxa"/>
            <w:vAlign w:val="bottom"/>
            <w:shd w:val="clear" w:color="auto" w:fill="1A6DBB"/>
          </w:tcPr>
          <w:p>
            <w:pPr>
              <w:spacing w:after="0"/>
              <w:rPr>
                <w:sz w:val="12"/>
                <w:szCs w:val="12"/>
                <w:color w:val="auto"/>
              </w:rPr>
            </w:pPr>
          </w:p>
        </w:tc>
        <w:tc>
          <w:tcPr>
            <w:tcW w:w="180" w:type="dxa"/>
            <w:vAlign w:val="bottom"/>
            <w:shd w:val="clear" w:color="auto" w:fill="1A6DBB"/>
          </w:tcPr>
          <w:p>
            <w:pPr>
              <w:spacing w:after="0"/>
              <w:rPr>
                <w:sz w:val="12"/>
                <w:szCs w:val="12"/>
                <w:color w:val="auto"/>
              </w:rPr>
            </w:pPr>
          </w:p>
        </w:tc>
        <w:tc>
          <w:tcPr>
            <w:tcW w:w="1140" w:type="dxa"/>
            <w:vAlign w:val="bottom"/>
            <w:shd w:val="clear" w:color="auto" w:fill="1A6DBB"/>
          </w:tcPr>
          <w:p>
            <w:pPr>
              <w:spacing w:after="0"/>
              <w:rPr>
                <w:sz w:val="12"/>
                <w:szCs w:val="12"/>
                <w:color w:val="auto"/>
              </w:rPr>
            </w:pPr>
          </w:p>
        </w:tc>
        <w:tc>
          <w:tcPr>
            <w:tcW w:w="600" w:type="dxa"/>
            <w:vAlign w:val="bottom"/>
            <w:shd w:val="clear" w:color="auto" w:fill="1A6DBB"/>
          </w:tcPr>
          <w:p>
            <w:pPr>
              <w:spacing w:after="0"/>
              <w:rPr>
                <w:sz w:val="12"/>
                <w:szCs w:val="12"/>
                <w:color w:val="auto"/>
              </w:rPr>
            </w:pPr>
          </w:p>
        </w:tc>
        <w:tc>
          <w:tcPr>
            <w:tcW w:w="780" w:type="dxa"/>
            <w:vAlign w:val="bottom"/>
            <w:shd w:val="clear" w:color="auto" w:fill="1A6DBB"/>
          </w:tcPr>
          <w:p>
            <w:pPr>
              <w:jc w:val="center"/>
              <w:spacing w:after="0" w:line="143" w:lineRule="exact"/>
              <w:rPr>
                <w:sz w:val="20"/>
                <w:szCs w:val="20"/>
                <w:color w:val="auto"/>
              </w:rPr>
            </w:pPr>
            <w:r>
              <w:rPr>
                <w:rFonts w:ascii="Arial" w:cs="Arial" w:eastAsia="Arial" w:hAnsi="Arial"/>
                <w:sz w:val="13"/>
                <w:szCs w:val="13"/>
                <w:color w:val="FFFFFF"/>
                <w:w w:val="96"/>
              </w:rPr>
              <w:t>Exercise</w:t>
            </w:r>
          </w:p>
        </w:tc>
        <w:tc>
          <w:tcPr>
            <w:tcW w:w="820" w:type="dxa"/>
            <w:vAlign w:val="bottom"/>
            <w:shd w:val="clear" w:color="auto" w:fill="1A6DBB"/>
          </w:tcPr>
          <w:p>
            <w:pPr>
              <w:jc w:val="center"/>
              <w:spacing w:after="0" w:line="143" w:lineRule="exact"/>
              <w:rPr>
                <w:sz w:val="20"/>
                <w:szCs w:val="20"/>
                <w:color w:val="auto"/>
              </w:rPr>
            </w:pPr>
            <w:r>
              <w:rPr>
                <w:rFonts w:ascii="Arial" w:cs="Arial" w:eastAsia="Arial" w:hAnsi="Arial"/>
                <w:sz w:val="13"/>
                <w:szCs w:val="13"/>
                <w:color w:val="FFFFFF"/>
                <w:w w:val="96"/>
              </w:rPr>
              <w:t>Expiration</w:t>
            </w:r>
          </w:p>
        </w:tc>
        <w:tc>
          <w:tcPr>
            <w:tcW w:w="620" w:type="dxa"/>
            <w:vAlign w:val="bottom"/>
            <w:shd w:val="clear" w:color="auto" w:fill="1A6DBB"/>
          </w:tcPr>
          <w:p>
            <w:pPr>
              <w:jc w:val="center"/>
              <w:spacing w:after="0" w:line="143" w:lineRule="exact"/>
              <w:rPr>
                <w:sz w:val="20"/>
                <w:szCs w:val="20"/>
                <w:color w:val="auto"/>
              </w:rPr>
            </w:pPr>
            <w:r>
              <w:rPr>
                <w:rFonts w:ascii="Arial" w:cs="Arial" w:eastAsia="Arial" w:hAnsi="Arial"/>
                <w:sz w:val="13"/>
                <w:szCs w:val="13"/>
                <w:color w:val="FFFFFF"/>
                <w:w w:val="88"/>
              </w:rPr>
              <w:t>Not</w:t>
            </w:r>
          </w:p>
        </w:tc>
        <w:tc>
          <w:tcPr>
            <w:tcW w:w="820" w:type="dxa"/>
            <w:vAlign w:val="bottom"/>
            <w:gridSpan w:val="2"/>
            <w:shd w:val="clear" w:color="auto" w:fill="1A6DBB"/>
          </w:tcPr>
          <w:p>
            <w:pPr>
              <w:jc w:val="center"/>
              <w:spacing w:after="0" w:line="143" w:lineRule="exact"/>
              <w:rPr>
                <w:sz w:val="20"/>
                <w:szCs w:val="20"/>
                <w:color w:val="auto"/>
              </w:rPr>
            </w:pPr>
            <w:r>
              <w:rPr>
                <w:rFonts w:ascii="Arial" w:cs="Arial" w:eastAsia="Arial" w:hAnsi="Arial"/>
                <w:sz w:val="13"/>
                <w:szCs w:val="13"/>
                <w:color w:val="FFFFFF"/>
                <w:w w:val="95"/>
              </w:rPr>
              <w:t>Have Not</w:t>
            </w:r>
          </w:p>
        </w:tc>
        <w:tc>
          <w:tcPr>
            <w:tcW w:w="740" w:type="dxa"/>
            <w:vAlign w:val="bottom"/>
            <w:shd w:val="clear" w:color="auto" w:fill="1A6DBB"/>
          </w:tcPr>
          <w:p>
            <w:pPr>
              <w:jc w:val="center"/>
              <w:spacing w:after="0" w:line="143" w:lineRule="exact"/>
              <w:rPr>
                <w:sz w:val="20"/>
                <w:szCs w:val="20"/>
                <w:color w:val="auto"/>
              </w:rPr>
            </w:pPr>
            <w:r>
              <w:rPr>
                <w:rFonts w:ascii="Arial" w:cs="Arial" w:eastAsia="Arial" w:hAnsi="Arial"/>
                <w:sz w:val="13"/>
                <w:szCs w:val="13"/>
                <w:color w:val="FFFFFF"/>
                <w:w w:val="99"/>
              </w:rPr>
              <w:t>Have Not</w:t>
            </w:r>
          </w:p>
        </w:tc>
        <w:tc>
          <w:tcPr>
            <w:tcW w:w="160" w:type="dxa"/>
            <w:vAlign w:val="bottom"/>
            <w:shd w:val="clear" w:color="auto" w:fill="1A6DBB"/>
          </w:tcPr>
          <w:p>
            <w:pPr>
              <w:spacing w:after="0"/>
              <w:rPr>
                <w:sz w:val="12"/>
                <w:szCs w:val="12"/>
                <w:color w:val="auto"/>
              </w:rPr>
            </w:pPr>
          </w:p>
        </w:tc>
        <w:tc>
          <w:tcPr>
            <w:tcW w:w="760" w:type="dxa"/>
            <w:vAlign w:val="bottom"/>
            <w:shd w:val="clear" w:color="auto" w:fill="1A6DBB"/>
          </w:tcPr>
          <w:p>
            <w:pPr>
              <w:jc w:val="center"/>
              <w:ind w:right="117"/>
              <w:spacing w:after="0" w:line="143" w:lineRule="exact"/>
              <w:rPr>
                <w:sz w:val="20"/>
                <w:szCs w:val="20"/>
                <w:color w:val="auto"/>
              </w:rPr>
            </w:pPr>
            <w:r>
              <w:rPr>
                <w:rFonts w:ascii="Arial" w:cs="Arial" w:eastAsia="Arial" w:hAnsi="Arial"/>
                <w:sz w:val="13"/>
                <w:szCs w:val="13"/>
                <w:color w:val="FFFFFF"/>
                <w:w w:val="99"/>
              </w:rPr>
              <w:t>Have Not</w:t>
            </w:r>
          </w:p>
        </w:tc>
        <w:tc>
          <w:tcPr>
            <w:tcW w:w="0" w:type="dxa"/>
            <w:vAlign w:val="bottom"/>
          </w:tcPr>
          <w:p>
            <w:pPr>
              <w:spacing w:after="0"/>
              <w:rPr>
                <w:sz w:val="1"/>
                <w:szCs w:val="1"/>
                <w:color w:val="auto"/>
              </w:rPr>
            </w:pPr>
          </w:p>
        </w:tc>
      </w:tr>
      <w:tr>
        <w:trPr>
          <w:trHeight w:val="135"/>
        </w:trPr>
        <w:tc>
          <w:tcPr>
            <w:tcW w:w="3160" w:type="dxa"/>
            <w:vAlign w:val="bottom"/>
            <w:shd w:val="clear" w:color="auto" w:fill="1A6DBB"/>
          </w:tcPr>
          <w:p>
            <w:pPr>
              <w:spacing w:after="0"/>
              <w:rPr>
                <w:sz w:val="11"/>
                <w:szCs w:val="11"/>
                <w:color w:val="auto"/>
              </w:rPr>
            </w:pPr>
          </w:p>
        </w:tc>
        <w:tc>
          <w:tcPr>
            <w:tcW w:w="820" w:type="dxa"/>
            <w:vAlign w:val="bottom"/>
            <w:shd w:val="clear" w:color="auto" w:fill="1A6DBB"/>
          </w:tcPr>
          <w:p>
            <w:pPr>
              <w:jc w:val="center"/>
              <w:ind w:left="57"/>
              <w:spacing w:after="0" w:line="135" w:lineRule="exact"/>
              <w:rPr>
                <w:sz w:val="20"/>
                <w:szCs w:val="20"/>
                <w:color w:val="auto"/>
              </w:rPr>
            </w:pPr>
            <w:r>
              <w:rPr>
                <w:rFonts w:ascii="Arial" w:cs="Arial" w:eastAsia="Arial" w:hAnsi="Arial"/>
                <w:sz w:val="13"/>
                <w:szCs w:val="13"/>
                <w:color w:val="FFFFFF"/>
                <w:w w:val="94"/>
              </w:rPr>
              <w:t>Date</w:t>
            </w:r>
          </w:p>
        </w:tc>
        <w:tc>
          <w:tcPr>
            <w:tcW w:w="420" w:type="dxa"/>
            <w:vAlign w:val="bottom"/>
            <w:shd w:val="clear" w:color="auto" w:fill="1A6DBB"/>
          </w:tcPr>
          <w:p>
            <w:pPr>
              <w:spacing w:after="0"/>
              <w:rPr>
                <w:sz w:val="11"/>
                <w:szCs w:val="11"/>
                <w:color w:val="auto"/>
              </w:rPr>
            </w:pPr>
          </w:p>
        </w:tc>
        <w:tc>
          <w:tcPr>
            <w:tcW w:w="180" w:type="dxa"/>
            <w:vAlign w:val="bottom"/>
            <w:shd w:val="clear" w:color="auto" w:fill="1A6DBB"/>
          </w:tcPr>
          <w:p>
            <w:pPr>
              <w:spacing w:after="0"/>
              <w:rPr>
                <w:sz w:val="11"/>
                <w:szCs w:val="11"/>
                <w:color w:val="auto"/>
              </w:rPr>
            </w:pPr>
          </w:p>
        </w:tc>
        <w:tc>
          <w:tcPr>
            <w:tcW w:w="1740" w:type="dxa"/>
            <w:vAlign w:val="bottom"/>
            <w:gridSpan w:val="2"/>
            <w:shd w:val="clear" w:color="auto" w:fill="1A6DBB"/>
          </w:tcPr>
          <w:p>
            <w:pPr>
              <w:jc w:val="center"/>
              <w:spacing w:after="0" w:line="135" w:lineRule="exact"/>
              <w:rPr>
                <w:sz w:val="20"/>
                <w:szCs w:val="20"/>
                <w:color w:val="auto"/>
              </w:rPr>
            </w:pPr>
            <w:r>
              <w:rPr>
                <w:rFonts w:ascii="Arial" w:cs="Arial" w:eastAsia="Arial" w:hAnsi="Arial"/>
                <w:sz w:val="13"/>
                <w:szCs w:val="13"/>
                <w:color w:val="FFFFFF"/>
              </w:rPr>
              <w:t>Exercisable    Unexercisable</w:t>
            </w:r>
          </w:p>
        </w:tc>
        <w:tc>
          <w:tcPr>
            <w:tcW w:w="780" w:type="dxa"/>
            <w:vAlign w:val="bottom"/>
            <w:shd w:val="clear" w:color="auto" w:fill="1A6DBB"/>
          </w:tcPr>
          <w:p>
            <w:pPr>
              <w:jc w:val="center"/>
              <w:spacing w:after="0" w:line="135" w:lineRule="exact"/>
              <w:rPr>
                <w:sz w:val="20"/>
                <w:szCs w:val="20"/>
                <w:color w:val="auto"/>
              </w:rPr>
            </w:pPr>
            <w:r>
              <w:rPr>
                <w:rFonts w:ascii="Arial" w:cs="Arial" w:eastAsia="Arial" w:hAnsi="Arial"/>
                <w:sz w:val="13"/>
                <w:szCs w:val="13"/>
                <w:color w:val="FFFFFF"/>
                <w:w w:val="94"/>
              </w:rPr>
              <w:t>Price</w:t>
            </w:r>
          </w:p>
        </w:tc>
        <w:tc>
          <w:tcPr>
            <w:tcW w:w="820" w:type="dxa"/>
            <w:vAlign w:val="bottom"/>
            <w:shd w:val="clear" w:color="auto" w:fill="1A6DBB"/>
          </w:tcPr>
          <w:p>
            <w:pPr>
              <w:jc w:val="center"/>
              <w:spacing w:after="0" w:line="135" w:lineRule="exact"/>
              <w:rPr>
                <w:sz w:val="20"/>
                <w:szCs w:val="20"/>
                <w:color w:val="auto"/>
              </w:rPr>
            </w:pPr>
            <w:r>
              <w:rPr>
                <w:rFonts w:ascii="Arial" w:cs="Arial" w:eastAsia="Arial" w:hAnsi="Arial"/>
                <w:sz w:val="13"/>
                <w:szCs w:val="13"/>
                <w:color w:val="FFFFFF"/>
              </w:rPr>
              <w:t>Date</w:t>
            </w:r>
          </w:p>
        </w:tc>
        <w:tc>
          <w:tcPr>
            <w:tcW w:w="620" w:type="dxa"/>
            <w:vAlign w:val="bottom"/>
            <w:shd w:val="clear" w:color="auto" w:fill="1A6DBB"/>
          </w:tcPr>
          <w:p>
            <w:pPr>
              <w:jc w:val="center"/>
              <w:spacing w:after="0" w:line="135" w:lineRule="exact"/>
              <w:rPr>
                <w:sz w:val="20"/>
                <w:szCs w:val="20"/>
                <w:color w:val="auto"/>
              </w:rPr>
            </w:pPr>
            <w:r>
              <w:rPr>
                <w:rFonts w:ascii="Arial" w:cs="Arial" w:eastAsia="Arial" w:hAnsi="Arial"/>
                <w:sz w:val="13"/>
                <w:szCs w:val="13"/>
                <w:color w:val="FFFFFF"/>
                <w:w w:val="93"/>
              </w:rPr>
              <w:t>Vested</w:t>
            </w:r>
          </w:p>
        </w:tc>
        <w:tc>
          <w:tcPr>
            <w:tcW w:w="160" w:type="dxa"/>
            <w:vAlign w:val="bottom"/>
            <w:shd w:val="clear" w:color="auto" w:fill="1A6DBB"/>
          </w:tcPr>
          <w:p>
            <w:pPr>
              <w:spacing w:after="0"/>
              <w:rPr>
                <w:sz w:val="11"/>
                <w:szCs w:val="11"/>
                <w:color w:val="auto"/>
              </w:rPr>
            </w:pPr>
          </w:p>
        </w:tc>
        <w:tc>
          <w:tcPr>
            <w:tcW w:w="660" w:type="dxa"/>
            <w:vAlign w:val="bottom"/>
            <w:shd w:val="clear" w:color="auto" w:fill="1A6DBB"/>
          </w:tcPr>
          <w:p>
            <w:pPr>
              <w:jc w:val="center"/>
              <w:ind w:right="117"/>
              <w:spacing w:after="0" w:line="135" w:lineRule="exact"/>
              <w:rPr>
                <w:sz w:val="20"/>
                <w:szCs w:val="20"/>
                <w:color w:val="auto"/>
              </w:rPr>
            </w:pPr>
            <w:r>
              <w:rPr>
                <w:rFonts w:ascii="Arial" w:cs="Arial" w:eastAsia="Arial" w:hAnsi="Arial"/>
                <w:sz w:val="13"/>
                <w:szCs w:val="13"/>
                <w:color w:val="FFFFFF"/>
                <w:w w:val="98"/>
              </w:rPr>
              <w:t>Vested</w:t>
            </w:r>
          </w:p>
        </w:tc>
        <w:tc>
          <w:tcPr>
            <w:tcW w:w="740" w:type="dxa"/>
            <w:vAlign w:val="bottom"/>
            <w:shd w:val="clear" w:color="auto" w:fill="1A6DBB"/>
          </w:tcPr>
          <w:p>
            <w:pPr>
              <w:jc w:val="center"/>
              <w:spacing w:after="0" w:line="135" w:lineRule="exact"/>
              <w:rPr>
                <w:sz w:val="20"/>
                <w:szCs w:val="20"/>
                <w:color w:val="auto"/>
              </w:rPr>
            </w:pPr>
            <w:r>
              <w:rPr>
                <w:rFonts w:ascii="Arial" w:cs="Arial" w:eastAsia="Arial" w:hAnsi="Arial"/>
                <w:sz w:val="13"/>
                <w:szCs w:val="13"/>
                <w:color w:val="FFFFFF"/>
                <w:w w:val="93"/>
              </w:rPr>
              <w:t>Vested</w:t>
            </w:r>
          </w:p>
        </w:tc>
        <w:tc>
          <w:tcPr>
            <w:tcW w:w="160" w:type="dxa"/>
            <w:vAlign w:val="bottom"/>
            <w:shd w:val="clear" w:color="auto" w:fill="1A6DBB"/>
          </w:tcPr>
          <w:p>
            <w:pPr>
              <w:spacing w:after="0"/>
              <w:rPr>
                <w:sz w:val="11"/>
                <w:szCs w:val="11"/>
                <w:color w:val="auto"/>
              </w:rPr>
            </w:pPr>
          </w:p>
        </w:tc>
        <w:tc>
          <w:tcPr>
            <w:tcW w:w="760" w:type="dxa"/>
            <w:vAlign w:val="bottom"/>
            <w:shd w:val="clear" w:color="auto" w:fill="1A6DBB"/>
          </w:tcPr>
          <w:p>
            <w:pPr>
              <w:jc w:val="center"/>
              <w:ind w:right="117"/>
              <w:spacing w:after="0" w:line="135" w:lineRule="exact"/>
              <w:rPr>
                <w:sz w:val="20"/>
                <w:szCs w:val="20"/>
                <w:color w:val="auto"/>
              </w:rPr>
            </w:pPr>
            <w:r>
              <w:rPr>
                <w:rFonts w:ascii="Arial" w:cs="Arial" w:eastAsia="Arial" w:hAnsi="Arial"/>
                <w:sz w:val="13"/>
                <w:szCs w:val="13"/>
                <w:color w:val="FFFFFF"/>
                <w:w w:val="94"/>
              </w:rPr>
              <w:t>Vested</w:t>
            </w:r>
            <w:r>
              <w:rPr>
                <w:rFonts w:ascii="Arial" w:cs="Arial" w:eastAsia="Arial" w:hAnsi="Arial"/>
                <w:sz w:val="10"/>
                <w:szCs w:val="10"/>
                <w:color w:val="FFFFFF"/>
                <w:w w:val="94"/>
              </w:rPr>
              <w:t>(1)</w:t>
            </w:r>
          </w:p>
        </w:tc>
        <w:tc>
          <w:tcPr>
            <w:tcW w:w="0" w:type="dxa"/>
            <w:vAlign w:val="bottom"/>
          </w:tcPr>
          <w:p>
            <w:pPr>
              <w:spacing w:after="0"/>
              <w:rPr>
                <w:sz w:val="1"/>
                <w:szCs w:val="1"/>
                <w:color w:val="auto"/>
              </w:rPr>
            </w:pPr>
          </w:p>
        </w:tc>
      </w:tr>
      <w:tr>
        <w:trPr>
          <w:trHeight w:val="155"/>
        </w:trPr>
        <w:tc>
          <w:tcPr>
            <w:tcW w:w="3160" w:type="dxa"/>
            <w:vAlign w:val="bottom"/>
            <w:shd w:val="clear" w:color="auto" w:fill="1A6DBB"/>
          </w:tcPr>
          <w:p>
            <w:pPr>
              <w:ind w:left="1480"/>
              <w:spacing w:after="0"/>
              <w:rPr>
                <w:sz w:val="20"/>
                <w:szCs w:val="20"/>
                <w:color w:val="auto"/>
              </w:rPr>
            </w:pPr>
            <w:r>
              <w:rPr>
                <w:rFonts w:ascii="Arial" w:cs="Arial" w:eastAsia="Arial" w:hAnsi="Arial"/>
                <w:sz w:val="13"/>
                <w:szCs w:val="13"/>
                <w:color w:val="FFFFFF"/>
              </w:rPr>
              <w:t>(a)</w:t>
            </w:r>
          </w:p>
        </w:tc>
        <w:tc>
          <w:tcPr>
            <w:tcW w:w="820" w:type="dxa"/>
            <w:vAlign w:val="bottom"/>
            <w:shd w:val="clear" w:color="auto" w:fill="1A6DBB"/>
          </w:tcPr>
          <w:p>
            <w:pPr>
              <w:jc w:val="center"/>
              <w:ind w:left="37"/>
              <w:spacing w:after="0"/>
              <w:rPr>
                <w:sz w:val="20"/>
                <w:szCs w:val="20"/>
                <w:color w:val="auto"/>
              </w:rPr>
            </w:pPr>
            <w:r>
              <w:rPr>
                <w:rFonts w:ascii="Arial" w:cs="Arial" w:eastAsia="Arial" w:hAnsi="Arial"/>
                <w:sz w:val="13"/>
                <w:szCs w:val="13"/>
                <w:color w:val="FFFFFF"/>
              </w:rPr>
              <w:t>(b)</w:t>
            </w:r>
          </w:p>
        </w:tc>
        <w:tc>
          <w:tcPr>
            <w:tcW w:w="420" w:type="dxa"/>
            <w:vAlign w:val="bottom"/>
            <w:shd w:val="clear" w:color="auto" w:fill="1A6DBB"/>
          </w:tcPr>
          <w:p>
            <w:pPr>
              <w:jc w:val="center"/>
              <w:ind w:left="17"/>
              <w:spacing w:after="0"/>
              <w:rPr>
                <w:sz w:val="20"/>
                <w:szCs w:val="20"/>
                <w:color w:val="auto"/>
              </w:rPr>
            </w:pPr>
            <w:r>
              <w:rPr>
                <w:rFonts w:ascii="Arial" w:cs="Arial" w:eastAsia="Arial" w:hAnsi="Arial"/>
                <w:sz w:val="13"/>
                <w:szCs w:val="13"/>
                <w:color w:val="FFFFFF"/>
                <w:w w:val="99"/>
              </w:rPr>
              <w:t>Notes</w:t>
            </w:r>
          </w:p>
        </w:tc>
        <w:tc>
          <w:tcPr>
            <w:tcW w:w="180" w:type="dxa"/>
            <w:vAlign w:val="bottom"/>
            <w:shd w:val="clear" w:color="auto" w:fill="1A6DBB"/>
          </w:tcPr>
          <w:p>
            <w:pPr>
              <w:spacing w:after="0"/>
              <w:rPr>
                <w:sz w:val="13"/>
                <w:szCs w:val="13"/>
                <w:color w:val="auto"/>
              </w:rPr>
            </w:pPr>
          </w:p>
        </w:tc>
        <w:tc>
          <w:tcPr>
            <w:tcW w:w="1140" w:type="dxa"/>
            <w:vAlign w:val="bottom"/>
            <w:shd w:val="clear" w:color="auto" w:fill="1A6DBB"/>
          </w:tcPr>
          <w:p>
            <w:pPr>
              <w:jc w:val="right"/>
              <w:ind w:right="677"/>
              <w:spacing w:after="0"/>
              <w:rPr>
                <w:sz w:val="20"/>
                <w:szCs w:val="20"/>
                <w:color w:val="auto"/>
              </w:rPr>
            </w:pPr>
            <w:r>
              <w:rPr>
                <w:rFonts w:ascii="Arial" w:cs="Arial" w:eastAsia="Arial" w:hAnsi="Arial"/>
                <w:sz w:val="13"/>
                <w:szCs w:val="13"/>
                <w:color w:val="FFFFFF"/>
              </w:rPr>
              <w:t>(c)</w:t>
            </w:r>
          </w:p>
        </w:tc>
        <w:tc>
          <w:tcPr>
            <w:tcW w:w="600" w:type="dxa"/>
            <w:vAlign w:val="bottom"/>
            <w:shd w:val="clear" w:color="auto" w:fill="1A6DBB"/>
          </w:tcPr>
          <w:p>
            <w:pPr>
              <w:jc w:val="center"/>
              <w:ind w:right="237"/>
              <w:spacing w:after="0"/>
              <w:rPr>
                <w:sz w:val="20"/>
                <w:szCs w:val="20"/>
                <w:color w:val="auto"/>
              </w:rPr>
            </w:pPr>
            <w:r>
              <w:rPr>
                <w:rFonts w:ascii="Arial" w:cs="Arial" w:eastAsia="Arial" w:hAnsi="Arial"/>
                <w:sz w:val="13"/>
                <w:szCs w:val="13"/>
                <w:color w:val="FFFFFF"/>
                <w:w w:val="87"/>
              </w:rPr>
              <w:t>(d)</w:t>
            </w:r>
          </w:p>
        </w:tc>
        <w:tc>
          <w:tcPr>
            <w:tcW w:w="780" w:type="dxa"/>
            <w:vAlign w:val="bottom"/>
            <w:shd w:val="clear" w:color="auto" w:fill="1A6DBB"/>
          </w:tcPr>
          <w:p>
            <w:pPr>
              <w:jc w:val="center"/>
              <w:spacing w:after="0"/>
              <w:rPr>
                <w:sz w:val="20"/>
                <w:szCs w:val="20"/>
                <w:color w:val="auto"/>
              </w:rPr>
            </w:pPr>
            <w:r>
              <w:rPr>
                <w:rFonts w:ascii="Arial" w:cs="Arial" w:eastAsia="Arial" w:hAnsi="Arial"/>
                <w:sz w:val="13"/>
                <w:szCs w:val="13"/>
                <w:color w:val="FFFFFF"/>
              </w:rPr>
              <w:t>(e)</w:t>
            </w:r>
          </w:p>
        </w:tc>
        <w:tc>
          <w:tcPr>
            <w:tcW w:w="820" w:type="dxa"/>
            <w:vAlign w:val="bottom"/>
            <w:shd w:val="clear" w:color="auto" w:fill="1A6DBB"/>
          </w:tcPr>
          <w:p>
            <w:pPr>
              <w:jc w:val="center"/>
              <w:spacing w:after="0"/>
              <w:rPr>
                <w:sz w:val="20"/>
                <w:szCs w:val="20"/>
                <w:color w:val="auto"/>
              </w:rPr>
            </w:pPr>
            <w:r>
              <w:rPr>
                <w:rFonts w:ascii="Arial" w:cs="Arial" w:eastAsia="Arial" w:hAnsi="Arial"/>
                <w:sz w:val="13"/>
                <w:szCs w:val="13"/>
                <w:color w:val="FFFFFF"/>
                <w:w w:val="97"/>
              </w:rPr>
              <w:t>(f)</w:t>
            </w:r>
          </w:p>
        </w:tc>
        <w:tc>
          <w:tcPr>
            <w:tcW w:w="620" w:type="dxa"/>
            <w:vAlign w:val="bottom"/>
            <w:shd w:val="clear" w:color="auto" w:fill="1A6DBB"/>
          </w:tcPr>
          <w:p>
            <w:pPr>
              <w:jc w:val="center"/>
              <w:spacing w:after="0"/>
              <w:rPr>
                <w:sz w:val="20"/>
                <w:szCs w:val="20"/>
                <w:color w:val="auto"/>
              </w:rPr>
            </w:pPr>
            <w:r>
              <w:rPr>
                <w:rFonts w:ascii="Arial" w:cs="Arial" w:eastAsia="Arial" w:hAnsi="Arial"/>
                <w:sz w:val="13"/>
                <w:szCs w:val="13"/>
                <w:color w:val="FFFFFF"/>
                <w:w w:val="87"/>
              </w:rPr>
              <w:t>(g)</w:t>
            </w:r>
          </w:p>
        </w:tc>
        <w:tc>
          <w:tcPr>
            <w:tcW w:w="160" w:type="dxa"/>
            <w:vAlign w:val="bottom"/>
            <w:shd w:val="clear" w:color="auto" w:fill="1A6DBB"/>
          </w:tcPr>
          <w:p>
            <w:pPr>
              <w:spacing w:after="0"/>
              <w:rPr>
                <w:sz w:val="13"/>
                <w:szCs w:val="13"/>
                <w:color w:val="auto"/>
              </w:rPr>
            </w:pPr>
          </w:p>
        </w:tc>
        <w:tc>
          <w:tcPr>
            <w:tcW w:w="660" w:type="dxa"/>
            <w:vAlign w:val="bottom"/>
            <w:shd w:val="clear" w:color="auto" w:fill="1A6DBB"/>
          </w:tcPr>
          <w:p>
            <w:pPr>
              <w:jc w:val="center"/>
              <w:ind w:right="117"/>
              <w:spacing w:after="0"/>
              <w:rPr>
                <w:sz w:val="20"/>
                <w:szCs w:val="20"/>
                <w:color w:val="auto"/>
              </w:rPr>
            </w:pPr>
            <w:r>
              <w:rPr>
                <w:rFonts w:ascii="Arial" w:cs="Arial" w:eastAsia="Arial" w:hAnsi="Arial"/>
                <w:sz w:val="13"/>
                <w:szCs w:val="13"/>
                <w:color w:val="FFFFFF"/>
              </w:rPr>
              <w:t>(h)</w:t>
            </w:r>
          </w:p>
        </w:tc>
        <w:tc>
          <w:tcPr>
            <w:tcW w:w="740" w:type="dxa"/>
            <w:vAlign w:val="bottom"/>
            <w:shd w:val="clear" w:color="auto" w:fill="1A6DBB"/>
          </w:tcPr>
          <w:p>
            <w:pPr>
              <w:jc w:val="center"/>
              <w:spacing w:after="0"/>
              <w:rPr>
                <w:sz w:val="20"/>
                <w:szCs w:val="20"/>
                <w:color w:val="auto"/>
              </w:rPr>
            </w:pPr>
            <w:r>
              <w:rPr>
                <w:rFonts w:ascii="Arial" w:cs="Arial" w:eastAsia="Arial" w:hAnsi="Arial"/>
                <w:sz w:val="13"/>
                <w:szCs w:val="13"/>
                <w:color w:val="FFFFFF"/>
                <w:w w:val="86"/>
              </w:rPr>
              <w:t>(i)</w:t>
            </w:r>
          </w:p>
        </w:tc>
        <w:tc>
          <w:tcPr>
            <w:tcW w:w="160" w:type="dxa"/>
            <w:vAlign w:val="bottom"/>
            <w:shd w:val="clear" w:color="auto" w:fill="1A6DBB"/>
          </w:tcPr>
          <w:p>
            <w:pPr>
              <w:spacing w:after="0"/>
              <w:rPr>
                <w:sz w:val="13"/>
                <w:szCs w:val="13"/>
                <w:color w:val="auto"/>
              </w:rPr>
            </w:pPr>
          </w:p>
        </w:tc>
        <w:tc>
          <w:tcPr>
            <w:tcW w:w="760" w:type="dxa"/>
            <w:vAlign w:val="bottom"/>
            <w:shd w:val="clear" w:color="auto" w:fill="1A6DBB"/>
          </w:tcPr>
          <w:p>
            <w:pPr>
              <w:jc w:val="center"/>
              <w:ind w:right="117"/>
              <w:spacing w:after="0"/>
              <w:rPr>
                <w:sz w:val="20"/>
                <w:szCs w:val="20"/>
                <w:color w:val="auto"/>
              </w:rPr>
            </w:pPr>
            <w:r>
              <w:rPr>
                <w:rFonts w:ascii="Arial" w:cs="Arial" w:eastAsia="Arial" w:hAnsi="Arial"/>
                <w:sz w:val="13"/>
                <w:szCs w:val="13"/>
                <w:color w:val="FFFFFF"/>
                <w:w w:val="86"/>
              </w:rPr>
              <w:t>(j)</w:t>
            </w:r>
          </w:p>
        </w:tc>
        <w:tc>
          <w:tcPr>
            <w:tcW w:w="0" w:type="dxa"/>
            <w:vAlign w:val="bottom"/>
          </w:tcPr>
          <w:p>
            <w:pPr>
              <w:spacing w:after="0"/>
              <w:rPr>
                <w:sz w:val="1"/>
                <w:szCs w:val="1"/>
                <w:color w:val="auto"/>
              </w:rPr>
            </w:pPr>
          </w:p>
        </w:tc>
      </w:tr>
      <w:tr>
        <w:trPr>
          <w:trHeight w:val="187"/>
        </w:trPr>
        <w:tc>
          <w:tcPr>
            <w:tcW w:w="3160" w:type="dxa"/>
            <w:vAlign w:val="bottom"/>
            <w:shd w:val="clear" w:color="auto" w:fill="E8F0F8"/>
          </w:tcPr>
          <w:p>
            <w:pPr>
              <w:ind w:left="60"/>
              <w:spacing w:after="0"/>
              <w:rPr>
                <w:sz w:val="20"/>
                <w:szCs w:val="20"/>
                <w:color w:val="auto"/>
              </w:rPr>
            </w:pPr>
            <w:r>
              <w:rPr>
                <w:rFonts w:ascii="Arial" w:cs="Arial" w:eastAsia="Arial" w:hAnsi="Arial"/>
                <w:sz w:val="13"/>
                <w:szCs w:val="13"/>
                <w:b w:val="1"/>
                <w:bCs w:val="1"/>
                <w:color w:val="auto"/>
              </w:rPr>
              <w:t>Michel Vounatsos</w:t>
            </w:r>
          </w:p>
        </w:tc>
        <w:tc>
          <w:tcPr>
            <w:tcW w:w="820" w:type="dxa"/>
            <w:vAlign w:val="bottom"/>
            <w:shd w:val="clear" w:color="auto" w:fill="E8F0F8"/>
          </w:tcPr>
          <w:p>
            <w:pPr>
              <w:jc w:val="right"/>
              <w:spacing w:after="0"/>
              <w:rPr>
                <w:sz w:val="20"/>
                <w:szCs w:val="20"/>
                <w:color w:val="auto"/>
              </w:rPr>
            </w:pPr>
            <w:r>
              <w:rPr>
                <w:rFonts w:ascii="Arial" w:cs="Arial" w:eastAsia="Arial" w:hAnsi="Arial"/>
                <w:sz w:val="13"/>
                <w:szCs w:val="13"/>
                <w:color w:val="auto"/>
              </w:rPr>
              <w:t>5/2/2016</w:t>
            </w:r>
          </w:p>
        </w:tc>
        <w:tc>
          <w:tcPr>
            <w:tcW w:w="420" w:type="dxa"/>
            <w:vAlign w:val="bottom"/>
            <w:shd w:val="clear" w:color="auto" w:fill="E8F0F8"/>
          </w:tcPr>
          <w:p>
            <w:pPr>
              <w:jc w:val="center"/>
              <w:ind w:left="17"/>
              <w:spacing w:after="0"/>
              <w:rPr>
                <w:sz w:val="20"/>
                <w:szCs w:val="20"/>
                <w:color w:val="auto"/>
              </w:rPr>
            </w:pPr>
            <w:r>
              <w:rPr>
                <w:rFonts w:ascii="Arial" w:cs="Arial" w:eastAsia="Arial" w:hAnsi="Arial"/>
                <w:sz w:val="13"/>
                <w:szCs w:val="13"/>
                <w:color w:val="auto"/>
                <w:w w:val="87"/>
              </w:rPr>
              <w:t>(2)</w:t>
            </w:r>
          </w:p>
        </w:tc>
        <w:tc>
          <w:tcPr>
            <w:tcW w:w="180" w:type="dxa"/>
            <w:vAlign w:val="bottom"/>
            <w:shd w:val="clear" w:color="auto" w:fill="E8F0F8"/>
          </w:tcPr>
          <w:p>
            <w:pPr>
              <w:spacing w:after="0"/>
              <w:rPr>
                <w:sz w:val="16"/>
                <w:szCs w:val="16"/>
                <w:color w:val="auto"/>
              </w:rPr>
            </w:pPr>
          </w:p>
        </w:tc>
        <w:tc>
          <w:tcPr>
            <w:tcW w:w="1140" w:type="dxa"/>
            <w:vAlign w:val="bottom"/>
            <w:vMerge w:val="restart"/>
            <w:shd w:val="clear" w:color="auto" w:fill="E8F0F8"/>
          </w:tcPr>
          <w:p>
            <w:pPr>
              <w:jc w:val="right"/>
              <w:ind w:right="7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E8F0F8"/>
          </w:tcPr>
          <w:p>
            <w:pPr>
              <w:jc w:val="center"/>
              <w:ind w:right="177"/>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shd w:val="clear" w:color="auto" w:fill="E8F0F8"/>
          </w:tcPr>
          <w:p>
            <w:pPr>
              <w:jc w:val="right"/>
              <w:spacing w:after="0"/>
              <w:rPr>
                <w:sz w:val="20"/>
                <w:szCs w:val="20"/>
                <w:color w:val="auto"/>
              </w:rPr>
            </w:pPr>
            <w:r>
              <w:rPr>
                <w:rFonts w:ascii="Arial" w:cs="Arial" w:eastAsia="Arial" w:hAnsi="Arial"/>
                <w:sz w:val="13"/>
                <w:szCs w:val="13"/>
                <w:color w:val="auto"/>
              </w:rPr>
              <w:t>2,320</w:t>
            </w:r>
          </w:p>
        </w:tc>
        <w:tc>
          <w:tcPr>
            <w:tcW w:w="16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698,134</w:t>
            </w:r>
          </w:p>
        </w:tc>
        <w:tc>
          <w:tcPr>
            <w:tcW w:w="74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shd w:val="clear" w:color="auto" w:fill="E8F0F8"/>
          </w:tcPr>
          <w:p>
            <w:pPr>
              <w:spacing w:after="0"/>
              <w:rPr>
                <w:sz w:val="16"/>
                <w:szCs w:val="16"/>
                <w:color w:val="auto"/>
              </w:rPr>
            </w:pPr>
          </w:p>
        </w:tc>
        <w:tc>
          <w:tcPr>
            <w:tcW w:w="76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3"/>
        </w:trPr>
        <w:tc>
          <w:tcPr>
            <w:tcW w:w="316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420" w:type="dxa"/>
            <w:vAlign w:val="bottom"/>
            <w:shd w:val="clear" w:color="auto" w:fill="E8F0F8"/>
          </w:tcPr>
          <w:p>
            <w:pPr>
              <w:spacing w:after="0"/>
              <w:rPr>
                <w:sz w:val="3"/>
                <w:szCs w:val="3"/>
                <w:color w:val="auto"/>
              </w:rPr>
            </w:pPr>
          </w:p>
        </w:tc>
        <w:tc>
          <w:tcPr>
            <w:tcW w:w="180" w:type="dxa"/>
            <w:vAlign w:val="bottom"/>
            <w:shd w:val="clear" w:color="auto" w:fill="E8F0F8"/>
          </w:tcPr>
          <w:p>
            <w:pPr>
              <w:spacing w:after="0"/>
              <w:rPr>
                <w:sz w:val="3"/>
                <w:szCs w:val="3"/>
                <w:color w:val="auto"/>
              </w:rPr>
            </w:pPr>
          </w:p>
        </w:tc>
        <w:tc>
          <w:tcPr>
            <w:tcW w:w="1140" w:type="dxa"/>
            <w:vAlign w:val="bottom"/>
            <w:vMerge w:val="continue"/>
            <w:shd w:val="clear" w:color="auto" w:fill="E8F0F8"/>
          </w:tcPr>
          <w:p>
            <w:pPr>
              <w:spacing w:after="0"/>
              <w:rPr>
                <w:sz w:val="3"/>
                <w:szCs w:val="3"/>
                <w:color w:val="auto"/>
              </w:rPr>
            </w:pPr>
          </w:p>
        </w:tc>
        <w:tc>
          <w:tcPr>
            <w:tcW w:w="600" w:type="dxa"/>
            <w:vAlign w:val="bottom"/>
            <w:vMerge w:val="continue"/>
            <w:shd w:val="clear" w:color="auto" w:fill="E8F0F8"/>
          </w:tcPr>
          <w:p>
            <w:pPr>
              <w:spacing w:after="0"/>
              <w:rPr>
                <w:sz w:val="3"/>
                <w:szCs w:val="3"/>
                <w:color w:val="auto"/>
              </w:rPr>
            </w:pPr>
          </w:p>
        </w:tc>
        <w:tc>
          <w:tcPr>
            <w:tcW w:w="78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62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660" w:type="dxa"/>
            <w:vAlign w:val="bottom"/>
            <w:shd w:val="clear" w:color="auto" w:fill="E8F0F8"/>
          </w:tcPr>
          <w:p>
            <w:pPr>
              <w:spacing w:after="0"/>
              <w:rPr>
                <w:sz w:val="3"/>
                <w:szCs w:val="3"/>
                <w:color w:val="auto"/>
              </w:rPr>
            </w:pPr>
          </w:p>
        </w:tc>
        <w:tc>
          <w:tcPr>
            <w:tcW w:w="74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760" w:type="dxa"/>
            <w:vAlign w:val="bottom"/>
            <w:shd w:val="clear" w:color="auto" w:fill="E8F0F8"/>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160" w:type="dxa"/>
            <w:vAlign w:val="bottom"/>
            <w:shd w:val="clear" w:color="auto" w:fill="E8F0F8"/>
          </w:tcPr>
          <w:p>
            <w:pPr>
              <w:spacing w:after="0"/>
              <w:rPr>
                <w:sz w:val="16"/>
                <w:szCs w:val="16"/>
                <w:color w:val="auto"/>
              </w:rPr>
            </w:pPr>
          </w:p>
        </w:tc>
        <w:tc>
          <w:tcPr>
            <w:tcW w:w="820" w:type="dxa"/>
            <w:vAlign w:val="bottom"/>
            <w:shd w:val="clear" w:color="auto" w:fill="E8F0F8"/>
          </w:tcPr>
          <w:p>
            <w:pPr>
              <w:jc w:val="right"/>
              <w:spacing w:after="0"/>
              <w:rPr>
                <w:sz w:val="20"/>
                <w:szCs w:val="20"/>
                <w:color w:val="auto"/>
              </w:rPr>
            </w:pPr>
            <w:r>
              <w:rPr>
                <w:rFonts w:ascii="Arial" w:cs="Arial" w:eastAsia="Arial" w:hAnsi="Arial"/>
                <w:sz w:val="13"/>
                <w:szCs w:val="13"/>
                <w:color w:val="auto"/>
              </w:rPr>
              <w:t>5/2/2016</w:t>
            </w:r>
          </w:p>
        </w:tc>
        <w:tc>
          <w:tcPr>
            <w:tcW w:w="420" w:type="dxa"/>
            <w:vAlign w:val="bottom"/>
            <w:shd w:val="clear" w:color="auto" w:fill="E8F0F8"/>
          </w:tcPr>
          <w:p>
            <w:pPr>
              <w:jc w:val="center"/>
              <w:ind w:left="17"/>
              <w:spacing w:after="0"/>
              <w:rPr>
                <w:sz w:val="20"/>
                <w:szCs w:val="20"/>
                <w:color w:val="auto"/>
              </w:rPr>
            </w:pPr>
            <w:r>
              <w:rPr>
                <w:rFonts w:ascii="Arial" w:cs="Arial" w:eastAsia="Arial" w:hAnsi="Arial"/>
                <w:sz w:val="13"/>
                <w:szCs w:val="13"/>
                <w:color w:val="auto"/>
                <w:w w:val="87"/>
              </w:rPr>
              <w:t>(3)</w:t>
            </w:r>
          </w:p>
        </w:tc>
        <w:tc>
          <w:tcPr>
            <w:tcW w:w="180" w:type="dxa"/>
            <w:vAlign w:val="bottom"/>
            <w:shd w:val="clear" w:color="auto" w:fill="E8F0F8"/>
          </w:tcPr>
          <w:p>
            <w:pPr>
              <w:spacing w:after="0"/>
              <w:rPr>
                <w:sz w:val="16"/>
                <w:szCs w:val="16"/>
                <w:color w:val="auto"/>
              </w:rPr>
            </w:pPr>
          </w:p>
        </w:tc>
        <w:tc>
          <w:tcPr>
            <w:tcW w:w="1140" w:type="dxa"/>
            <w:vAlign w:val="bottom"/>
            <w:vMerge w:val="restart"/>
            <w:shd w:val="clear" w:color="auto" w:fill="E8F0F8"/>
          </w:tcPr>
          <w:p>
            <w:pPr>
              <w:jc w:val="right"/>
              <w:ind w:right="7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E8F0F8"/>
          </w:tcPr>
          <w:p>
            <w:pPr>
              <w:jc w:val="center"/>
              <w:ind w:right="177"/>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E8F0F8"/>
          </w:tcPr>
          <w:p>
            <w:pPr>
              <w:spacing w:after="0"/>
              <w:rPr>
                <w:sz w:val="16"/>
                <w:szCs w:val="16"/>
                <w:color w:val="auto"/>
              </w:rPr>
            </w:pPr>
          </w:p>
        </w:tc>
        <w:tc>
          <w:tcPr>
            <w:tcW w:w="66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3,252</w:t>
            </w:r>
          </w:p>
        </w:tc>
        <w:tc>
          <w:tcPr>
            <w:tcW w:w="16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978,592</w:t>
            </w:r>
          </w:p>
        </w:tc>
        <w:tc>
          <w:tcPr>
            <w:tcW w:w="0" w:type="dxa"/>
            <w:vAlign w:val="bottom"/>
          </w:tcPr>
          <w:p>
            <w:pPr>
              <w:spacing w:after="0"/>
              <w:rPr>
                <w:sz w:val="1"/>
                <w:szCs w:val="1"/>
                <w:color w:val="auto"/>
              </w:rPr>
            </w:pPr>
          </w:p>
        </w:tc>
      </w:tr>
      <w:tr>
        <w:trPr>
          <w:trHeight w:val="43"/>
        </w:trPr>
        <w:tc>
          <w:tcPr>
            <w:tcW w:w="316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420" w:type="dxa"/>
            <w:vAlign w:val="bottom"/>
            <w:shd w:val="clear" w:color="auto" w:fill="E8F0F8"/>
          </w:tcPr>
          <w:p>
            <w:pPr>
              <w:spacing w:after="0"/>
              <w:rPr>
                <w:sz w:val="3"/>
                <w:szCs w:val="3"/>
                <w:color w:val="auto"/>
              </w:rPr>
            </w:pPr>
          </w:p>
        </w:tc>
        <w:tc>
          <w:tcPr>
            <w:tcW w:w="180" w:type="dxa"/>
            <w:vAlign w:val="bottom"/>
            <w:shd w:val="clear" w:color="auto" w:fill="E8F0F8"/>
          </w:tcPr>
          <w:p>
            <w:pPr>
              <w:spacing w:after="0"/>
              <w:rPr>
                <w:sz w:val="3"/>
                <w:szCs w:val="3"/>
                <w:color w:val="auto"/>
              </w:rPr>
            </w:pPr>
          </w:p>
        </w:tc>
        <w:tc>
          <w:tcPr>
            <w:tcW w:w="1140" w:type="dxa"/>
            <w:vAlign w:val="bottom"/>
            <w:vMerge w:val="continue"/>
            <w:shd w:val="clear" w:color="auto" w:fill="E8F0F8"/>
          </w:tcPr>
          <w:p>
            <w:pPr>
              <w:spacing w:after="0"/>
              <w:rPr>
                <w:sz w:val="3"/>
                <w:szCs w:val="3"/>
                <w:color w:val="auto"/>
              </w:rPr>
            </w:pPr>
          </w:p>
        </w:tc>
        <w:tc>
          <w:tcPr>
            <w:tcW w:w="600" w:type="dxa"/>
            <w:vAlign w:val="bottom"/>
            <w:vMerge w:val="continue"/>
            <w:shd w:val="clear" w:color="auto" w:fill="E8F0F8"/>
          </w:tcPr>
          <w:p>
            <w:pPr>
              <w:spacing w:after="0"/>
              <w:rPr>
                <w:sz w:val="3"/>
                <w:szCs w:val="3"/>
                <w:color w:val="auto"/>
              </w:rPr>
            </w:pPr>
          </w:p>
        </w:tc>
        <w:tc>
          <w:tcPr>
            <w:tcW w:w="78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62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660" w:type="dxa"/>
            <w:vAlign w:val="bottom"/>
            <w:shd w:val="clear" w:color="auto" w:fill="E8F0F8"/>
          </w:tcPr>
          <w:p>
            <w:pPr>
              <w:spacing w:after="0"/>
              <w:rPr>
                <w:sz w:val="3"/>
                <w:szCs w:val="3"/>
                <w:color w:val="auto"/>
              </w:rPr>
            </w:pPr>
          </w:p>
        </w:tc>
        <w:tc>
          <w:tcPr>
            <w:tcW w:w="74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760" w:type="dxa"/>
            <w:vAlign w:val="bottom"/>
            <w:shd w:val="clear" w:color="auto" w:fill="E8F0F8"/>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160" w:type="dxa"/>
            <w:vAlign w:val="bottom"/>
            <w:shd w:val="clear" w:color="auto" w:fill="E8F0F8"/>
          </w:tcPr>
          <w:p>
            <w:pPr>
              <w:spacing w:after="0"/>
              <w:rPr>
                <w:sz w:val="16"/>
                <w:szCs w:val="16"/>
                <w:color w:val="auto"/>
              </w:rPr>
            </w:pPr>
          </w:p>
        </w:tc>
        <w:tc>
          <w:tcPr>
            <w:tcW w:w="820" w:type="dxa"/>
            <w:vAlign w:val="bottom"/>
            <w:shd w:val="clear" w:color="auto" w:fill="E8F0F8"/>
          </w:tcPr>
          <w:p>
            <w:pPr>
              <w:jc w:val="right"/>
              <w:spacing w:after="0"/>
              <w:rPr>
                <w:sz w:val="20"/>
                <w:szCs w:val="20"/>
                <w:color w:val="auto"/>
              </w:rPr>
            </w:pPr>
            <w:r>
              <w:rPr>
                <w:rFonts w:ascii="Arial" w:cs="Arial" w:eastAsia="Arial" w:hAnsi="Arial"/>
                <w:sz w:val="13"/>
                <w:szCs w:val="13"/>
                <w:color w:val="auto"/>
              </w:rPr>
              <w:t>2/15/2017</w:t>
            </w:r>
          </w:p>
        </w:tc>
        <w:tc>
          <w:tcPr>
            <w:tcW w:w="420" w:type="dxa"/>
            <w:vAlign w:val="bottom"/>
            <w:shd w:val="clear" w:color="auto" w:fill="E8F0F8"/>
          </w:tcPr>
          <w:p>
            <w:pPr>
              <w:jc w:val="center"/>
              <w:ind w:left="17"/>
              <w:spacing w:after="0"/>
              <w:rPr>
                <w:sz w:val="20"/>
                <w:szCs w:val="20"/>
                <w:color w:val="auto"/>
              </w:rPr>
            </w:pPr>
            <w:r>
              <w:rPr>
                <w:rFonts w:ascii="Arial" w:cs="Arial" w:eastAsia="Arial" w:hAnsi="Arial"/>
                <w:sz w:val="13"/>
                <w:szCs w:val="13"/>
                <w:color w:val="auto"/>
                <w:w w:val="87"/>
              </w:rPr>
              <w:t>(2)</w:t>
            </w:r>
          </w:p>
        </w:tc>
        <w:tc>
          <w:tcPr>
            <w:tcW w:w="180" w:type="dxa"/>
            <w:vAlign w:val="bottom"/>
            <w:shd w:val="clear" w:color="auto" w:fill="E8F0F8"/>
          </w:tcPr>
          <w:p>
            <w:pPr>
              <w:spacing w:after="0"/>
              <w:rPr>
                <w:sz w:val="16"/>
                <w:szCs w:val="16"/>
                <w:color w:val="auto"/>
              </w:rPr>
            </w:pPr>
          </w:p>
        </w:tc>
        <w:tc>
          <w:tcPr>
            <w:tcW w:w="1140" w:type="dxa"/>
            <w:vAlign w:val="bottom"/>
            <w:vMerge w:val="restart"/>
            <w:shd w:val="clear" w:color="auto" w:fill="E8F0F8"/>
          </w:tcPr>
          <w:p>
            <w:pPr>
              <w:jc w:val="right"/>
              <w:ind w:right="7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E8F0F8"/>
          </w:tcPr>
          <w:p>
            <w:pPr>
              <w:jc w:val="center"/>
              <w:ind w:right="177"/>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shd w:val="clear" w:color="auto" w:fill="E8F0F8"/>
          </w:tcPr>
          <w:p>
            <w:pPr>
              <w:jc w:val="right"/>
              <w:spacing w:after="0"/>
              <w:rPr>
                <w:sz w:val="20"/>
                <w:szCs w:val="20"/>
                <w:color w:val="auto"/>
              </w:rPr>
            </w:pPr>
            <w:r>
              <w:rPr>
                <w:rFonts w:ascii="Arial" w:cs="Arial" w:eastAsia="Arial" w:hAnsi="Arial"/>
                <w:sz w:val="13"/>
                <w:szCs w:val="13"/>
                <w:color w:val="auto"/>
              </w:rPr>
              <w:t>14,080</w:t>
            </w:r>
          </w:p>
        </w:tc>
        <w:tc>
          <w:tcPr>
            <w:tcW w:w="16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w w:val="93"/>
              </w:rPr>
              <w:t>4,236,954</w:t>
            </w:r>
          </w:p>
        </w:tc>
        <w:tc>
          <w:tcPr>
            <w:tcW w:w="74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shd w:val="clear" w:color="auto" w:fill="E8F0F8"/>
          </w:tcPr>
          <w:p>
            <w:pPr>
              <w:spacing w:after="0"/>
              <w:rPr>
                <w:sz w:val="16"/>
                <w:szCs w:val="16"/>
                <w:color w:val="auto"/>
              </w:rPr>
            </w:pPr>
          </w:p>
        </w:tc>
        <w:tc>
          <w:tcPr>
            <w:tcW w:w="76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3"/>
        </w:trPr>
        <w:tc>
          <w:tcPr>
            <w:tcW w:w="316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420" w:type="dxa"/>
            <w:vAlign w:val="bottom"/>
            <w:shd w:val="clear" w:color="auto" w:fill="E8F0F8"/>
          </w:tcPr>
          <w:p>
            <w:pPr>
              <w:spacing w:after="0"/>
              <w:rPr>
                <w:sz w:val="3"/>
                <w:szCs w:val="3"/>
                <w:color w:val="auto"/>
              </w:rPr>
            </w:pPr>
          </w:p>
        </w:tc>
        <w:tc>
          <w:tcPr>
            <w:tcW w:w="180" w:type="dxa"/>
            <w:vAlign w:val="bottom"/>
            <w:shd w:val="clear" w:color="auto" w:fill="E8F0F8"/>
          </w:tcPr>
          <w:p>
            <w:pPr>
              <w:spacing w:after="0"/>
              <w:rPr>
                <w:sz w:val="3"/>
                <w:szCs w:val="3"/>
                <w:color w:val="auto"/>
              </w:rPr>
            </w:pPr>
          </w:p>
        </w:tc>
        <w:tc>
          <w:tcPr>
            <w:tcW w:w="1140" w:type="dxa"/>
            <w:vAlign w:val="bottom"/>
            <w:vMerge w:val="continue"/>
            <w:shd w:val="clear" w:color="auto" w:fill="E8F0F8"/>
          </w:tcPr>
          <w:p>
            <w:pPr>
              <w:spacing w:after="0"/>
              <w:rPr>
                <w:sz w:val="3"/>
                <w:szCs w:val="3"/>
                <w:color w:val="auto"/>
              </w:rPr>
            </w:pPr>
          </w:p>
        </w:tc>
        <w:tc>
          <w:tcPr>
            <w:tcW w:w="600" w:type="dxa"/>
            <w:vAlign w:val="bottom"/>
            <w:vMerge w:val="continue"/>
            <w:shd w:val="clear" w:color="auto" w:fill="E8F0F8"/>
          </w:tcPr>
          <w:p>
            <w:pPr>
              <w:spacing w:after="0"/>
              <w:rPr>
                <w:sz w:val="3"/>
                <w:szCs w:val="3"/>
                <w:color w:val="auto"/>
              </w:rPr>
            </w:pPr>
          </w:p>
        </w:tc>
        <w:tc>
          <w:tcPr>
            <w:tcW w:w="78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62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660" w:type="dxa"/>
            <w:vAlign w:val="bottom"/>
            <w:shd w:val="clear" w:color="auto" w:fill="E8F0F8"/>
          </w:tcPr>
          <w:p>
            <w:pPr>
              <w:spacing w:after="0"/>
              <w:rPr>
                <w:sz w:val="3"/>
                <w:szCs w:val="3"/>
                <w:color w:val="auto"/>
              </w:rPr>
            </w:pPr>
          </w:p>
        </w:tc>
        <w:tc>
          <w:tcPr>
            <w:tcW w:w="74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760" w:type="dxa"/>
            <w:vAlign w:val="bottom"/>
            <w:shd w:val="clear" w:color="auto" w:fill="E8F0F8"/>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160" w:type="dxa"/>
            <w:vAlign w:val="bottom"/>
            <w:shd w:val="clear" w:color="auto" w:fill="E8F0F8"/>
          </w:tcPr>
          <w:p>
            <w:pPr>
              <w:spacing w:after="0"/>
              <w:rPr>
                <w:sz w:val="16"/>
                <w:szCs w:val="16"/>
                <w:color w:val="auto"/>
              </w:rPr>
            </w:pPr>
          </w:p>
        </w:tc>
        <w:tc>
          <w:tcPr>
            <w:tcW w:w="820" w:type="dxa"/>
            <w:vAlign w:val="bottom"/>
            <w:shd w:val="clear" w:color="auto" w:fill="E8F0F8"/>
          </w:tcPr>
          <w:p>
            <w:pPr>
              <w:jc w:val="right"/>
              <w:spacing w:after="0"/>
              <w:rPr>
                <w:sz w:val="20"/>
                <w:szCs w:val="20"/>
                <w:color w:val="auto"/>
              </w:rPr>
            </w:pPr>
            <w:r>
              <w:rPr>
                <w:rFonts w:ascii="Arial" w:cs="Arial" w:eastAsia="Arial" w:hAnsi="Arial"/>
                <w:sz w:val="13"/>
                <w:szCs w:val="13"/>
                <w:color w:val="auto"/>
              </w:rPr>
              <w:t>2/15/2017</w:t>
            </w:r>
          </w:p>
        </w:tc>
        <w:tc>
          <w:tcPr>
            <w:tcW w:w="420" w:type="dxa"/>
            <w:vAlign w:val="bottom"/>
            <w:shd w:val="clear" w:color="auto" w:fill="E8F0F8"/>
          </w:tcPr>
          <w:p>
            <w:pPr>
              <w:jc w:val="center"/>
              <w:ind w:left="17"/>
              <w:spacing w:after="0"/>
              <w:rPr>
                <w:sz w:val="20"/>
                <w:szCs w:val="20"/>
                <w:color w:val="auto"/>
              </w:rPr>
            </w:pPr>
            <w:r>
              <w:rPr>
                <w:rFonts w:ascii="Arial" w:cs="Arial" w:eastAsia="Arial" w:hAnsi="Arial"/>
                <w:sz w:val="13"/>
                <w:szCs w:val="13"/>
                <w:color w:val="auto"/>
                <w:w w:val="87"/>
              </w:rPr>
              <w:t>(3)</w:t>
            </w:r>
          </w:p>
        </w:tc>
        <w:tc>
          <w:tcPr>
            <w:tcW w:w="180" w:type="dxa"/>
            <w:vAlign w:val="bottom"/>
            <w:shd w:val="clear" w:color="auto" w:fill="E8F0F8"/>
          </w:tcPr>
          <w:p>
            <w:pPr>
              <w:spacing w:after="0"/>
              <w:rPr>
                <w:sz w:val="16"/>
                <w:szCs w:val="16"/>
                <w:color w:val="auto"/>
              </w:rPr>
            </w:pPr>
          </w:p>
        </w:tc>
        <w:tc>
          <w:tcPr>
            <w:tcW w:w="1140" w:type="dxa"/>
            <w:vAlign w:val="bottom"/>
            <w:vMerge w:val="restart"/>
            <w:shd w:val="clear" w:color="auto" w:fill="E8F0F8"/>
          </w:tcPr>
          <w:p>
            <w:pPr>
              <w:jc w:val="right"/>
              <w:ind w:right="7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E8F0F8"/>
          </w:tcPr>
          <w:p>
            <w:pPr>
              <w:jc w:val="center"/>
              <w:ind w:right="177"/>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E8F0F8"/>
          </w:tcPr>
          <w:p>
            <w:pPr>
              <w:spacing w:after="0"/>
              <w:rPr>
                <w:sz w:val="16"/>
                <w:szCs w:val="16"/>
                <w:color w:val="auto"/>
              </w:rPr>
            </w:pPr>
          </w:p>
        </w:tc>
        <w:tc>
          <w:tcPr>
            <w:tcW w:w="66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17,002</w:t>
            </w:r>
          </w:p>
        </w:tc>
        <w:tc>
          <w:tcPr>
            <w:tcW w:w="16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5,116,242</w:t>
            </w:r>
          </w:p>
        </w:tc>
        <w:tc>
          <w:tcPr>
            <w:tcW w:w="0" w:type="dxa"/>
            <w:vAlign w:val="bottom"/>
          </w:tcPr>
          <w:p>
            <w:pPr>
              <w:spacing w:after="0"/>
              <w:rPr>
                <w:sz w:val="1"/>
                <w:szCs w:val="1"/>
                <w:color w:val="auto"/>
              </w:rPr>
            </w:pPr>
          </w:p>
        </w:tc>
      </w:tr>
      <w:tr>
        <w:trPr>
          <w:trHeight w:val="43"/>
        </w:trPr>
        <w:tc>
          <w:tcPr>
            <w:tcW w:w="316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420" w:type="dxa"/>
            <w:vAlign w:val="bottom"/>
            <w:shd w:val="clear" w:color="auto" w:fill="E8F0F8"/>
          </w:tcPr>
          <w:p>
            <w:pPr>
              <w:spacing w:after="0"/>
              <w:rPr>
                <w:sz w:val="3"/>
                <w:szCs w:val="3"/>
                <w:color w:val="auto"/>
              </w:rPr>
            </w:pPr>
          </w:p>
        </w:tc>
        <w:tc>
          <w:tcPr>
            <w:tcW w:w="180" w:type="dxa"/>
            <w:vAlign w:val="bottom"/>
            <w:shd w:val="clear" w:color="auto" w:fill="E8F0F8"/>
          </w:tcPr>
          <w:p>
            <w:pPr>
              <w:spacing w:after="0"/>
              <w:rPr>
                <w:sz w:val="3"/>
                <w:szCs w:val="3"/>
                <w:color w:val="auto"/>
              </w:rPr>
            </w:pPr>
          </w:p>
        </w:tc>
        <w:tc>
          <w:tcPr>
            <w:tcW w:w="1140" w:type="dxa"/>
            <w:vAlign w:val="bottom"/>
            <w:vMerge w:val="continue"/>
            <w:shd w:val="clear" w:color="auto" w:fill="E8F0F8"/>
          </w:tcPr>
          <w:p>
            <w:pPr>
              <w:spacing w:after="0"/>
              <w:rPr>
                <w:sz w:val="3"/>
                <w:szCs w:val="3"/>
                <w:color w:val="auto"/>
              </w:rPr>
            </w:pPr>
          </w:p>
        </w:tc>
        <w:tc>
          <w:tcPr>
            <w:tcW w:w="600" w:type="dxa"/>
            <w:vAlign w:val="bottom"/>
            <w:vMerge w:val="continue"/>
            <w:shd w:val="clear" w:color="auto" w:fill="E8F0F8"/>
          </w:tcPr>
          <w:p>
            <w:pPr>
              <w:spacing w:after="0"/>
              <w:rPr>
                <w:sz w:val="3"/>
                <w:szCs w:val="3"/>
                <w:color w:val="auto"/>
              </w:rPr>
            </w:pPr>
          </w:p>
        </w:tc>
        <w:tc>
          <w:tcPr>
            <w:tcW w:w="78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62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660" w:type="dxa"/>
            <w:vAlign w:val="bottom"/>
            <w:shd w:val="clear" w:color="auto" w:fill="E8F0F8"/>
          </w:tcPr>
          <w:p>
            <w:pPr>
              <w:spacing w:after="0"/>
              <w:rPr>
                <w:sz w:val="3"/>
                <w:szCs w:val="3"/>
                <w:color w:val="auto"/>
              </w:rPr>
            </w:pPr>
          </w:p>
        </w:tc>
        <w:tc>
          <w:tcPr>
            <w:tcW w:w="74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760" w:type="dxa"/>
            <w:vAlign w:val="bottom"/>
            <w:shd w:val="clear" w:color="auto" w:fill="E8F0F8"/>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160" w:type="dxa"/>
            <w:vAlign w:val="bottom"/>
            <w:shd w:val="clear" w:color="auto" w:fill="E8F0F8"/>
          </w:tcPr>
          <w:p>
            <w:pPr>
              <w:spacing w:after="0"/>
              <w:rPr>
                <w:sz w:val="16"/>
                <w:szCs w:val="16"/>
                <w:color w:val="auto"/>
              </w:rPr>
            </w:pPr>
          </w:p>
        </w:tc>
        <w:tc>
          <w:tcPr>
            <w:tcW w:w="820" w:type="dxa"/>
            <w:vAlign w:val="bottom"/>
            <w:shd w:val="clear" w:color="auto" w:fill="E8F0F8"/>
          </w:tcPr>
          <w:p>
            <w:pPr>
              <w:jc w:val="right"/>
              <w:spacing w:after="0"/>
              <w:rPr>
                <w:sz w:val="20"/>
                <w:szCs w:val="20"/>
                <w:color w:val="auto"/>
              </w:rPr>
            </w:pPr>
            <w:r>
              <w:rPr>
                <w:rFonts w:ascii="Arial" w:cs="Arial" w:eastAsia="Arial" w:hAnsi="Arial"/>
                <w:sz w:val="13"/>
                <w:szCs w:val="13"/>
                <w:color w:val="auto"/>
              </w:rPr>
              <w:t>2/12/2018</w:t>
            </w:r>
          </w:p>
        </w:tc>
        <w:tc>
          <w:tcPr>
            <w:tcW w:w="420" w:type="dxa"/>
            <w:vAlign w:val="bottom"/>
            <w:shd w:val="clear" w:color="auto" w:fill="E8F0F8"/>
          </w:tcPr>
          <w:p>
            <w:pPr>
              <w:jc w:val="center"/>
              <w:ind w:left="17"/>
              <w:spacing w:after="0"/>
              <w:rPr>
                <w:sz w:val="20"/>
                <w:szCs w:val="20"/>
                <w:color w:val="auto"/>
              </w:rPr>
            </w:pPr>
            <w:r>
              <w:rPr>
                <w:rFonts w:ascii="Arial" w:cs="Arial" w:eastAsia="Arial" w:hAnsi="Arial"/>
                <w:sz w:val="13"/>
                <w:szCs w:val="13"/>
                <w:color w:val="auto"/>
                <w:w w:val="87"/>
              </w:rPr>
              <w:t>(3)</w:t>
            </w:r>
          </w:p>
        </w:tc>
        <w:tc>
          <w:tcPr>
            <w:tcW w:w="180" w:type="dxa"/>
            <w:vAlign w:val="bottom"/>
            <w:shd w:val="clear" w:color="auto" w:fill="E8F0F8"/>
          </w:tcPr>
          <w:p>
            <w:pPr>
              <w:spacing w:after="0"/>
              <w:rPr>
                <w:sz w:val="16"/>
                <w:szCs w:val="16"/>
                <w:color w:val="auto"/>
              </w:rPr>
            </w:pPr>
          </w:p>
        </w:tc>
        <w:tc>
          <w:tcPr>
            <w:tcW w:w="1140" w:type="dxa"/>
            <w:vAlign w:val="bottom"/>
            <w:vMerge w:val="restart"/>
            <w:shd w:val="clear" w:color="auto" w:fill="E8F0F8"/>
          </w:tcPr>
          <w:p>
            <w:pPr>
              <w:jc w:val="right"/>
              <w:ind w:right="7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E8F0F8"/>
          </w:tcPr>
          <w:p>
            <w:pPr>
              <w:jc w:val="center"/>
              <w:ind w:right="177"/>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E8F0F8"/>
          </w:tcPr>
          <w:p>
            <w:pPr>
              <w:spacing w:after="0"/>
              <w:rPr>
                <w:sz w:val="16"/>
                <w:szCs w:val="16"/>
                <w:color w:val="auto"/>
              </w:rPr>
            </w:pPr>
          </w:p>
        </w:tc>
        <w:tc>
          <w:tcPr>
            <w:tcW w:w="66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36,320</w:t>
            </w:r>
          </w:p>
        </w:tc>
        <w:tc>
          <w:tcPr>
            <w:tcW w:w="16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w w:val="95"/>
              </w:rPr>
              <w:t>10,929,414</w:t>
            </w:r>
          </w:p>
        </w:tc>
        <w:tc>
          <w:tcPr>
            <w:tcW w:w="0" w:type="dxa"/>
            <w:vAlign w:val="bottom"/>
          </w:tcPr>
          <w:p>
            <w:pPr>
              <w:spacing w:after="0"/>
              <w:rPr>
                <w:sz w:val="1"/>
                <w:szCs w:val="1"/>
                <w:color w:val="auto"/>
              </w:rPr>
            </w:pPr>
          </w:p>
        </w:tc>
      </w:tr>
      <w:tr>
        <w:trPr>
          <w:trHeight w:val="43"/>
        </w:trPr>
        <w:tc>
          <w:tcPr>
            <w:tcW w:w="316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420" w:type="dxa"/>
            <w:vAlign w:val="bottom"/>
            <w:shd w:val="clear" w:color="auto" w:fill="E8F0F8"/>
          </w:tcPr>
          <w:p>
            <w:pPr>
              <w:spacing w:after="0"/>
              <w:rPr>
                <w:sz w:val="3"/>
                <w:szCs w:val="3"/>
                <w:color w:val="auto"/>
              </w:rPr>
            </w:pPr>
          </w:p>
        </w:tc>
        <w:tc>
          <w:tcPr>
            <w:tcW w:w="180" w:type="dxa"/>
            <w:vAlign w:val="bottom"/>
            <w:shd w:val="clear" w:color="auto" w:fill="E8F0F8"/>
          </w:tcPr>
          <w:p>
            <w:pPr>
              <w:spacing w:after="0"/>
              <w:rPr>
                <w:sz w:val="3"/>
                <w:szCs w:val="3"/>
                <w:color w:val="auto"/>
              </w:rPr>
            </w:pPr>
          </w:p>
        </w:tc>
        <w:tc>
          <w:tcPr>
            <w:tcW w:w="1140" w:type="dxa"/>
            <w:vAlign w:val="bottom"/>
            <w:vMerge w:val="continue"/>
            <w:shd w:val="clear" w:color="auto" w:fill="E8F0F8"/>
          </w:tcPr>
          <w:p>
            <w:pPr>
              <w:spacing w:after="0"/>
              <w:rPr>
                <w:sz w:val="3"/>
                <w:szCs w:val="3"/>
                <w:color w:val="auto"/>
              </w:rPr>
            </w:pPr>
          </w:p>
        </w:tc>
        <w:tc>
          <w:tcPr>
            <w:tcW w:w="600" w:type="dxa"/>
            <w:vAlign w:val="bottom"/>
            <w:vMerge w:val="continue"/>
            <w:shd w:val="clear" w:color="auto" w:fill="E8F0F8"/>
          </w:tcPr>
          <w:p>
            <w:pPr>
              <w:spacing w:after="0"/>
              <w:rPr>
                <w:sz w:val="3"/>
                <w:szCs w:val="3"/>
                <w:color w:val="auto"/>
              </w:rPr>
            </w:pPr>
          </w:p>
        </w:tc>
        <w:tc>
          <w:tcPr>
            <w:tcW w:w="78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62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660" w:type="dxa"/>
            <w:vAlign w:val="bottom"/>
            <w:shd w:val="clear" w:color="auto" w:fill="E8F0F8"/>
          </w:tcPr>
          <w:p>
            <w:pPr>
              <w:spacing w:after="0"/>
              <w:rPr>
                <w:sz w:val="3"/>
                <w:szCs w:val="3"/>
                <w:color w:val="auto"/>
              </w:rPr>
            </w:pPr>
          </w:p>
        </w:tc>
        <w:tc>
          <w:tcPr>
            <w:tcW w:w="74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760" w:type="dxa"/>
            <w:vAlign w:val="bottom"/>
            <w:shd w:val="clear" w:color="auto" w:fill="E8F0F8"/>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3160" w:type="dxa"/>
            <w:vAlign w:val="bottom"/>
            <w:tcBorders>
              <w:bottom w:val="single" w:sz="8" w:color="E8F0F8"/>
            </w:tcBorders>
            <w:shd w:val="clear" w:color="auto" w:fill="E8F0F8"/>
          </w:tcPr>
          <w:p>
            <w:pPr>
              <w:spacing w:after="0"/>
              <w:rPr>
                <w:sz w:val="19"/>
                <w:szCs w:val="19"/>
                <w:color w:val="auto"/>
              </w:rPr>
            </w:pPr>
          </w:p>
        </w:tc>
        <w:tc>
          <w:tcPr>
            <w:tcW w:w="82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3"/>
                <w:szCs w:val="13"/>
                <w:color w:val="auto"/>
              </w:rPr>
              <w:t>2/12/2018</w:t>
            </w:r>
          </w:p>
        </w:tc>
        <w:tc>
          <w:tcPr>
            <w:tcW w:w="420" w:type="dxa"/>
            <w:vAlign w:val="bottom"/>
            <w:tcBorders>
              <w:bottom w:val="single" w:sz="8" w:color="E8F0F8"/>
            </w:tcBorders>
            <w:shd w:val="clear" w:color="auto" w:fill="E8F0F8"/>
          </w:tcPr>
          <w:p>
            <w:pPr>
              <w:jc w:val="center"/>
              <w:ind w:left="17"/>
              <w:spacing w:after="0"/>
              <w:rPr>
                <w:sz w:val="20"/>
                <w:szCs w:val="20"/>
                <w:color w:val="auto"/>
              </w:rPr>
            </w:pPr>
            <w:r>
              <w:rPr>
                <w:rFonts w:ascii="Arial" w:cs="Arial" w:eastAsia="Arial" w:hAnsi="Arial"/>
                <w:sz w:val="13"/>
                <w:szCs w:val="13"/>
                <w:color w:val="auto"/>
                <w:w w:val="87"/>
              </w:rPr>
              <w:t>(4)</w:t>
            </w:r>
          </w:p>
        </w:tc>
        <w:tc>
          <w:tcPr>
            <w:tcW w:w="180" w:type="dxa"/>
            <w:vAlign w:val="bottom"/>
            <w:tcBorders>
              <w:bottom w:val="single" w:sz="8" w:color="E8F0F8"/>
            </w:tcBorders>
            <w:shd w:val="clear" w:color="auto" w:fill="E8F0F8"/>
          </w:tcPr>
          <w:p>
            <w:pPr>
              <w:spacing w:after="0"/>
              <w:rPr>
                <w:sz w:val="19"/>
                <w:szCs w:val="19"/>
                <w:color w:val="auto"/>
              </w:rPr>
            </w:pPr>
          </w:p>
        </w:tc>
        <w:tc>
          <w:tcPr>
            <w:tcW w:w="1140" w:type="dxa"/>
            <w:vAlign w:val="bottom"/>
            <w:tcBorders>
              <w:bottom w:val="single" w:sz="8" w:color="E8F0F8"/>
            </w:tcBorders>
            <w:shd w:val="clear" w:color="auto" w:fill="E8F0F8"/>
          </w:tcPr>
          <w:p>
            <w:pPr>
              <w:jc w:val="right"/>
              <w:ind w:right="71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E8F0F8"/>
            </w:tcBorders>
            <w:shd w:val="clear" w:color="auto" w:fill="E8F0F8"/>
          </w:tcPr>
          <w:p>
            <w:pPr>
              <w:jc w:val="center"/>
              <w:ind w:right="177"/>
              <w:spacing w:after="0"/>
              <w:rPr>
                <w:sz w:val="20"/>
                <w:szCs w:val="20"/>
                <w:color w:val="auto"/>
              </w:rPr>
            </w:pPr>
            <w:r>
              <w:rPr>
                <w:rFonts w:ascii="Arial" w:cs="Arial" w:eastAsia="Arial" w:hAnsi="Arial"/>
                <w:sz w:val="13"/>
                <w:szCs w:val="13"/>
                <w:color w:val="auto"/>
                <w:w w:val="91"/>
              </w:rPr>
              <w:t>—</w:t>
            </w:r>
          </w:p>
        </w:tc>
        <w:tc>
          <w:tcPr>
            <w:tcW w:w="780" w:type="dxa"/>
            <w:vAlign w:val="bottom"/>
            <w:tcBorders>
              <w:bottom w:val="single" w:sz="8" w:color="E8F0F8"/>
            </w:tcBorders>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E8F0F8"/>
            </w:tcBorders>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3"/>
                <w:szCs w:val="13"/>
                <w:color w:val="auto"/>
              </w:rPr>
              <w:t>4,602</w:t>
            </w:r>
          </w:p>
        </w:tc>
        <w:tc>
          <w:tcPr>
            <w:tcW w:w="16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E8F0F8"/>
            </w:tcBorders>
            <w:shd w:val="clear" w:color="auto" w:fill="E8F0F8"/>
          </w:tcPr>
          <w:p>
            <w:pPr>
              <w:jc w:val="right"/>
              <w:ind w:right="37"/>
              <w:spacing w:after="0"/>
              <w:rPr>
                <w:sz w:val="20"/>
                <w:szCs w:val="20"/>
                <w:color w:val="auto"/>
              </w:rPr>
            </w:pPr>
            <w:r>
              <w:rPr>
                <w:rFonts w:ascii="Arial" w:cs="Arial" w:eastAsia="Arial" w:hAnsi="Arial"/>
                <w:sz w:val="13"/>
                <w:szCs w:val="13"/>
                <w:color w:val="auto"/>
                <w:w w:val="93"/>
              </w:rPr>
              <w:t>1,384,834</w:t>
            </w:r>
          </w:p>
        </w:tc>
        <w:tc>
          <w:tcPr>
            <w:tcW w:w="740" w:type="dxa"/>
            <w:vAlign w:val="bottom"/>
            <w:tcBorders>
              <w:bottom w:val="single" w:sz="8" w:color="E8F0F8"/>
            </w:tcBorders>
            <w:shd w:val="clear" w:color="auto" w:fill="E8F0F8"/>
          </w:tcPr>
          <w:p>
            <w:pPr>
              <w:jc w:val="right"/>
              <w:ind w:right="37"/>
              <w:spacing w:after="0"/>
              <w:rPr>
                <w:sz w:val="20"/>
                <w:szCs w:val="20"/>
                <w:color w:val="auto"/>
              </w:rPr>
            </w:pPr>
            <w:r>
              <w:rPr>
                <w:rFonts w:ascii="Arial" w:cs="Arial" w:eastAsia="Arial" w:hAnsi="Arial"/>
                <w:sz w:val="13"/>
                <w:szCs w:val="13"/>
                <w:color w:val="auto"/>
              </w:rPr>
              <w:t>15,763</w:t>
            </w:r>
          </w:p>
        </w:tc>
        <w:tc>
          <w:tcPr>
            <w:tcW w:w="16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E8F0F8"/>
            </w:tcBorders>
            <w:shd w:val="clear" w:color="auto" w:fill="E8F0F8"/>
          </w:tcPr>
          <w:p>
            <w:pPr>
              <w:jc w:val="right"/>
              <w:ind w:right="57"/>
              <w:spacing w:after="0"/>
              <w:rPr>
                <w:sz w:val="20"/>
                <w:szCs w:val="20"/>
                <w:color w:val="auto"/>
              </w:rPr>
            </w:pPr>
            <w:r>
              <w:rPr>
                <w:rFonts w:ascii="Arial" w:cs="Arial" w:eastAsia="Arial" w:hAnsi="Arial"/>
                <w:sz w:val="13"/>
                <w:szCs w:val="13"/>
                <w:color w:val="auto"/>
              </w:rPr>
              <w:t>4,743,402</w:t>
            </w:r>
          </w:p>
        </w:tc>
        <w:tc>
          <w:tcPr>
            <w:tcW w:w="0" w:type="dxa"/>
            <w:vAlign w:val="bottom"/>
          </w:tcPr>
          <w:p>
            <w:pPr>
              <w:spacing w:after="0"/>
              <w:rPr>
                <w:sz w:val="1"/>
                <w:szCs w:val="1"/>
                <w:color w:val="auto"/>
              </w:rPr>
            </w:pPr>
          </w:p>
        </w:tc>
      </w:tr>
      <w:tr>
        <w:trPr>
          <w:trHeight w:val="180"/>
        </w:trPr>
        <w:tc>
          <w:tcPr>
            <w:tcW w:w="3160" w:type="dxa"/>
            <w:vAlign w:val="bottom"/>
            <w:tcBorders>
              <w:top w:val="single" w:sz="8" w:color="1A6DBB"/>
            </w:tcBorders>
            <w:shd w:val="clear" w:color="auto" w:fill="BAD3EA"/>
          </w:tcPr>
          <w:p>
            <w:pPr>
              <w:ind w:left="60"/>
              <w:spacing w:after="0"/>
              <w:rPr>
                <w:sz w:val="20"/>
                <w:szCs w:val="20"/>
                <w:color w:val="auto"/>
              </w:rPr>
            </w:pPr>
            <w:r>
              <w:rPr>
                <w:rFonts w:ascii="Arial" w:cs="Arial" w:eastAsia="Arial" w:hAnsi="Arial"/>
                <w:sz w:val="13"/>
                <w:szCs w:val="13"/>
                <w:b w:val="1"/>
                <w:bCs w:val="1"/>
                <w:color w:val="auto"/>
              </w:rPr>
              <w:t>Jeffrey D. Capello</w:t>
            </w:r>
          </w:p>
        </w:tc>
        <w:tc>
          <w:tcPr>
            <w:tcW w:w="820" w:type="dxa"/>
            <w:vAlign w:val="bottom"/>
            <w:tcBorders>
              <w:top w:val="single" w:sz="8" w:color="1A6DBB"/>
            </w:tcBorders>
            <w:shd w:val="clear" w:color="auto" w:fill="BAD3EA"/>
          </w:tcPr>
          <w:p>
            <w:pPr>
              <w:jc w:val="right"/>
              <w:spacing w:after="0"/>
              <w:rPr>
                <w:sz w:val="20"/>
                <w:szCs w:val="20"/>
                <w:color w:val="auto"/>
              </w:rPr>
            </w:pPr>
            <w:r>
              <w:rPr>
                <w:rFonts w:ascii="Arial" w:cs="Arial" w:eastAsia="Arial" w:hAnsi="Arial"/>
                <w:sz w:val="13"/>
                <w:szCs w:val="13"/>
                <w:color w:val="auto"/>
              </w:rPr>
              <w:t>1/2/2018</w:t>
            </w:r>
          </w:p>
        </w:tc>
        <w:tc>
          <w:tcPr>
            <w:tcW w:w="420" w:type="dxa"/>
            <w:vAlign w:val="bottom"/>
            <w:tcBorders>
              <w:top w:val="single" w:sz="8" w:color="1A6DBB"/>
            </w:tcBorders>
            <w:shd w:val="clear" w:color="auto" w:fill="BAD3EA"/>
          </w:tcPr>
          <w:p>
            <w:pPr>
              <w:jc w:val="center"/>
              <w:ind w:left="17"/>
              <w:spacing w:after="0"/>
              <w:rPr>
                <w:sz w:val="20"/>
                <w:szCs w:val="20"/>
                <w:color w:val="auto"/>
              </w:rPr>
            </w:pPr>
            <w:r>
              <w:rPr>
                <w:rFonts w:ascii="Arial" w:cs="Arial" w:eastAsia="Arial" w:hAnsi="Arial"/>
                <w:sz w:val="13"/>
                <w:szCs w:val="13"/>
                <w:color w:val="auto"/>
                <w:w w:val="87"/>
              </w:rPr>
              <w:t>(3)</w:t>
            </w:r>
          </w:p>
        </w:tc>
        <w:tc>
          <w:tcPr>
            <w:tcW w:w="180" w:type="dxa"/>
            <w:vAlign w:val="bottom"/>
            <w:tcBorders>
              <w:top w:val="single" w:sz="8" w:color="1A6DBB"/>
            </w:tcBorders>
            <w:shd w:val="clear" w:color="auto" w:fill="BAD3EA"/>
          </w:tcPr>
          <w:p>
            <w:pPr>
              <w:spacing w:after="0"/>
              <w:rPr>
                <w:sz w:val="15"/>
                <w:szCs w:val="15"/>
                <w:color w:val="auto"/>
              </w:rPr>
            </w:pPr>
          </w:p>
        </w:tc>
        <w:tc>
          <w:tcPr>
            <w:tcW w:w="1140" w:type="dxa"/>
            <w:vAlign w:val="bottom"/>
            <w:tcBorders>
              <w:top w:val="single" w:sz="8" w:color="1A6DBB"/>
            </w:tcBorders>
            <w:vMerge w:val="restart"/>
            <w:shd w:val="clear" w:color="auto" w:fill="BAD3EA"/>
          </w:tcPr>
          <w:p>
            <w:pPr>
              <w:jc w:val="right"/>
              <w:ind w:right="717"/>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1A6DBB"/>
            </w:tcBorders>
            <w:vMerge w:val="restart"/>
            <w:shd w:val="clear" w:color="auto" w:fill="BAD3EA"/>
          </w:tcPr>
          <w:p>
            <w:pPr>
              <w:jc w:val="center"/>
              <w:ind w:right="177"/>
              <w:spacing w:after="0"/>
              <w:rPr>
                <w:sz w:val="20"/>
                <w:szCs w:val="20"/>
                <w:color w:val="auto"/>
              </w:rPr>
            </w:pPr>
            <w:r>
              <w:rPr>
                <w:rFonts w:ascii="Arial" w:cs="Arial" w:eastAsia="Arial" w:hAnsi="Arial"/>
                <w:sz w:val="13"/>
                <w:szCs w:val="13"/>
                <w:color w:val="auto"/>
                <w:w w:val="91"/>
              </w:rPr>
              <w:t>—</w:t>
            </w:r>
          </w:p>
        </w:tc>
        <w:tc>
          <w:tcPr>
            <w:tcW w:w="780" w:type="dxa"/>
            <w:vAlign w:val="bottom"/>
            <w:tcBorders>
              <w:top w:val="single" w:sz="8" w:color="1A6DBB"/>
            </w:tcBorders>
            <w:shd w:val="clear" w:color="auto" w:fill="BAD3EA"/>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1A6DBB"/>
            </w:tcBorders>
            <w:shd w:val="clear" w:color="auto" w:fill="BAD3EA"/>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1A6DBB"/>
            </w:tcBorders>
            <w:shd w:val="clear" w:color="auto" w:fill="BAD3EA"/>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top w:val="single" w:sz="8" w:color="1A6DBB"/>
            </w:tcBorders>
            <w:shd w:val="clear" w:color="auto" w:fill="BAD3EA"/>
          </w:tcPr>
          <w:p>
            <w:pPr>
              <w:spacing w:after="0"/>
              <w:rPr>
                <w:sz w:val="15"/>
                <w:szCs w:val="15"/>
                <w:color w:val="auto"/>
              </w:rPr>
            </w:pPr>
          </w:p>
        </w:tc>
        <w:tc>
          <w:tcPr>
            <w:tcW w:w="660" w:type="dxa"/>
            <w:vAlign w:val="bottom"/>
            <w:tcBorders>
              <w:top w:val="single" w:sz="8" w:color="1A6DBB"/>
            </w:tcBorders>
            <w:shd w:val="clear" w:color="auto" w:fill="BAD3EA"/>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1A6DBB"/>
            </w:tcBorders>
            <w:shd w:val="clear" w:color="auto" w:fill="BAD3EA"/>
          </w:tcPr>
          <w:p>
            <w:pPr>
              <w:jc w:val="right"/>
              <w:ind w:right="37"/>
              <w:spacing w:after="0"/>
              <w:rPr>
                <w:sz w:val="20"/>
                <w:szCs w:val="20"/>
                <w:color w:val="auto"/>
              </w:rPr>
            </w:pPr>
            <w:r>
              <w:rPr>
                <w:rFonts w:ascii="Arial" w:cs="Arial" w:eastAsia="Arial" w:hAnsi="Arial"/>
                <w:sz w:val="13"/>
                <w:szCs w:val="13"/>
                <w:color w:val="auto"/>
              </w:rPr>
              <w:t>4,490</w:t>
            </w:r>
          </w:p>
        </w:tc>
        <w:tc>
          <w:tcPr>
            <w:tcW w:w="160" w:type="dxa"/>
            <w:vAlign w:val="bottom"/>
            <w:tcBorders>
              <w:top w:val="single" w:sz="8" w:color="1A6DBB"/>
            </w:tcBorders>
            <w:shd w:val="clear" w:color="auto" w:fill="BAD3EA"/>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1A6DBB"/>
            </w:tcBorders>
            <w:shd w:val="clear" w:color="auto" w:fill="BAD3EA"/>
          </w:tcPr>
          <w:p>
            <w:pPr>
              <w:jc w:val="right"/>
              <w:ind w:right="57"/>
              <w:spacing w:after="0"/>
              <w:rPr>
                <w:sz w:val="20"/>
                <w:szCs w:val="20"/>
                <w:color w:val="auto"/>
              </w:rPr>
            </w:pPr>
            <w:r>
              <w:rPr>
                <w:rFonts w:ascii="Arial" w:cs="Arial" w:eastAsia="Arial" w:hAnsi="Arial"/>
                <w:sz w:val="13"/>
                <w:szCs w:val="13"/>
                <w:color w:val="auto"/>
              </w:rPr>
              <w:t>1,351,131</w:t>
            </w:r>
          </w:p>
        </w:tc>
        <w:tc>
          <w:tcPr>
            <w:tcW w:w="0" w:type="dxa"/>
            <w:vAlign w:val="bottom"/>
          </w:tcPr>
          <w:p>
            <w:pPr>
              <w:spacing w:after="0"/>
              <w:rPr>
                <w:sz w:val="1"/>
                <w:szCs w:val="1"/>
                <w:color w:val="auto"/>
              </w:rPr>
            </w:pPr>
          </w:p>
        </w:tc>
      </w:tr>
      <w:tr>
        <w:trPr>
          <w:trHeight w:val="43"/>
        </w:trPr>
        <w:tc>
          <w:tcPr>
            <w:tcW w:w="3160" w:type="dxa"/>
            <w:vAlign w:val="bottom"/>
            <w:shd w:val="clear" w:color="auto" w:fill="BAD3EA"/>
          </w:tcPr>
          <w:p>
            <w:pPr>
              <w:spacing w:after="0"/>
              <w:rPr>
                <w:sz w:val="3"/>
                <w:szCs w:val="3"/>
                <w:color w:val="auto"/>
              </w:rPr>
            </w:pPr>
          </w:p>
        </w:tc>
        <w:tc>
          <w:tcPr>
            <w:tcW w:w="820" w:type="dxa"/>
            <w:vAlign w:val="bottom"/>
            <w:shd w:val="clear" w:color="auto" w:fill="BAD3EA"/>
          </w:tcPr>
          <w:p>
            <w:pPr>
              <w:spacing w:after="0"/>
              <w:rPr>
                <w:sz w:val="3"/>
                <w:szCs w:val="3"/>
                <w:color w:val="auto"/>
              </w:rPr>
            </w:pPr>
          </w:p>
        </w:tc>
        <w:tc>
          <w:tcPr>
            <w:tcW w:w="420" w:type="dxa"/>
            <w:vAlign w:val="bottom"/>
            <w:shd w:val="clear" w:color="auto" w:fill="BAD3EA"/>
          </w:tcPr>
          <w:p>
            <w:pPr>
              <w:spacing w:after="0"/>
              <w:rPr>
                <w:sz w:val="3"/>
                <w:szCs w:val="3"/>
                <w:color w:val="auto"/>
              </w:rPr>
            </w:pPr>
          </w:p>
        </w:tc>
        <w:tc>
          <w:tcPr>
            <w:tcW w:w="180" w:type="dxa"/>
            <w:vAlign w:val="bottom"/>
            <w:shd w:val="clear" w:color="auto" w:fill="BAD3EA"/>
          </w:tcPr>
          <w:p>
            <w:pPr>
              <w:spacing w:after="0"/>
              <w:rPr>
                <w:sz w:val="3"/>
                <w:szCs w:val="3"/>
                <w:color w:val="auto"/>
              </w:rPr>
            </w:pPr>
          </w:p>
        </w:tc>
        <w:tc>
          <w:tcPr>
            <w:tcW w:w="1140" w:type="dxa"/>
            <w:vAlign w:val="bottom"/>
            <w:vMerge w:val="continue"/>
            <w:shd w:val="clear" w:color="auto" w:fill="BAD3EA"/>
          </w:tcPr>
          <w:p>
            <w:pPr>
              <w:spacing w:after="0"/>
              <w:rPr>
                <w:sz w:val="3"/>
                <w:szCs w:val="3"/>
                <w:color w:val="auto"/>
              </w:rPr>
            </w:pPr>
          </w:p>
        </w:tc>
        <w:tc>
          <w:tcPr>
            <w:tcW w:w="600" w:type="dxa"/>
            <w:vAlign w:val="bottom"/>
            <w:vMerge w:val="continue"/>
            <w:shd w:val="clear" w:color="auto" w:fill="BAD3EA"/>
          </w:tcPr>
          <w:p>
            <w:pPr>
              <w:spacing w:after="0"/>
              <w:rPr>
                <w:sz w:val="3"/>
                <w:szCs w:val="3"/>
                <w:color w:val="auto"/>
              </w:rPr>
            </w:pPr>
          </w:p>
        </w:tc>
        <w:tc>
          <w:tcPr>
            <w:tcW w:w="780" w:type="dxa"/>
            <w:vAlign w:val="bottom"/>
            <w:shd w:val="clear" w:color="auto" w:fill="BAD3EA"/>
          </w:tcPr>
          <w:p>
            <w:pPr>
              <w:spacing w:after="0"/>
              <w:rPr>
                <w:sz w:val="3"/>
                <w:szCs w:val="3"/>
                <w:color w:val="auto"/>
              </w:rPr>
            </w:pPr>
          </w:p>
        </w:tc>
        <w:tc>
          <w:tcPr>
            <w:tcW w:w="820" w:type="dxa"/>
            <w:vAlign w:val="bottom"/>
            <w:shd w:val="clear" w:color="auto" w:fill="BAD3EA"/>
          </w:tcPr>
          <w:p>
            <w:pPr>
              <w:spacing w:after="0"/>
              <w:rPr>
                <w:sz w:val="3"/>
                <w:szCs w:val="3"/>
                <w:color w:val="auto"/>
              </w:rPr>
            </w:pPr>
          </w:p>
        </w:tc>
        <w:tc>
          <w:tcPr>
            <w:tcW w:w="620" w:type="dxa"/>
            <w:vAlign w:val="bottom"/>
            <w:shd w:val="clear" w:color="auto" w:fill="BAD3EA"/>
          </w:tcPr>
          <w:p>
            <w:pPr>
              <w:spacing w:after="0"/>
              <w:rPr>
                <w:sz w:val="3"/>
                <w:szCs w:val="3"/>
                <w:color w:val="auto"/>
              </w:rPr>
            </w:pPr>
          </w:p>
        </w:tc>
        <w:tc>
          <w:tcPr>
            <w:tcW w:w="160" w:type="dxa"/>
            <w:vAlign w:val="bottom"/>
            <w:shd w:val="clear" w:color="auto" w:fill="BAD3EA"/>
          </w:tcPr>
          <w:p>
            <w:pPr>
              <w:spacing w:after="0"/>
              <w:rPr>
                <w:sz w:val="3"/>
                <w:szCs w:val="3"/>
                <w:color w:val="auto"/>
              </w:rPr>
            </w:pPr>
          </w:p>
        </w:tc>
        <w:tc>
          <w:tcPr>
            <w:tcW w:w="660" w:type="dxa"/>
            <w:vAlign w:val="bottom"/>
            <w:shd w:val="clear" w:color="auto" w:fill="BAD3EA"/>
          </w:tcPr>
          <w:p>
            <w:pPr>
              <w:spacing w:after="0"/>
              <w:rPr>
                <w:sz w:val="3"/>
                <w:szCs w:val="3"/>
                <w:color w:val="auto"/>
              </w:rPr>
            </w:pPr>
          </w:p>
        </w:tc>
        <w:tc>
          <w:tcPr>
            <w:tcW w:w="740" w:type="dxa"/>
            <w:vAlign w:val="bottom"/>
            <w:shd w:val="clear" w:color="auto" w:fill="BAD3EA"/>
          </w:tcPr>
          <w:p>
            <w:pPr>
              <w:spacing w:after="0"/>
              <w:rPr>
                <w:sz w:val="3"/>
                <w:szCs w:val="3"/>
                <w:color w:val="auto"/>
              </w:rPr>
            </w:pPr>
          </w:p>
        </w:tc>
        <w:tc>
          <w:tcPr>
            <w:tcW w:w="160" w:type="dxa"/>
            <w:vAlign w:val="bottom"/>
            <w:shd w:val="clear" w:color="auto" w:fill="BAD3EA"/>
          </w:tcPr>
          <w:p>
            <w:pPr>
              <w:spacing w:after="0"/>
              <w:rPr>
                <w:sz w:val="3"/>
                <w:szCs w:val="3"/>
                <w:color w:val="auto"/>
              </w:rPr>
            </w:pPr>
          </w:p>
        </w:tc>
        <w:tc>
          <w:tcPr>
            <w:tcW w:w="760" w:type="dxa"/>
            <w:vAlign w:val="bottom"/>
            <w:shd w:val="clear" w:color="auto" w:fill="BAD3EA"/>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3160" w:type="dxa"/>
            <w:vAlign w:val="bottom"/>
            <w:tcBorders>
              <w:bottom w:val="single" w:sz="8" w:color="BAD3EA"/>
            </w:tcBorders>
            <w:shd w:val="clear" w:color="auto" w:fill="BAD3EA"/>
          </w:tcPr>
          <w:p>
            <w:pPr>
              <w:spacing w:after="0"/>
              <w:rPr>
                <w:sz w:val="19"/>
                <w:szCs w:val="19"/>
                <w:color w:val="auto"/>
              </w:rPr>
            </w:pPr>
          </w:p>
        </w:tc>
        <w:tc>
          <w:tcPr>
            <w:tcW w:w="82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3"/>
                <w:szCs w:val="13"/>
                <w:color w:val="auto"/>
              </w:rPr>
              <w:t>1/2/2018</w:t>
            </w:r>
          </w:p>
        </w:tc>
        <w:tc>
          <w:tcPr>
            <w:tcW w:w="420" w:type="dxa"/>
            <w:vAlign w:val="bottom"/>
            <w:tcBorders>
              <w:bottom w:val="single" w:sz="8" w:color="BAD3EA"/>
            </w:tcBorders>
            <w:shd w:val="clear" w:color="auto" w:fill="BAD3EA"/>
          </w:tcPr>
          <w:p>
            <w:pPr>
              <w:jc w:val="center"/>
              <w:ind w:left="17"/>
              <w:spacing w:after="0"/>
              <w:rPr>
                <w:sz w:val="20"/>
                <w:szCs w:val="20"/>
                <w:color w:val="auto"/>
              </w:rPr>
            </w:pPr>
            <w:r>
              <w:rPr>
                <w:rFonts w:ascii="Arial" w:cs="Arial" w:eastAsia="Arial" w:hAnsi="Arial"/>
                <w:sz w:val="13"/>
                <w:szCs w:val="13"/>
                <w:color w:val="auto"/>
                <w:w w:val="87"/>
              </w:rPr>
              <w:t>(4)</w:t>
            </w:r>
          </w:p>
        </w:tc>
        <w:tc>
          <w:tcPr>
            <w:tcW w:w="180" w:type="dxa"/>
            <w:vAlign w:val="bottom"/>
            <w:tcBorders>
              <w:bottom w:val="single" w:sz="8" w:color="BAD3EA"/>
            </w:tcBorders>
            <w:shd w:val="clear" w:color="auto" w:fill="BAD3EA"/>
          </w:tcPr>
          <w:p>
            <w:pPr>
              <w:spacing w:after="0"/>
              <w:rPr>
                <w:sz w:val="19"/>
                <w:szCs w:val="19"/>
                <w:color w:val="auto"/>
              </w:rPr>
            </w:pPr>
          </w:p>
        </w:tc>
        <w:tc>
          <w:tcPr>
            <w:tcW w:w="1140" w:type="dxa"/>
            <w:vAlign w:val="bottom"/>
            <w:tcBorders>
              <w:bottom w:val="single" w:sz="8" w:color="BAD3EA"/>
            </w:tcBorders>
            <w:shd w:val="clear" w:color="auto" w:fill="BAD3EA"/>
          </w:tcPr>
          <w:p>
            <w:pPr>
              <w:jc w:val="right"/>
              <w:ind w:right="71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BAD3EA"/>
            </w:tcBorders>
            <w:shd w:val="clear" w:color="auto" w:fill="BAD3EA"/>
          </w:tcPr>
          <w:p>
            <w:pPr>
              <w:jc w:val="center"/>
              <w:ind w:right="177"/>
              <w:spacing w:after="0"/>
              <w:rPr>
                <w:sz w:val="20"/>
                <w:szCs w:val="20"/>
                <w:color w:val="auto"/>
              </w:rPr>
            </w:pPr>
            <w:r>
              <w:rPr>
                <w:rFonts w:ascii="Arial" w:cs="Arial" w:eastAsia="Arial" w:hAnsi="Arial"/>
                <w:sz w:val="13"/>
                <w:szCs w:val="13"/>
                <w:color w:val="auto"/>
                <w:w w:val="91"/>
              </w:rPr>
              <w:t>—</w:t>
            </w:r>
          </w:p>
        </w:tc>
        <w:tc>
          <w:tcPr>
            <w:tcW w:w="780" w:type="dxa"/>
            <w:vAlign w:val="bottom"/>
            <w:tcBorders>
              <w:bottom w:val="single" w:sz="8" w:color="BAD3EA"/>
            </w:tcBorders>
            <w:shd w:val="clear" w:color="auto" w:fill="BAD3EA"/>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BAD3EA"/>
            </w:tcBorders>
            <w:shd w:val="clear" w:color="auto" w:fill="BAD3EA"/>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3"/>
                <w:szCs w:val="13"/>
                <w:color w:val="auto"/>
              </w:rPr>
              <w:t>1,146</w:t>
            </w:r>
          </w:p>
        </w:tc>
        <w:tc>
          <w:tcPr>
            <w:tcW w:w="16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BAD3EA"/>
            </w:tcBorders>
            <w:shd w:val="clear" w:color="auto" w:fill="BAD3EA"/>
          </w:tcPr>
          <w:p>
            <w:pPr>
              <w:jc w:val="right"/>
              <w:ind w:right="37"/>
              <w:spacing w:after="0"/>
              <w:rPr>
                <w:sz w:val="20"/>
                <w:szCs w:val="20"/>
                <w:color w:val="auto"/>
              </w:rPr>
            </w:pPr>
            <w:r>
              <w:rPr>
                <w:rFonts w:ascii="Arial" w:cs="Arial" w:eastAsia="Arial" w:hAnsi="Arial"/>
                <w:sz w:val="13"/>
                <w:szCs w:val="13"/>
                <w:color w:val="auto"/>
              </w:rPr>
              <w:t>344,854</w:t>
            </w:r>
          </w:p>
        </w:tc>
        <w:tc>
          <w:tcPr>
            <w:tcW w:w="740" w:type="dxa"/>
            <w:vAlign w:val="bottom"/>
            <w:tcBorders>
              <w:bottom w:val="single" w:sz="8" w:color="BAD3EA"/>
            </w:tcBorders>
            <w:shd w:val="clear" w:color="auto" w:fill="BAD3EA"/>
          </w:tcPr>
          <w:p>
            <w:pPr>
              <w:jc w:val="right"/>
              <w:ind w:right="37"/>
              <w:spacing w:after="0"/>
              <w:rPr>
                <w:sz w:val="20"/>
                <w:szCs w:val="20"/>
                <w:color w:val="auto"/>
              </w:rPr>
            </w:pPr>
            <w:r>
              <w:rPr>
                <w:rFonts w:ascii="Arial" w:cs="Arial" w:eastAsia="Arial" w:hAnsi="Arial"/>
                <w:sz w:val="13"/>
                <w:szCs w:val="13"/>
                <w:color w:val="auto"/>
              </w:rPr>
              <w:t>3,893</w:t>
            </w:r>
          </w:p>
        </w:tc>
        <w:tc>
          <w:tcPr>
            <w:tcW w:w="16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BAD3EA"/>
            </w:tcBorders>
            <w:shd w:val="clear" w:color="auto" w:fill="BAD3EA"/>
          </w:tcPr>
          <w:p>
            <w:pPr>
              <w:jc w:val="right"/>
              <w:ind w:right="57"/>
              <w:spacing w:after="0"/>
              <w:rPr>
                <w:sz w:val="20"/>
                <w:szCs w:val="20"/>
                <w:color w:val="auto"/>
              </w:rPr>
            </w:pPr>
            <w:r>
              <w:rPr>
                <w:rFonts w:ascii="Arial" w:cs="Arial" w:eastAsia="Arial" w:hAnsi="Arial"/>
                <w:sz w:val="13"/>
                <w:szCs w:val="13"/>
                <w:color w:val="auto"/>
              </w:rPr>
              <w:t>1,171,482</w:t>
            </w:r>
          </w:p>
        </w:tc>
        <w:tc>
          <w:tcPr>
            <w:tcW w:w="0" w:type="dxa"/>
            <w:vAlign w:val="bottom"/>
          </w:tcPr>
          <w:p>
            <w:pPr>
              <w:spacing w:after="0"/>
              <w:rPr>
                <w:sz w:val="1"/>
                <w:szCs w:val="1"/>
                <w:color w:val="auto"/>
              </w:rPr>
            </w:pPr>
          </w:p>
        </w:tc>
      </w:tr>
      <w:tr>
        <w:trPr>
          <w:trHeight w:val="180"/>
        </w:trPr>
        <w:tc>
          <w:tcPr>
            <w:tcW w:w="3160" w:type="dxa"/>
            <w:vAlign w:val="bottom"/>
            <w:tcBorders>
              <w:top w:val="single" w:sz="8" w:color="1A6DBB"/>
            </w:tcBorders>
            <w:shd w:val="clear" w:color="auto" w:fill="E8F0F8"/>
          </w:tcPr>
          <w:p>
            <w:pPr>
              <w:ind w:left="60"/>
              <w:spacing w:after="0"/>
              <w:rPr>
                <w:sz w:val="20"/>
                <w:szCs w:val="20"/>
                <w:color w:val="auto"/>
              </w:rPr>
            </w:pPr>
            <w:r>
              <w:rPr>
                <w:rFonts w:ascii="Arial" w:cs="Arial" w:eastAsia="Arial" w:hAnsi="Arial"/>
                <w:sz w:val="13"/>
                <w:szCs w:val="13"/>
                <w:b w:val="1"/>
                <w:bCs w:val="1"/>
                <w:color w:val="auto"/>
              </w:rPr>
              <w:t>Michael D. Ehlers</w:t>
            </w:r>
          </w:p>
        </w:tc>
        <w:tc>
          <w:tcPr>
            <w:tcW w:w="820" w:type="dxa"/>
            <w:vAlign w:val="bottom"/>
            <w:tcBorders>
              <w:top w:val="single" w:sz="8" w:color="1A6DBB"/>
            </w:tcBorders>
            <w:shd w:val="clear" w:color="auto" w:fill="E8F0F8"/>
          </w:tcPr>
          <w:p>
            <w:pPr>
              <w:jc w:val="right"/>
              <w:spacing w:after="0"/>
              <w:rPr>
                <w:sz w:val="20"/>
                <w:szCs w:val="20"/>
                <w:color w:val="auto"/>
              </w:rPr>
            </w:pPr>
            <w:r>
              <w:rPr>
                <w:rFonts w:ascii="Arial" w:cs="Arial" w:eastAsia="Arial" w:hAnsi="Arial"/>
                <w:sz w:val="13"/>
                <w:szCs w:val="13"/>
                <w:color w:val="auto"/>
              </w:rPr>
              <w:t>6/1/2016</w:t>
            </w:r>
          </w:p>
        </w:tc>
        <w:tc>
          <w:tcPr>
            <w:tcW w:w="420" w:type="dxa"/>
            <w:vAlign w:val="bottom"/>
            <w:tcBorders>
              <w:top w:val="single" w:sz="8" w:color="1A6DBB"/>
            </w:tcBorders>
            <w:shd w:val="clear" w:color="auto" w:fill="E8F0F8"/>
          </w:tcPr>
          <w:p>
            <w:pPr>
              <w:jc w:val="center"/>
              <w:ind w:left="17"/>
              <w:spacing w:after="0"/>
              <w:rPr>
                <w:sz w:val="20"/>
                <w:szCs w:val="20"/>
                <w:color w:val="auto"/>
              </w:rPr>
            </w:pPr>
            <w:r>
              <w:rPr>
                <w:rFonts w:ascii="Arial" w:cs="Arial" w:eastAsia="Arial" w:hAnsi="Arial"/>
                <w:sz w:val="13"/>
                <w:szCs w:val="13"/>
                <w:color w:val="auto"/>
                <w:w w:val="87"/>
              </w:rPr>
              <w:t>(2)</w:t>
            </w:r>
          </w:p>
        </w:tc>
        <w:tc>
          <w:tcPr>
            <w:tcW w:w="180" w:type="dxa"/>
            <w:vAlign w:val="bottom"/>
            <w:tcBorders>
              <w:top w:val="single" w:sz="8" w:color="1A6DBB"/>
            </w:tcBorders>
            <w:shd w:val="clear" w:color="auto" w:fill="E8F0F8"/>
          </w:tcPr>
          <w:p>
            <w:pPr>
              <w:spacing w:after="0"/>
              <w:rPr>
                <w:sz w:val="15"/>
                <w:szCs w:val="15"/>
                <w:color w:val="auto"/>
              </w:rPr>
            </w:pPr>
          </w:p>
        </w:tc>
        <w:tc>
          <w:tcPr>
            <w:tcW w:w="1140" w:type="dxa"/>
            <w:vAlign w:val="bottom"/>
            <w:tcBorders>
              <w:top w:val="single" w:sz="8" w:color="1A6DBB"/>
            </w:tcBorders>
            <w:vMerge w:val="restart"/>
            <w:shd w:val="clear" w:color="auto" w:fill="E8F0F8"/>
          </w:tcPr>
          <w:p>
            <w:pPr>
              <w:jc w:val="right"/>
              <w:ind w:right="717"/>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1A6DBB"/>
            </w:tcBorders>
            <w:vMerge w:val="restart"/>
            <w:shd w:val="clear" w:color="auto" w:fill="E8F0F8"/>
          </w:tcPr>
          <w:p>
            <w:pPr>
              <w:jc w:val="center"/>
              <w:ind w:right="177"/>
              <w:spacing w:after="0"/>
              <w:rPr>
                <w:sz w:val="20"/>
                <w:szCs w:val="20"/>
                <w:color w:val="auto"/>
              </w:rPr>
            </w:pPr>
            <w:r>
              <w:rPr>
                <w:rFonts w:ascii="Arial" w:cs="Arial" w:eastAsia="Arial" w:hAnsi="Arial"/>
                <w:sz w:val="13"/>
                <w:szCs w:val="13"/>
                <w:color w:val="auto"/>
                <w:w w:val="91"/>
              </w:rPr>
              <w:t>—</w:t>
            </w:r>
          </w:p>
        </w:tc>
        <w:tc>
          <w:tcPr>
            <w:tcW w:w="780" w:type="dxa"/>
            <w:vAlign w:val="bottom"/>
            <w:tcBorders>
              <w:top w:val="single" w:sz="8" w:color="1A6DBB"/>
            </w:tcBorders>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1A6DBB"/>
            </w:tcBorders>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1A6DBB"/>
            </w:tcBorders>
            <w:shd w:val="clear" w:color="auto" w:fill="E8F0F8"/>
          </w:tcPr>
          <w:p>
            <w:pPr>
              <w:jc w:val="right"/>
              <w:spacing w:after="0"/>
              <w:rPr>
                <w:sz w:val="20"/>
                <w:szCs w:val="20"/>
                <w:color w:val="auto"/>
              </w:rPr>
            </w:pPr>
            <w:r>
              <w:rPr>
                <w:rFonts w:ascii="Arial" w:cs="Arial" w:eastAsia="Arial" w:hAnsi="Arial"/>
                <w:sz w:val="13"/>
                <w:szCs w:val="13"/>
                <w:color w:val="auto"/>
              </w:rPr>
              <w:t>1,821</w:t>
            </w:r>
          </w:p>
        </w:tc>
        <w:tc>
          <w:tcPr>
            <w:tcW w:w="160" w:type="dxa"/>
            <w:vAlign w:val="bottom"/>
            <w:tcBorders>
              <w:top w:val="single" w:sz="8" w:color="1A6DBB"/>
            </w:tcBorders>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1A6DBB"/>
            </w:tcBorders>
            <w:shd w:val="clear" w:color="auto" w:fill="E8F0F8"/>
          </w:tcPr>
          <w:p>
            <w:pPr>
              <w:jc w:val="right"/>
              <w:ind w:right="37"/>
              <w:spacing w:after="0"/>
              <w:rPr>
                <w:sz w:val="20"/>
                <w:szCs w:val="20"/>
                <w:color w:val="auto"/>
              </w:rPr>
            </w:pPr>
            <w:r>
              <w:rPr>
                <w:rFonts w:ascii="Arial" w:cs="Arial" w:eastAsia="Arial" w:hAnsi="Arial"/>
                <w:sz w:val="13"/>
                <w:szCs w:val="13"/>
                <w:color w:val="auto"/>
              </w:rPr>
              <w:t>547,975</w:t>
            </w:r>
          </w:p>
        </w:tc>
        <w:tc>
          <w:tcPr>
            <w:tcW w:w="740" w:type="dxa"/>
            <w:vAlign w:val="bottom"/>
            <w:tcBorders>
              <w:top w:val="single" w:sz="8" w:color="1A6DBB"/>
            </w:tcBorders>
            <w:shd w:val="clear" w:color="auto" w:fill="E8F0F8"/>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Borders>
              <w:top w:val="single" w:sz="8" w:color="1A6DBB"/>
            </w:tcBorders>
            <w:shd w:val="clear" w:color="auto" w:fill="E8F0F8"/>
          </w:tcPr>
          <w:p>
            <w:pPr>
              <w:spacing w:after="0"/>
              <w:rPr>
                <w:sz w:val="15"/>
                <w:szCs w:val="15"/>
                <w:color w:val="auto"/>
              </w:rPr>
            </w:pPr>
          </w:p>
        </w:tc>
        <w:tc>
          <w:tcPr>
            <w:tcW w:w="760" w:type="dxa"/>
            <w:vAlign w:val="bottom"/>
            <w:tcBorders>
              <w:top w:val="single" w:sz="8" w:color="1A6DBB"/>
            </w:tcBorders>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3"/>
        </w:trPr>
        <w:tc>
          <w:tcPr>
            <w:tcW w:w="316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420" w:type="dxa"/>
            <w:vAlign w:val="bottom"/>
            <w:shd w:val="clear" w:color="auto" w:fill="E8F0F8"/>
          </w:tcPr>
          <w:p>
            <w:pPr>
              <w:spacing w:after="0"/>
              <w:rPr>
                <w:sz w:val="3"/>
                <w:szCs w:val="3"/>
                <w:color w:val="auto"/>
              </w:rPr>
            </w:pPr>
          </w:p>
        </w:tc>
        <w:tc>
          <w:tcPr>
            <w:tcW w:w="180" w:type="dxa"/>
            <w:vAlign w:val="bottom"/>
            <w:shd w:val="clear" w:color="auto" w:fill="E8F0F8"/>
          </w:tcPr>
          <w:p>
            <w:pPr>
              <w:spacing w:after="0"/>
              <w:rPr>
                <w:sz w:val="3"/>
                <w:szCs w:val="3"/>
                <w:color w:val="auto"/>
              </w:rPr>
            </w:pPr>
          </w:p>
        </w:tc>
        <w:tc>
          <w:tcPr>
            <w:tcW w:w="1140" w:type="dxa"/>
            <w:vAlign w:val="bottom"/>
            <w:vMerge w:val="continue"/>
            <w:shd w:val="clear" w:color="auto" w:fill="E8F0F8"/>
          </w:tcPr>
          <w:p>
            <w:pPr>
              <w:spacing w:after="0"/>
              <w:rPr>
                <w:sz w:val="3"/>
                <w:szCs w:val="3"/>
                <w:color w:val="auto"/>
              </w:rPr>
            </w:pPr>
          </w:p>
        </w:tc>
        <w:tc>
          <w:tcPr>
            <w:tcW w:w="600" w:type="dxa"/>
            <w:vAlign w:val="bottom"/>
            <w:vMerge w:val="continue"/>
            <w:shd w:val="clear" w:color="auto" w:fill="E8F0F8"/>
          </w:tcPr>
          <w:p>
            <w:pPr>
              <w:spacing w:after="0"/>
              <w:rPr>
                <w:sz w:val="3"/>
                <w:szCs w:val="3"/>
                <w:color w:val="auto"/>
              </w:rPr>
            </w:pPr>
          </w:p>
        </w:tc>
        <w:tc>
          <w:tcPr>
            <w:tcW w:w="78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62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660" w:type="dxa"/>
            <w:vAlign w:val="bottom"/>
            <w:shd w:val="clear" w:color="auto" w:fill="E8F0F8"/>
          </w:tcPr>
          <w:p>
            <w:pPr>
              <w:spacing w:after="0"/>
              <w:rPr>
                <w:sz w:val="3"/>
                <w:szCs w:val="3"/>
                <w:color w:val="auto"/>
              </w:rPr>
            </w:pPr>
          </w:p>
        </w:tc>
        <w:tc>
          <w:tcPr>
            <w:tcW w:w="74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760" w:type="dxa"/>
            <w:vAlign w:val="bottom"/>
            <w:shd w:val="clear" w:color="auto" w:fill="E8F0F8"/>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160" w:type="dxa"/>
            <w:vAlign w:val="bottom"/>
            <w:shd w:val="clear" w:color="auto" w:fill="E8F0F8"/>
          </w:tcPr>
          <w:p>
            <w:pPr>
              <w:spacing w:after="0"/>
              <w:rPr>
                <w:sz w:val="16"/>
                <w:szCs w:val="16"/>
                <w:color w:val="auto"/>
              </w:rPr>
            </w:pPr>
          </w:p>
        </w:tc>
        <w:tc>
          <w:tcPr>
            <w:tcW w:w="820" w:type="dxa"/>
            <w:vAlign w:val="bottom"/>
            <w:shd w:val="clear" w:color="auto" w:fill="E8F0F8"/>
          </w:tcPr>
          <w:p>
            <w:pPr>
              <w:jc w:val="right"/>
              <w:spacing w:after="0"/>
              <w:rPr>
                <w:sz w:val="20"/>
                <w:szCs w:val="20"/>
                <w:color w:val="auto"/>
              </w:rPr>
            </w:pPr>
            <w:r>
              <w:rPr>
                <w:rFonts w:ascii="Arial" w:cs="Arial" w:eastAsia="Arial" w:hAnsi="Arial"/>
                <w:sz w:val="13"/>
                <w:szCs w:val="13"/>
                <w:color w:val="auto"/>
              </w:rPr>
              <w:t>6/1/2016</w:t>
            </w:r>
          </w:p>
        </w:tc>
        <w:tc>
          <w:tcPr>
            <w:tcW w:w="420" w:type="dxa"/>
            <w:vAlign w:val="bottom"/>
            <w:shd w:val="clear" w:color="auto" w:fill="E8F0F8"/>
          </w:tcPr>
          <w:p>
            <w:pPr>
              <w:jc w:val="center"/>
              <w:ind w:left="17"/>
              <w:spacing w:after="0"/>
              <w:rPr>
                <w:sz w:val="20"/>
                <w:szCs w:val="20"/>
                <w:color w:val="auto"/>
              </w:rPr>
            </w:pPr>
            <w:r>
              <w:rPr>
                <w:rFonts w:ascii="Arial" w:cs="Arial" w:eastAsia="Arial" w:hAnsi="Arial"/>
                <w:sz w:val="13"/>
                <w:szCs w:val="13"/>
                <w:color w:val="auto"/>
                <w:w w:val="87"/>
              </w:rPr>
              <w:t>(3)</w:t>
            </w:r>
          </w:p>
        </w:tc>
        <w:tc>
          <w:tcPr>
            <w:tcW w:w="180" w:type="dxa"/>
            <w:vAlign w:val="bottom"/>
            <w:shd w:val="clear" w:color="auto" w:fill="E8F0F8"/>
          </w:tcPr>
          <w:p>
            <w:pPr>
              <w:spacing w:after="0"/>
              <w:rPr>
                <w:sz w:val="16"/>
                <w:szCs w:val="16"/>
                <w:color w:val="auto"/>
              </w:rPr>
            </w:pPr>
          </w:p>
        </w:tc>
        <w:tc>
          <w:tcPr>
            <w:tcW w:w="1140" w:type="dxa"/>
            <w:vAlign w:val="bottom"/>
            <w:vMerge w:val="restart"/>
            <w:shd w:val="clear" w:color="auto" w:fill="E8F0F8"/>
          </w:tcPr>
          <w:p>
            <w:pPr>
              <w:jc w:val="right"/>
              <w:ind w:right="7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E8F0F8"/>
          </w:tcPr>
          <w:p>
            <w:pPr>
              <w:jc w:val="center"/>
              <w:ind w:right="177"/>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E8F0F8"/>
          </w:tcPr>
          <w:p>
            <w:pPr>
              <w:spacing w:after="0"/>
              <w:rPr>
                <w:sz w:val="16"/>
                <w:szCs w:val="16"/>
                <w:color w:val="auto"/>
              </w:rPr>
            </w:pPr>
          </w:p>
        </w:tc>
        <w:tc>
          <w:tcPr>
            <w:tcW w:w="66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2,502</w:t>
            </w:r>
          </w:p>
        </w:tc>
        <w:tc>
          <w:tcPr>
            <w:tcW w:w="16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752,902</w:t>
            </w:r>
          </w:p>
        </w:tc>
        <w:tc>
          <w:tcPr>
            <w:tcW w:w="0" w:type="dxa"/>
            <w:vAlign w:val="bottom"/>
          </w:tcPr>
          <w:p>
            <w:pPr>
              <w:spacing w:after="0"/>
              <w:rPr>
                <w:sz w:val="1"/>
                <w:szCs w:val="1"/>
                <w:color w:val="auto"/>
              </w:rPr>
            </w:pPr>
          </w:p>
        </w:tc>
      </w:tr>
      <w:tr>
        <w:trPr>
          <w:trHeight w:val="43"/>
        </w:trPr>
        <w:tc>
          <w:tcPr>
            <w:tcW w:w="316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420" w:type="dxa"/>
            <w:vAlign w:val="bottom"/>
            <w:shd w:val="clear" w:color="auto" w:fill="E8F0F8"/>
          </w:tcPr>
          <w:p>
            <w:pPr>
              <w:spacing w:after="0"/>
              <w:rPr>
                <w:sz w:val="3"/>
                <w:szCs w:val="3"/>
                <w:color w:val="auto"/>
              </w:rPr>
            </w:pPr>
          </w:p>
        </w:tc>
        <w:tc>
          <w:tcPr>
            <w:tcW w:w="180" w:type="dxa"/>
            <w:vAlign w:val="bottom"/>
            <w:shd w:val="clear" w:color="auto" w:fill="E8F0F8"/>
          </w:tcPr>
          <w:p>
            <w:pPr>
              <w:spacing w:after="0"/>
              <w:rPr>
                <w:sz w:val="3"/>
                <w:szCs w:val="3"/>
                <w:color w:val="auto"/>
              </w:rPr>
            </w:pPr>
          </w:p>
        </w:tc>
        <w:tc>
          <w:tcPr>
            <w:tcW w:w="1140" w:type="dxa"/>
            <w:vAlign w:val="bottom"/>
            <w:vMerge w:val="continue"/>
            <w:shd w:val="clear" w:color="auto" w:fill="E8F0F8"/>
          </w:tcPr>
          <w:p>
            <w:pPr>
              <w:spacing w:after="0"/>
              <w:rPr>
                <w:sz w:val="3"/>
                <w:szCs w:val="3"/>
                <w:color w:val="auto"/>
              </w:rPr>
            </w:pPr>
          </w:p>
        </w:tc>
        <w:tc>
          <w:tcPr>
            <w:tcW w:w="600" w:type="dxa"/>
            <w:vAlign w:val="bottom"/>
            <w:vMerge w:val="continue"/>
            <w:shd w:val="clear" w:color="auto" w:fill="E8F0F8"/>
          </w:tcPr>
          <w:p>
            <w:pPr>
              <w:spacing w:after="0"/>
              <w:rPr>
                <w:sz w:val="3"/>
                <w:szCs w:val="3"/>
                <w:color w:val="auto"/>
              </w:rPr>
            </w:pPr>
          </w:p>
        </w:tc>
        <w:tc>
          <w:tcPr>
            <w:tcW w:w="78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62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660" w:type="dxa"/>
            <w:vAlign w:val="bottom"/>
            <w:shd w:val="clear" w:color="auto" w:fill="E8F0F8"/>
          </w:tcPr>
          <w:p>
            <w:pPr>
              <w:spacing w:after="0"/>
              <w:rPr>
                <w:sz w:val="3"/>
                <w:szCs w:val="3"/>
                <w:color w:val="auto"/>
              </w:rPr>
            </w:pPr>
          </w:p>
        </w:tc>
        <w:tc>
          <w:tcPr>
            <w:tcW w:w="74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760" w:type="dxa"/>
            <w:vAlign w:val="bottom"/>
            <w:shd w:val="clear" w:color="auto" w:fill="E8F0F8"/>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160" w:type="dxa"/>
            <w:vAlign w:val="bottom"/>
            <w:shd w:val="clear" w:color="auto" w:fill="E8F0F8"/>
          </w:tcPr>
          <w:p>
            <w:pPr>
              <w:spacing w:after="0"/>
              <w:rPr>
                <w:sz w:val="16"/>
                <w:szCs w:val="16"/>
                <w:color w:val="auto"/>
              </w:rPr>
            </w:pPr>
          </w:p>
        </w:tc>
        <w:tc>
          <w:tcPr>
            <w:tcW w:w="820" w:type="dxa"/>
            <w:vAlign w:val="bottom"/>
            <w:shd w:val="clear" w:color="auto" w:fill="E8F0F8"/>
          </w:tcPr>
          <w:p>
            <w:pPr>
              <w:jc w:val="right"/>
              <w:spacing w:after="0"/>
              <w:rPr>
                <w:sz w:val="20"/>
                <w:szCs w:val="20"/>
                <w:color w:val="auto"/>
              </w:rPr>
            </w:pPr>
            <w:r>
              <w:rPr>
                <w:rFonts w:ascii="Arial" w:cs="Arial" w:eastAsia="Arial" w:hAnsi="Arial"/>
                <w:sz w:val="13"/>
                <w:szCs w:val="13"/>
                <w:color w:val="auto"/>
              </w:rPr>
              <w:t>6/1/2016</w:t>
            </w:r>
          </w:p>
        </w:tc>
        <w:tc>
          <w:tcPr>
            <w:tcW w:w="420" w:type="dxa"/>
            <w:vAlign w:val="bottom"/>
            <w:shd w:val="clear" w:color="auto" w:fill="E8F0F8"/>
          </w:tcPr>
          <w:p>
            <w:pPr>
              <w:jc w:val="center"/>
              <w:ind w:left="17"/>
              <w:spacing w:after="0"/>
              <w:rPr>
                <w:sz w:val="20"/>
                <w:szCs w:val="20"/>
                <w:color w:val="auto"/>
              </w:rPr>
            </w:pPr>
            <w:r>
              <w:rPr>
                <w:rFonts w:ascii="Arial" w:cs="Arial" w:eastAsia="Arial" w:hAnsi="Arial"/>
                <w:sz w:val="13"/>
                <w:szCs w:val="13"/>
                <w:color w:val="auto"/>
                <w:w w:val="87"/>
              </w:rPr>
              <w:t>(5)</w:t>
            </w:r>
          </w:p>
        </w:tc>
        <w:tc>
          <w:tcPr>
            <w:tcW w:w="180" w:type="dxa"/>
            <w:vAlign w:val="bottom"/>
            <w:shd w:val="clear" w:color="auto" w:fill="E8F0F8"/>
          </w:tcPr>
          <w:p>
            <w:pPr>
              <w:spacing w:after="0"/>
              <w:rPr>
                <w:sz w:val="16"/>
                <w:szCs w:val="16"/>
                <w:color w:val="auto"/>
              </w:rPr>
            </w:pPr>
          </w:p>
        </w:tc>
        <w:tc>
          <w:tcPr>
            <w:tcW w:w="1140" w:type="dxa"/>
            <w:vAlign w:val="bottom"/>
            <w:vMerge w:val="restart"/>
            <w:shd w:val="clear" w:color="auto" w:fill="E8F0F8"/>
          </w:tcPr>
          <w:p>
            <w:pPr>
              <w:jc w:val="right"/>
              <w:ind w:right="7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E8F0F8"/>
          </w:tcPr>
          <w:p>
            <w:pPr>
              <w:jc w:val="center"/>
              <w:ind w:right="177"/>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shd w:val="clear" w:color="auto" w:fill="E8F0F8"/>
          </w:tcPr>
          <w:p>
            <w:pPr>
              <w:jc w:val="right"/>
              <w:spacing w:after="0"/>
              <w:rPr>
                <w:sz w:val="20"/>
                <w:szCs w:val="20"/>
                <w:color w:val="auto"/>
              </w:rPr>
            </w:pPr>
            <w:r>
              <w:rPr>
                <w:rFonts w:ascii="Arial" w:cs="Arial" w:eastAsia="Arial" w:hAnsi="Arial"/>
                <w:sz w:val="13"/>
                <w:szCs w:val="13"/>
                <w:color w:val="auto"/>
              </w:rPr>
              <w:t>1,036</w:t>
            </w:r>
          </w:p>
        </w:tc>
        <w:tc>
          <w:tcPr>
            <w:tcW w:w="16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311,753</w:t>
            </w:r>
          </w:p>
        </w:tc>
        <w:tc>
          <w:tcPr>
            <w:tcW w:w="74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shd w:val="clear" w:color="auto" w:fill="E8F0F8"/>
          </w:tcPr>
          <w:p>
            <w:pPr>
              <w:spacing w:after="0"/>
              <w:rPr>
                <w:sz w:val="16"/>
                <w:szCs w:val="16"/>
                <w:color w:val="auto"/>
              </w:rPr>
            </w:pPr>
          </w:p>
        </w:tc>
        <w:tc>
          <w:tcPr>
            <w:tcW w:w="76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3"/>
        </w:trPr>
        <w:tc>
          <w:tcPr>
            <w:tcW w:w="316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420" w:type="dxa"/>
            <w:vAlign w:val="bottom"/>
            <w:shd w:val="clear" w:color="auto" w:fill="E8F0F8"/>
          </w:tcPr>
          <w:p>
            <w:pPr>
              <w:spacing w:after="0"/>
              <w:rPr>
                <w:sz w:val="3"/>
                <w:szCs w:val="3"/>
                <w:color w:val="auto"/>
              </w:rPr>
            </w:pPr>
          </w:p>
        </w:tc>
        <w:tc>
          <w:tcPr>
            <w:tcW w:w="180" w:type="dxa"/>
            <w:vAlign w:val="bottom"/>
            <w:shd w:val="clear" w:color="auto" w:fill="E8F0F8"/>
          </w:tcPr>
          <w:p>
            <w:pPr>
              <w:spacing w:after="0"/>
              <w:rPr>
                <w:sz w:val="3"/>
                <w:szCs w:val="3"/>
                <w:color w:val="auto"/>
              </w:rPr>
            </w:pPr>
          </w:p>
        </w:tc>
        <w:tc>
          <w:tcPr>
            <w:tcW w:w="1140" w:type="dxa"/>
            <w:vAlign w:val="bottom"/>
            <w:vMerge w:val="continue"/>
            <w:shd w:val="clear" w:color="auto" w:fill="E8F0F8"/>
          </w:tcPr>
          <w:p>
            <w:pPr>
              <w:spacing w:after="0"/>
              <w:rPr>
                <w:sz w:val="3"/>
                <w:szCs w:val="3"/>
                <w:color w:val="auto"/>
              </w:rPr>
            </w:pPr>
          </w:p>
        </w:tc>
        <w:tc>
          <w:tcPr>
            <w:tcW w:w="600" w:type="dxa"/>
            <w:vAlign w:val="bottom"/>
            <w:vMerge w:val="continue"/>
            <w:shd w:val="clear" w:color="auto" w:fill="E8F0F8"/>
          </w:tcPr>
          <w:p>
            <w:pPr>
              <w:spacing w:after="0"/>
              <w:rPr>
                <w:sz w:val="3"/>
                <w:szCs w:val="3"/>
                <w:color w:val="auto"/>
              </w:rPr>
            </w:pPr>
          </w:p>
        </w:tc>
        <w:tc>
          <w:tcPr>
            <w:tcW w:w="78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62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660" w:type="dxa"/>
            <w:vAlign w:val="bottom"/>
            <w:shd w:val="clear" w:color="auto" w:fill="E8F0F8"/>
          </w:tcPr>
          <w:p>
            <w:pPr>
              <w:spacing w:after="0"/>
              <w:rPr>
                <w:sz w:val="3"/>
                <w:szCs w:val="3"/>
                <w:color w:val="auto"/>
              </w:rPr>
            </w:pPr>
          </w:p>
        </w:tc>
        <w:tc>
          <w:tcPr>
            <w:tcW w:w="74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760" w:type="dxa"/>
            <w:vAlign w:val="bottom"/>
            <w:shd w:val="clear" w:color="auto" w:fill="E8F0F8"/>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160" w:type="dxa"/>
            <w:vAlign w:val="bottom"/>
            <w:shd w:val="clear" w:color="auto" w:fill="E8F0F8"/>
          </w:tcPr>
          <w:p>
            <w:pPr>
              <w:spacing w:after="0"/>
              <w:rPr>
                <w:sz w:val="16"/>
                <w:szCs w:val="16"/>
                <w:color w:val="auto"/>
              </w:rPr>
            </w:pPr>
          </w:p>
        </w:tc>
        <w:tc>
          <w:tcPr>
            <w:tcW w:w="820" w:type="dxa"/>
            <w:vAlign w:val="bottom"/>
            <w:shd w:val="clear" w:color="auto" w:fill="E8F0F8"/>
          </w:tcPr>
          <w:p>
            <w:pPr>
              <w:jc w:val="right"/>
              <w:spacing w:after="0"/>
              <w:rPr>
                <w:sz w:val="20"/>
                <w:szCs w:val="20"/>
                <w:color w:val="auto"/>
              </w:rPr>
            </w:pPr>
            <w:r>
              <w:rPr>
                <w:rFonts w:ascii="Arial" w:cs="Arial" w:eastAsia="Arial" w:hAnsi="Arial"/>
                <w:sz w:val="13"/>
                <w:szCs w:val="13"/>
                <w:color w:val="auto"/>
              </w:rPr>
              <w:t>2/15/2017</w:t>
            </w:r>
          </w:p>
        </w:tc>
        <w:tc>
          <w:tcPr>
            <w:tcW w:w="420" w:type="dxa"/>
            <w:vAlign w:val="bottom"/>
            <w:shd w:val="clear" w:color="auto" w:fill="E8F0F8"/>
          </w:tcPr>
          <w:p>
            <w:pPr>
              <w:jc w:val="center"/>
              <w:ind w:left="17"/>
              <w:spacing w:after="0"/>
              <w:rPr>
                <w:sz w:val="20"/>
                <w:szCs w:val="20"/>
                <w:color w:val="auto"/>
              </w:rPr>
            </w:pPr>
            <w:r>
              <w:rPr>
                <w:rFonts w:ascii="Arial" w:cs="Arial" w:eastAsia="Arial" w:hAnsi="Arial"/>
                <w:sz w:val="13"/>
                <w:szCs w:val="13"/>
                <w:color w:val="auto"/>
                <w:w w:val="87"/>
              </w:rPr>
              <w:t>(2)</w:t>
            </w:r>
          </w:p>
        </w:tc>
        <w:tc>
          <w:tcPr>
            <w:tcW w:w="180" w:type="dxa"/>
            <w:vAlign w:val="bottom"/>
            <w:shd w:val="clear" w:color="auto" w:fill="E8F0F8"/>
          </w:tcPr>
          <w:p>
            <w:pPr>
              <w:spacing w:after="0"/>
              <w:rPr>
                <w:sz w:val="16"/>
                <w:szCs w:val="16"/>
                <w:color w:val="auto"/>
              </w:rPr>
            </w:pPr>
          </w:p>
        </w:tc>
        <w:tc>
          <w:tcPr>
            <w:tcW w:w="1140" w:type="dxa"/>
            <w:vAlign w:val="bottom"/>
            <w:vMerge w:val="restart"/>
            <w:shd w:val="clear" w:color="auto" w:fill="E8F0F8"/>
          </w:tcPr>
          <w:p>
            <w:pPr>
              <w:jc w:val="right"/>
              <w:ind w:right="7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E8F0F8"/>
          </w:tcPr>
          <w:p>
            <w:pPr>
              <w:jc w:val="center"/>
              <w:ind w:right="177"/>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shd w:val="clear" w:color="auto" w:fill="E8F0F8"/>
          </w:tcPr>
          <w:p>
            <w:pPr>
              <w:jc w:val="right"/>
              <w:spacing w:after="0"/>
              <w:rPr>
                <w:sz w:val="20"/>
                <w:szCs w:val="20"/>
                <w:color w:val="auto"/>
              </w:rPr>
            </w:pPr>
            <w:r>
              <w:rPr>
                <w:rFonts w:ascii="Arial" w:cs="Arial" w:eastAsia="Arial" w:hAnsi="Arial"/>
                <w:sz w:val="13"/>
                <w:szCs w:val="13"/>
                <w:color w:val="auto"/>
              </w:rPr>
              <w:t>4,504</w:t>
            </w:r>
          </w:p>
        </w:tc>
        <w:tc>
          <w:tcPr>
            <w:tcW w:w="16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w w:val="93"/>
              </w:rPr>
              <w:t>1,355,344</w:t>
            </w:r>
          </w:p>
        </w:tc>
        <w:tc>
          <w:tcPr>
            <w:tcW w:w="74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shd w:val="clear" w:color="auto" w:fill="E8F0F8"/>
          </w:tcPr>
          <w:p>
            <w:pPr>
              <w:spacing w:after="0"/>
              <w:rPr>
                <w:sz w:val="16"/>
                <w:szCs w:val="16"/>
                <w:color w:val="auto"/>
              </w:rPr>
            </w:pPr>
          </w:p>
        </w:tc>
        <w:tc>
          <w:tcPr>
            <w:tcW w:w="76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3"/>
        </w:trPr>
        <w:tc>
          <w:tcPr>
            <w:tcW w:w="316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420" w:type="dxa"/>
            <w:vAlign w:val="bottom"/>
            <w:shd w:val="clear" w:color="auto" w:fill="E8F0F8"/>
          </w:tcPr>
          <w:p>
            <w:pPr>
              <w:spacing w:after="0"/>
              <w:rPr>
                <w:sz w:val="3"/>
                <w:szCs w:val="3"/>
                <w:color w:val="auto"/>
              </w:rPr>
            </w:pPr>
          </w:p>
        </w:tc>
        <w:tc>
          <w:tcPr>
            <w:tcW w:w="180" w:type="dxa"/>
            <w:vAlign w:val="bottom"/>
            <w:shd w:val="clear" w:color="auto" w:fill="E8F0F8"/>
          </w:tcPr>
          <w:p>
            <w:pPr>
              <w:spacing w:after="0"/>
              <w:rPr>
                <w:sz w:val="3"/>
                <w:szCs w:val="3"/>
                <w:color w:val="auto"/>
              </w:rPr>
            </w:pPr>
          </w:p>
        </w:tc>
        <w:tc>
          <w:tcPr>
            <w:tcW w:w="1140" w:type="dxa"/>
            <w:vAlign w:val="bottom"/>
            <w:vMerge w:val="continue"/>
            <w:shd w:val="clear" w:color="auto" w:fill="E8F0F8"/>
          </w:tcPr>
          <w:p>
            <w:pPr>
              <w:spacing w:after="0"/>
              <w:rPr>
                <w:sz w:val="3"/>
                <w:szCs w:val="3"/>
                <w:color w:val="auto"/>
              </w:rPr>
            </w:pPr>
          </w:p>
        </w:tc>
        <w:tc>
          <w:tcPr>
            <w:tcW w:w="600" w:type="dxa"/>
            <w:vAlign w:val="bottom"/>
            <w:vMerge w:val="continue"/>
            <w:shd w:val="clear" w:color="auto" w:fill="E8F0F8"/>
          </w:tcPr>
          <w:p>
            <w:pPr>
              <w:spacing w:after="0"/>
              <w:rPr>
                <w:sz w:val="3"/>
                <w:szCs w:val="3"/>
                <w:color w:val="auto"/>
              </w:rPr>
            </w:pPr>
          </w:p>
        </w:tc>
        <w:tc>
          <w:tcPr>
            <w:tcW w:w="78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62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660" w:type="dxa"/>
            <w:vAlign w:val="bottom"/>
            <w:shd w:val="clear" w:color="auto" w:fill="E8F0F8"/>
          </w:tcPr>
          <w:p>
            <w:pPr>
              <w:spacing w:after="0"/>
              <w:rPr>
                <w:sz w:val="3"/>
                <w:szCs w:val="3"/>
                <w:color w:val="auto"/>
              </w:rPr>
            </w:pPr>
          </w:p>
        </w:tc>
        <w:tc>
          <w:tcPr>
            <w:tcW w:w="74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760" w:type="dxa"/>
            <w:vAlign w:val="bottom"/>
            <w:shd w:val="clear" w:color="auto" w:fill="E8F0F8"/>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160" w:type="dxa"/>
            <w:vAlign w:val="bottom"/>
            <w:shd w:val="clear" w:color="auto" w:fill="E8F0F8"/>
          </w:tcPr>
          <w:p>
            <w:pPr>
              <w:spacing w:after="0"/>
              <w:rPr>
                <w:sz w:val="16"/>
                <w:szCs w:val="16"/>
                <w:color w:val="auto"/>
              </w:rPr>
            </w:pPr>
          </w:p>
        </w:tc>
        <w:tc>
          <w:tcPr>
            <w:tcW w:w="820" w:type="dxa"/>
            <w:vAlign w:val="bottom"/>
            <w:shd w:val="clear" w:color="auto" w:fill="E8F0F8"/>
          </w:tcPr>
          <w:p>
            <w:pPr>
              <w:jc w:val="right"/>
              <w:spacing w:after="0"/>
              <w:rPr>
                <w:sz w:val="20"/>
                <w:szCs w:val="20"/>
                <w:color w:val="auto"/>
              </w:rPr>
            </w:pPr>
            <w:r>
              <w:rPr>
                <w:rFonts w:ascii="Arial" w:cs="Arial" w:eastAsia="Arial" w:hAnsi="Arial"/>
                <w:sz w:val="13"/>
                <w:szCs w:val="13"/>
                <w:color w:val="auto"/>
              </w:rPr>
              <w:t>2/15/2017</w:t>
            </w:r>
          </w:p>
        </w:tc>
        <w:tc>
          <w:tcPr>
            <w:tcW w:w="420" w:type="dxa"/>
            <w:vAlign w:val="bottom"/>
            <w:shd w:val="clear" w:color="auto" w:fill="E8F0F8"/>
          </w:tcPr>
          <w:p>
            <w:pPr>
              <w:jc w:val="center"/>
              <w:ind w:left="17"/>
              <w:spacing w:after="0"/>
              <w:rPr>
                <w:sz w:val="20"/>
                <w:szCs w:val="20"/>
                <w:color w:val="auto"/>
              </w:rPr>
            </w:pPr>
            <w:r>
              <w:rPr>
                <w:rFonts w:ascii="Arial" w:cs="Arial" w:eastAsia="Arial" w:hAnsi="Arial"/>
                <w:sz w:val="13"/>
                <w:szCs w:val="13"/>
                <w:color w:val="auto"/>
                <w:w w:val="87"/>
              </w:rPr>
              <w:t>(3)</w:t>
            </w:r>
          </w:p>
        </w:tc>
        <w:tc>
          <w:tcPr>
            <w:tcW w:w="180" w:type="dxa"/>
            <w:vAlign w:val="bottom"/>
            <w:shd w:val="clear" w:color="auto" w:fill="E8F0F8"/>
          </w:tcPr>
          <w:p>
            <w:pPr>
              <w:spacing w:after="0"/>
              <w:rPr>
                <w:sz w:val="16"/>
                <w:szCs w:val="16"/>
                <w:color w:val="auto"/>
              </w:rPr>
            </w:pPr>
          </w:p>
        </w:tc>
        <w:tc>
          <w:tcPr>
            <w:tcW w:w="1140" w:type="dxa"/>
            <w:vAlign w:val="bottom"/>
            <w:vMerge w:val="restart"/>
            <w:shd w:val="clear" w:color="auto" w:fill="E8F0F8"/>
          </w:tcPr>
          <w:p>
            <w:pPr>
              <w:jc w:val="right"/>
              <w:ind w:right="7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E8F0F8"/>
          </w:tcPr>
          <w:p>
            <w:pPr>
              <w:jc w:val="center"/>
              <w:ind w:right="177"/>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E8F0F8"/>
          </w:tcPr>
          <w:p>
            <w:pPr>
              <w:spacing w:after="0"/>
              <w:rPr>
                <w:sz w:val="16"/>
                <w:szCs w:val="16"/>
                <w:color w:val="auto"/>
              </w:rPr>
            </w:pPr>
          </w:p>
        </w:tc>
        <w:tc>
          <w:tcPr>
            <w:tcW w:w="66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5,442</w:t>
            </w:r>
          </w:p>
        </w:tc>
        <w:tc>
          <w:tcPr>
            <w:tcW w:w="16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1,637,607</w:t>
            </w:r>
          </w:p>
        </w:tc>
        <w:tc>
          <w:tcPr>
            <w:tcW w:w="0" w:type="dxa"/>
            <w:vAlign w:val="bottom"/>
          </w:tcPr>
          <w:p>
            <w:pPr>
              <w:spacing w:after="0"/>
              <w:rPr>
                <w:sz w:val="1"/>
                <w:szCs w:val="1"/>
                <w:color w:val="auto"/>
              </w:rPr>
            </w:pPr>
          </w:p>
        </w:tc>
      </w:tr>
      <w:tr>
        <w:trPr>
          <w:trHeight w:val="43"/>
        </w:trPr>
        <w:tc>
          <w:tcPr>
            <w:tcW w:w="316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420" w:type="dxa"/>
            <w:vAlign w:val="bottom"/>
            <w:shd w:val="clear" w:color="auto" w:fill="E8F0F8"/>
          </w:tcPr>
          <w:p>
            <w:pPr>
              <w:spacing w:after="0"/>
              <w:rPr>
                <w:sz w:val="3"/>
                <w:szCs w:val="3"/>
                <w:color w:val="auto"/>
              </w:rPr>
            </w:pPr>
          </w:p>
        </w:tc>
        <w:tc>
          <w:tcPr>
            <w:tcW w:w="180" w:type="dxa"/>
            <w:vAlign w:val="bottom"/>
            <w:shd w:val="clear" w:color="auto" w:fill="E8F0F8"/>
          </w:tcPr>
          <w:p>
            <w:pPr>
              <w:spacing w:after="0"/>
              <w:rPr>
                <w:sz w:val="3"/>
                <w:szCs w:val="3"/>
                <w:color w:val="auto"/>
              </w:rPr>
            </w:pPr>
          </w:p>
        </w:tc>
        <w:tc>
          <w:tcPr>
            <w:tcW w:w="1140" w:type="dxa"/>
            <w:vAlign w:val="bottom"/>
            <w:vMerge w:val="continue"/>
            <w:shd w:val="clear" w:color="auto" w:fill="E8F0F8"/>
          </w:tcPr>
          <w:p>
            <w:pPr>
              <w:spacing w:after="0"/>
              <w:rPr>
                <w:sz w:val="3"/>
                <w:szCs w:val="3"/>
                <w:color w:val="auto"/>
              </w:rPr>
            </w:pPr>
          </w:p>
        </w:tc>
        <w:tc>
          <w:tcPr>
            <w:tcW w:w="600" w:type="dxa"/>
            <w:vAlign w:val="bottom"/>
            <w:vMerge w:val="continue"/>
            <w:shd w:val="clear" w:color="auto" w:fill="E8F0F8"/>
          </w:tcPr>
          <w:p>
            <w:pPr>
              <w:spacing w:after="0"/>
              <w:rPr>
                <w:sz w:val="3"/>
                <w:szCs w:val="3"/>
                <w:color w:val="auto"/>
              </w:rPr>
            </w:pPr>
          </w:p>
        </w:tc>
        <w:tc>
          <w:tcPr>
            <w:tcW w:w="78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62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660" w:type="dxa"/>
            <w:vAlign w:val="bottom"/>
            <w:shd w:val="clear" w:color="auto" w:fill="E8F0F8"/>
          </w:tcPr>
          <w:p>
            <w:pPr>
              <w:spacing w:after="0"/>
              <w:rPr>
                <w:sz w:val="3"/>
                <w:szCs w:val="3"/>
                <w:color w:val="auto"/>
              </w:rPr>
            </w:pPr>
          </w:p>
        </w:tc>
        <w:tc>
          <w:tcPr>
            <w:tcW w:w="74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760" w:type="dxa"/>
            <w:vAlign w:val="bottom"/>
            <w:shd w:val="clear" w:color="auto" w:fill="E8F0F8"/>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160" w:type="dxa"/>
            <w:vAlign w:val="bottom"/>
            <w:shd w:val="clear" w:color="auto" w:fill="E8F0F8"/>
          </w:tcPr>
          <w:p>
            <w:pPr>
              <w:spacing w:after="0"/>
              <w:rPr>
                <w:sz w:val="16"/>
                <w:szCs w:val="16"/>
                <w:color w:val="auto"/>
              </w:rPr>
            </w:pPr>
          </w:p>
        </w:tc>
        <w:tc>
          <w:tcPr>
            <w:tcW w:w="820" w:type="dxa"/>
            <w:vAlign w:val="bottom"/>
            <w:shd w:val="clear" w:color="auto" w:fill="E8F0F8"/>
          </w:tcPr>
          <w:p>
            <w:pPr>
              <w:jc w:val="right"/>
              <w:spacing w:after="0"/>
              <w:rPr>
                <w:sz w:val="20"/>
                <w:szCs w:val="20"/>
                <w:color w:val="auto"/>
              </w:rPr>
            </w:pPr>
            <w:r>
              <w:rPr>
                <w:rFonts w:ascii="Arial" w:cs="Arial" w:eastAsia="Arial" w:hAnsi="Arial"/>
                <w:sz w:val="13"/>
                <w:szCs w:val="13"/>
                <w:color w:val="auto"/>
              </w:rPr>
              <w:t>2/12/2018</w:t>
            </w:r>
          </w:p>
        </w:tc>
        <w:tc>
          <w:tcPr>
            <w:tcW w:w="420" w:type="dxa"/>
            <w:vAlign w:val="bottom"/>
            <w:shd w:val="clear" w:color="auto" w:fill="E8F0F8"/>
          </w:tcPr>
          <w:p>
            <w:pPr>
              <w:jc w:val="center"/>
              <w:ind w:left="17"/>
              <w:spacing w:after="0"/>
              <w:rPr>
                <w:sz w:val="20"/>
                <w:szCs w:val="20"/>
                <w:color w:val="auto"/>
              </w:rPr>
            </w:pPr>
            <w:r>
              <w:rPr>
                <w:rFonts w:ascii="Arial" w:cs="Arial" w:eastAsia="Arial" w:hAnsi="Arial"/>
                <w:sz w:val="13"/>
                <w:szCs w:val="13"/>
                <w:color w:val="auto"/>
                <w:w w:val="87"/>
              </w:rPr>
              <w:t>(3)</w:t>
            </w:r>
          </w:p>
        </w:tc>
        <w:tc>
          <w:tcPr>
            <w:tcW w:w="180" w:type="dxa"/>
            <w:vAlign w:val="bottom"/>
            <w:shd w:val="clear" w:color="auto" w:fill="E8F0F8"/>
          </w:tcPr>
          <w:p>
            <w:pPr>
              <w:spacing w:after="0"/>
              <w:rPr>
                <w:sz w:val="16"/>
                <w:szCs w:val="16"/>
                <w:color w:val="auto"/>
              </w:rPr>
            </w:pPr>
          </w:p>
        </w:tc>
        <w:tc>
          <w:tcPr>
            <w:tcW w:w="1140" w:type="dxa"/>
            <w:vAlign w:val="bottom"/>
            <w:vMerge w:val="restart"/>
            <w:shd w:val="clear" w:color="auto" w:fill="E8F0F8"/>
          </w:tcPr>
          <w:p>
            <w:pPr>
              <w:jc w:val="right"/>
              <w:ind w:right="7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E8F0F8"/>
          </w:tcPr>
          <w:p>
            <w:pPr>
              <w:jc w:val="center"/>
              <w:ind w:right="177"/>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E8F0F8"/>
          </w:tcPr>
          <w:p>
            <w:pPr>
              <w:spacing w:after="0"/>
              <w:rPr>
                <w:sz w:val="16"/>
                <w:szCs w:val="16"/>
                <w:color w:val="auto"/>
              </w:rPr>
            </w:pPr>
          </w:p>
        </w:tc>
        <w:tc>
          <w:tcPr>
            <w:tcW w:w="66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11,840</w:t>
            </w:r>
          </w:p>
        </w:tc>
        <w:tc>
          <w:tcPr>
            <w:tcW w:w="16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3,562,893</w:t>
            </w:r>
          </w:p>
        </w:tc>
        <w:tc>
          <w:tcPr>
            <w:tcW w:w="0" w:type="dxa"/>
            <w:vAlign w:val="bottom"/>
          </w:tcPr>
          <w:p>
            <w:pPr>
              <w:spacing w:after="0"/>
              <w:rPr>
                <w:sz w:val="1"/>
                <w:szCs w:val="1"/>
                <w:color w:val="auto"/>
              </w:rPr>
            </w:pPr>
          </w:p>
        </w:tc>
      </w:tr>
      <w:tr>
        <w:trPr>
          <w:trHeight w:val="43"/>
        </w:trPr>
        <w:tc>
          <w:tcPr>
            <w:tcW w:w="316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420" w:type="dxa"/>
            <w:vAlign w:val="bottom"/>
            <w:shd w:val="clear" w:color="auto" w:fill="E8F0F8"/>
          </w:tcPr>
          <w:p>
            <w:pPr>
              <w:spacing w:after="0"/>
              <w:rPr>
                <w:sz w:val="3"/>
                <w:szCs w:val="3"/>
                <w:color w:val="auto"/>
              </w:rPr>
            </w:pPr>
          </w:p>
        </w:tc>
        <w:tc>
          <w:tcPr>
            <w:tcW w:w="180" w:type="dxa"/>
            <w:vAlign w:val="bottom"/>
            <w:shd w:val="clear" w:color="auto" w:fill="E8F0F8"/>
          </w:tcPr>
          <w:p>
            <w:pPr>
              <w:spacing w:after="0"/>
              <w:rPr>
                <w:sz w:val="3"/>
                <w:szCs w:val="3"/>
                <w:color w:val="auto"/>
              </w:rPr>
            </w:pPr>
          </w:p>
        </w:tc>
        <w:tc>
          <w:tcPr>
            <w:tcW w:w="1140" w:type="dxa"/>
            <w:vAlign w:val="bottom"/>
            <w:vMerge w:val="continue"/>
            <w:shd w:val="clear" w:color="auto" w:fill="E8F0F8"/>
          </w:tcPr>
          <w:p>
            <w:pPr>
              <w:spacing w:after="0"/>
              <w:rPr>
                <w:sz w:val="3"/>
                <w:szCs w:val="3"/>
                <w:color w:val="auto"/>
              </w:rPr>
            </w:pPr>
          </w:p>
        </w:tc>
        <w:tc>
          <w:tcPr>
            <w:tcW w:w="600" w:type="dxa"/>
            <w:vAlign w:val="bottom"/>
            <w:vMerge w:val="continue"/>
            <w:shd w:val="clear" w:color="auto" w:fill="E8F0F8"/>
          </w:tcPr>
          <w:p>
            <w:pPr>
              <w:spacing w:after="0"/>
              <w:rPr>
                <w:sz w:val="3"/>
                <w:szCs w:val="3"/>
                <w:color w:val="auto"/>
              </w:rPr>
            </w:pPr>
          </w:p>
        </w:tc>
        <w:tc>
          <w:tcPr>
            <w:tcW w:w="78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62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660" w:type="dxa"/>
            <w:vAlign w:val="bottom"/>
            <w:shd w:val="clear" w:color="auto" w:fill="E8F0F8"/>
          </w:tcPr>
          <w:p>
            <w:pPr>
              <w:spacing w:after="0"/>
              <w:rPr>
                <w:sz w:val="3"/>
                <w:szCs w:val="3"/>
                <w:color w:val="auto"/>
              </w:rPr>
            </w:pPr>
          </w:p>
        </w:tc>
        <w:tc>
          <w:tcPr>
            <w:tcW w:w="74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760" w:type="dxa"/>
            <w:vAlign w:val="bottom"/>
            <w:shd w:val="clear" w:color="auto" w:fill="E8F0F8"/>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160" w:type="dxa"/>
            <w:vAlign w:val="bottom"/>
            <w:shd w:val="clear" w:color="auto" w:fill="E8F0F8"/>
          </w:tcPr>
          <w:p>
            <w:pPr>
              <w:spacing w:after="0"/>
              <w:rPr>
                <w:sz w:val="16"/>
                <w:szCs w:val="16"/>
                <w:color w:val="auto"/>
              </w:rPr>
            </w:pPr>
          </w:p>
        </w:tc>
        <w:tc>
          <w:tcPr>
            <w:tcW w:w="820" w:type="dxa"/>
            <w:vAlign w:val="bottom"/>
            <w:shd w:val="clear" w:color="auto" w:fill="E8F0F8"/>
          </w:tcPr>
          <w:p>
            <w:pPr>
              <w:jc w:val="right"/>
              <w:spacing w:after="0"/>
              <w:rPr>
                <w:sz w:val="20"/>
                <w:szCs w:val="20"/>
                <w:color w:val="auto"/>
              </w:rPr>
            </w:pPr>
            <w:r>
              <w:rPr>
                <w:rFonts w:ascii="Arial" w:cs="Arial" w:eastAsia="Arial" w:hAnsi="Arial"/>
                <w:sz w:val="13"/>
                <w:szCs w:val="13"/>
                <w:color w:val="auto"/>
              </w:rPr>
              <w:t>2/12/2018</w:t>
            </w:r>
          </w:p>
        </w:tc>
        <w:tc>
          <w:tcPr>
            <w:tcW w:w="420" w:type="dxa"/>
            <w:vAlign w:val="bottom"/>
            <w:shd w:val="clear" w:color="auto" w:fill="E8F0F8"/>
          </w:tcPr>
          <w:p>
            <w:pPr>
              <w:jc w:val="center"/>
              <w:ind w:left="17"/>
              <w:spacing w:after="0"/>
              <w:rPr>
                <w:sz w:val="20"/>
                <w:szCs w:val="20"/>
                <w:color w:val="auto"/>
              </w:rPr>
            </w:pPr>
            <w:r>
              <w:rPr>
                <w:rFonts w:ascii="Arial" w:cs="Arial" w:eastAsia="Arial" w:hAnsi="Arial"/>
                <w:sz w:val="13"/>
                <w:szCs w:val="13"/>
                <w:color w:val="auto"/>
                <w:w w:val="87"/>
              </w:rPr>
              <w:t>(4)</w:t>
            </w:r>
          </w:p>
        </w:tc>
        <w:tc>
          <w:tcPr>
            <w:tcW w:w="180" w:type="dxa"/>
            <w:vAlign w:val="bottom"/>
            <w:shd w:val="clear" w:color="auto" w:fill="E8F0F8"/>
          </w:tcPr>
          <w:p>
            <w:pPr>
              <w:spacing w:after="0"/>
              <w:rPr>
                <w:sz w:val="16"/>
                <w:szCs w:val="16"/>
                <w:color w:val="auto"/>
              </w:rPr>
            </w:pPr>
          </w:p>
        </w:tc>
        <w:tc>
          <w:tcPr>
            <w:tcW w:w="1140" w:type="dxa"/>
            <w:vAlign w:val="bottom"/>
            <w:vMerge w:val="restart"/>
            <w:shd w:val="clear" w:color="auto" w:fill="E8F0F8"/>
          </w:tcPr>
          <w:p>
            <w:pPr>
              <w:jc w:val="right"/>
              <w:ind w:right="7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E8F0F8"/>
          </w:tcPr>
          <w:p>
            <w:pPr>
              <w:jc w:val="center"/>
              <w:ind w:right="177"/>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shd w:val="clear" w:color="auto" w:fill="E8F0F8"/>
          </w:tcPr>
          <w:p>
            <w:pPr>
              <w:jc w:val="right"/>
              <w:spacing w:after="0"/>
              <w:rPr>
                <w:sz w:val="20"/>
                <w:szCs w:val="20"/>
                <w:color w:val="auto"/>
              </w:rPr>
            </w:pPr>
            <w:r>
              <w:rPr>
                <w:rFonts w:ascii="Arial" w:cs="Arial" w:eastAsia="Arial" w:hAnsi="Arial"/>
                <w:sz w:val="13"/>
                <w:szCs w:val="13"/>
                <w:color w:val="auto"/>
              </w:rPr>
              <w:t>1,501</w:t>
            </w:r>
          </w:p>
        </w:tc>
        <w:tc>
          <w:tcPr>
            <w:tcW w:w="16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451,681</w:t>
            </w:r>
          </w:p>
        </w:tc>
        <w:tc>
          <w:tcPr>
            <w:tcW w:w="74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5,143</w:t>
            </w:r>
          </w:p>
        </w:tc>
        <w:tc>
          <w:tcPr>
            <w:tcW w:w="16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1,547,632</w:t>
            </w:r>
          </w:p>
        </w:tc>
        <w:tc>
          <w:tcPr>
            <w:tcW w:w="0" w:type="dxa"/>
            <w:vAlign w:val="bottom"/>
          </w:tcPr>
          <w:p>
            <w:pPr>
              <w:spacing w:after="0"/>
              <w:rPr>
                <w:sz w:val="1"/>
                <w:szCs w:val="1"/>
                <w:color w:val="auto"/>
              </w:rPr>
            </w:pPr>
          </w:p>
        </w:tc>
      </w:tr>
      <w:tr>
        <w:trPr>
          <w:trHeight w:val="43"/>
        </w:trPr>
        <w:tc>
          <w:tcPr>
            <w:tcW w:w="316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420" w:type="dxa"/>
            <w:vAlign w:val="bottom"/>
            <w:shd w:val="clear" w:color="auto" w:fill="E8F0F8"/>
          </w:tcPr>
          <w:p>
            <w:pPr>
              <w:spacing w:after="0"/>
              <w:rPr>
                <w:sz w:val="3"/>
                <w:szCs w:val="3"/>
                <w:color w:val="auto"/>
              </w:rPr>
            </w:pPr>
          </w:p>
        </w:tc>
        <w:tc>
          <w:tcPr>
            <w:tcW w:w="180" w:type="dxa"/>
            <w:vAlign w:val="bottom"/>
            <w:shd w:val="clear" w:color="auto" w:fill="E8F0F8"/>
          </w:tcPr>
          <w:p>
            <w:pPr>
              <w:spacing w:after="0"/>
              <w:rPr>
                <w:sz w:val="3"/>
                <w:szCs w:val="3"/>
                <w:color w:val="auto"/>
              </w:rPr>
            </w:pPr>
          </w:p>
        </w:tc>
        <w:tc>
          <w:tcPr>
            <w:tcW w:w="1140" w:type="dxa"/>
            <w:vAlign w:val="bottom"/>
            <w:vMerge w:val="continue"/>
            <w:shd w:val="clear" w:color="auto" w:fill="E8F0F8"/>
          </w:tcPr>
          <w:p>
            <w:pPr>
              <w:spacing w:after="0"/>
              <w:rPr>
                <w:sz w:val="3"/>
                <w:szCs w:val="3"/>
                <w:color w:val="auto"/>
              </w:rPr>
            </w:pPr>
          </w:p>
        </w:tc>
        <w:tc>
          <w:tcPr>
            <w:tcW w:w="600" w:type="dxa"/>
            <w:vAlign w:val="bottom"/>
            <w:vMerge w:val="continue"/>
            <w:shd w:val="clear" w:color="auto" w:fill="E8F0F8"/>
          </w:tcPr>
          <w:p>
            <w:pPr>
              <w:spacing w:after="0"/>
              <w:rPr>
                <w:sz w:val="3"/>
                <w:szCs w:val="3"/>
                <w:color w:val="auto"/>
              </w:rPr>
            </w:pPr>
          </w:p>
        </w:tc>
        <w:tc>
          <w:tcPr>
            <w:tcW w:w="78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62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660" w:type="dxa"/>
            <w:vAlign w:val="bottom"/>
            <w:shd w:val="clear" w:color="auto" w:fill="E8F0F8"/>
          </w:tcPr>
          <w:p>
            <w:pPr>
              <w:spacing w:after="0"/>
              <w:rPr>
                <w:sz w:val="3"/>
                <w:szCs w:val="3"/>
                <w:color w:val="auto"/>
              </w:rPr>
            </w:pPr>
          </w:p>
        </w:tc>
        <w:tc>
          <w:tcPr>
            <w:tcW w:w="74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760" w:type="dxa"/>
            <w:vAlign w:val="bottom"/>
            <w:shd w:val="clear" w:color="auto" w:fill="E8F0F8"/>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3160" w:type="dxa"/>
            <w:vAlign w:val="bottom"/>
            <w:tcBorders>
              <w:bottom w:val="single" w:sz="8" w:color="E8F0F8"/>
            </w:tcBorders>
            <w:shd w:val="clear" w:color="auto" w:fill="E8F0F8"/>
          </w:tcPr>
          <w:p>
            <w:pPr>
              <w:spacing w:after="0"/>
              <w:rPr>
                <w:sz w:val="19"/>
                <w:szCs w:val="19"/>
                <w:color w:val="auto"/>
              </w:rPr>
            </w:pPr>
          </w:p>
        </w:tc>
        <w:tc>
          <w:tcPr>
            <w:tcW w:w="82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3"/>
                <w:szCs w:val="13"/>
                <w:color w:val="auto"/>
              </w:rPr>
              <w:t>2/12/2018</w:t>
            </w:r>
          </w:p>
        </w:tc>
        <w:tc>
          <w:tcPr>
            <w:tcW w:w="420" w:type="dxa"/>
            <w:vAlign w:val="bottom"/>
            <w:tcBorders>
              <w:bottom w:val="single" w:sz="8" w:color="E8F0F8"/>
            </w:tcBorders>
            <w:shd w:val="clear" w:color="auto" w:fill="E8F0F8"/>
          </w:tcPr>
          <w:p>
            <w:pPr>
              <w:jc w:val="center"/>
              <w:ind w:left="17"/>
              <w:spacing w:after="0"/>
              <w:rPr>
                <w:sz w:val="20"/>
                <w:szCs w:val="20"/>
                <w:color w:val="auto"/>
              </w:rPr>
            </w:pPr>
            <w:r>
              <w:rPr>
                <w:rFonts w:ascii="Arial" w:cs="Arial" w:eastAsia="Arial" w:hAnsi="Arial"/>
                <w:sz w:val="13"/>
                <w:szCs w:val="13"/>
                <w:color w:val="auto"/>
                <w:w w:val="87"/>
              </w:rPr>
              <w:t>(5)</w:t>
            </w:r>
          </w:p>
        </w:tc>
        <w:tc>
          <w:tcPr>
            <w:tcW w:w="180" w:type="dxa"/>
            <w:vAlign w:val="bottom"/>
            <w:tcBorders>
              <w:bottom w:val="single" w:sz="8" w:color="E8F0F8"/>
            </w:tcBorders>
            <w:shd w:val="clear" w:color="auto" w:fill="E8F0F8"/>
          </w:tcPr>
          <w:p>
            <w:pPr>
              <w:spacing w:after="0"/>
              <w:rPr>
                <w:sz w:val="19"/>
                <w:szCs w:val="19"/>
                <w:color w:val="auto"/>
              </w:rPr>
            </w:pPr>
          </w:p>
        </w:tc>
        <w:tc>
          <w:tcPr>
            <w:tcW w:w="1140" w:type="dxa"/>
            <w:vAlign w:val="bottom"/>
            <w:tcBorders>
              <w:bottom w:val="single" w:sz="8" w:color="E8F0F8"/>
            </w:tcBorders>
            <w:shd w:val="clear" w:color="auto" w:fill="E8F0F8"/>
          </w:tcPr>
          <w:p>
            <w:pPr>
              <w:jc w:val="right"/>
              <w:ind w:right="71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E8F0F8"/>
            </w:tcBorders>
            <w:shd w:val="clear" w:color="auto" w:fill="E8F0F8"/>
          </w:tcPr>
          <w:p>
            <w:pPr>
              <w:jc w:val="center"/>
              <w:ind w:right="177"/>
              <w:spacing w:after="0"/>
              <w:rPr>
                <w:sz w:val="20"/>
                <w:szCs w:val="20"/>
                <w:color w:val="auto"/>
              </w:rPr>
            </w:pPr>
            <w:r>
              <w:rPr>
                <w:rFonts w:ascii="Arial" w:cs="Arial" w:eastAsia="Arial" w:hAnsi="Arial"/>
                <w:sz w:val="13"/>
                <w:szCs w:val="13"/>
                <w:color w:val="auto"/>
                <w:w w:val="91"/>
              </w:rPr>
              <w:t>—</w:t>
            </w:r>
          </w:p>
        </w:tc>
        <w:tc>
          <w:tcPr>
            <w:tcW w:w="780" w:type="dxa"/>
            <w:vAlign w:val="bottom"/>
            <w:tcBorders>
              <w:bottom w:val="single" w:sz="8" w:color="E8F0F8"/>
            </w:tcBorders>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E8F0F8"/>
            </w:tcBorders>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3"/>
                <w:szCs w:val="13"/>
                <w:color w:val="auto"/>
              </w:rPr>
              <w:t>4,735</w:t>
            </w:r>
          </w:p>
        </w:tc>
        <w:tc>
          <w:tcPr>
            <w:tcW w:w="16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E8F0F8"/>
            </w:tcBorders>
            <w:shd w:val="clear" w:color="auto" w:fill="E8F0F8"/>
          </w:tcPr>
          <w:p>
            <w:pPr>
              <w:jc w:val="right"/>
              <w:ind w:right="37"/>
              <w:spacing w:after="0"/>
              <w:rPr>
                <w:sz w:val="20"/>
                <w:szCs w:val="20"/>
                <w:color w:val="auto"/>
              </w:rPr>
            </w:pPr>
            <w:r>
              <w:rPr>
                <w:rFonts w:ascii="Arial" w:cs="Arial" w:eastAsia="Arial" w:hAnsi="Arial"/>
                <w:sz w:val="13"/>
                <w:szCs w:val="13"/>
                <w:color w:val="auto"/>
                <w:w w:val="93"/>
              </w:rPr>
              <w:t>1,424,856</w:t>
            </w:r>
          </w:p>
        </w:tc>
        <w:tc>
          <w:tcPr>
            <w:tcW w:w="740" w:type="dxa"/>
            <w:vAlign w:val="bottom"/>
            <w:tcBorders>
              <w:bottom w:val="single" w:sz="8" w:color="E8F0F8"/>
            </w:tcBorders>
            <w:shd w:val="clear" w:color="auto" w:fill="E8F0F8"/>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8F0F8"/>
            </w:tcBorders>
            <w:shd w:val="clear" w:color="auto" w:fill="E8F0F8"/>
          </w:tcPr>
          <w:p>
            <w:pPr>
              <w:spacing w:after="0"/>
              <w:rPr>
                <w:sz w:val="19"/>
                <w:szCs w:val="19"/>
                <w:color w:val="auto"/>
              </w:rPr>
            </w:pPr>
          </w:p>
        </w:tc>
        <w:tc>
          <w:tcPr>
            <w:tcW w:w="760" w:type="dxa"/>
            <w:vAlign w:val="bottom"/>
            <w:tcBorders>
              <w:bottom w:val="single" w:sz="8" w:color="E8F0F8"/>
            </w:tcBorders>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3160" w:type="dxa"/>
            <w:vAlign w:val="bottom"/>
            <w:tcBorders>
              <w:top w:val="single" w:sz="8" w:color="1A6DBB"/>
            </w:tcBorders>
            <w:shd w:val="clear" w:color="auto" w:fill="BAD3EA"/>
          </w:tcPr>
          <w:p>
            <w:pPr>
              <w:ind w:left="60"/>
              <w:spacing w:after="0"/>
              <w:rPr>
                <w:sz w:val="20"/>
                <w:szCs w:val="20"/>
                <w:color w:val="auto"/>
              </w:rPr>
            </w:pPr>
            <w:r>
              <w:rPr>
                <w:rFonts w:ascii="Arial" w:cs="Arial" w:eastAsia="Arial" w:hAnsi="Arial"/>
                <w:sz w:val="13"/>
                <w:szCs w:val="13"/>
                <w:b w:val="1"/>
                <w:bCs w:val="1"/>
                <w:color w:val="auto"/>
              </w:rPr>
              <w:t>Susan H. Alexander</w:t>
            </w:r>
          </w:p>
        </w:tc>
        <w:tc>
          <w:tcPr>
            <w:tcW w:w="820" w:type="dxa"/>
            <w:vAlign w:val="bottom"/>
            <w:tcBorders>
              <w:top w:val="single" w:sz="8" w:color="1A6DBB"/>
            </w:tcBorders>
            <w:shd w:val="clear" w:color="auto" w:fill="BAD3EA"/>
          </w:tcPr>
          <w:p>
            <w:pPr>
              <w:jc w:val="right"/>
              <w:spacing w:after="0"/>
              <w:rPr>
                <w:sz w:val="20"/>
                <w:szCs w:val="20"/>
                <w:color w:val="auto"/>
              </w:rPr>
            </w:pPr>
            <w:r>
              <w:rPr>
                <w:rFonts w:ascii="Arial" w:cs="Arial" w:eastAsia="Arial" w:hAnsi="Arial"/>
                <w:sz w:val="13"/>
                <w:szCs w:val="13"/>
                <w:color w:val="auto"/>
              </w:rPr>
              <w:t>2/24/2009</w:t>
            </w:r>
          </w:p>
        </w:tc>
        <w:tc>
          <w:tcPr>
            <w:tcW w:w="420" w:type="dxa"/>
            <w:vAlign w:val="bottom"/>
            <w:tcBorders>
              <w:top w:val="single" w:sz="8" w:color="1A6DBB"/>
            </w:tcBorders>
            <w:shd w:val="clear" w:color="auto" w:fill="BAD3EA"/>
          </w:tcPr>
          <w:p>
            <w:pPr>
              <w:jc w:val="center"/>
              <w:ind w:left="17"/>
              <w:spacing w:after="0"/>
              <w:rPr>
                <w:sz w:val="20"/>
                <w:szCs w:val="20"/>
                <w:color w:val="auto"/>
              </w:rPr>
            </w:pPr>
            <w:r>
              <w:rPr>
                <w:rFonts w:ascii="Arial" w:cs="Arial" w:eastAsia="Arial" w:hAnsi="Arial"/>
                <w:sz w:val="13"/>
                <w:szCs w:val="13"/>
                <w:color w:val="auto"/>
                <w:w w:val="87"/>
              </w:rPr>
              <w:t>(6)</w:t>
            </w:r>
          </w:p>
        </w:tc>
        <w:tc>
          <w:tcPr>
            <w:tcW w:w="1320" w:type="dxa"/>
            <w:vAlign w:val="bottom"/>
            <w:tcBorders>
              <w:top w:val="single" w:sz="8" w:color="1A6DBB"/>
            </w:tcBorders>
            <w:gridSpan w:val="2"/>
            <w:shd w:val="clear" w:color="auto" w:fill="BAD3EA"/>
          </w:tcPr>
          <w:p>
            <w:pPr>
              <w:jc w:val="right"/>
              <w:ind w:right="717"/>
              <w:spacing w:after="0"/>
              <w:rPr>
                <w:sz w:val="20"/>
                <w:szCs w:val="20"/>
                <w:color w:val="auto"/>
              </w:rPr>
            </w:pPr>
            <w:r>
              <w:rPr>
                <w:rFonts w:ascii="Arial" w:cs="Arial" w:eastAsia="Arial" w:hAnsi="Arial"/>
                <w:sz w:val="13"/>
                <w:szCs w:val="13"/>
                <w:color w:val="auto"/>
              </w:rPr>
              <w:t>6,395</w:t>
            </w:r>
          </w:p>
        </w:tc>
        <w:tc>
          <w:tcPr>
            <w:tcW w:w="600" w:type="dxa"/>
            <w:vAlign w:val="bottom"/>
            <w:tcBorders>
              <w:top w:val="single" w:sz="8" w:color="1A6DBB"/>
            </w:tcBorders>
            <w:shd w:val="clear" w:color="auto" w:fill="BAD3EA"/>
          </w:tcPr>
          <w:p>
            <w:pPr>
              <w:jc w:val="center"/>
              <w:ind w:right="177"/>
              <w:spacing w:after="0"/>
              <w:rPr>
                <w:sz w:val="20"/>
                <w:szCs w:val="20"/>
                <w:color w:val="auto"/>
              </w:rPr>
            </w:pPr>
            <w:r>
              <w:rPr>
                <w:rFonts w:ascii="Arial" w:cs="Arial" w:eastAsia="Arial" w:hAnsi="Arial"/>
                <w:sz w:val="13"/>
                <w:szCs w:val="13"/>
                <w:color w:val="auto"/>
                <w:w w:val="91"/>
              </w:rPr>
              <w:t>—</w:t>
            </w:r>
          </w:p>
        </w:tc>
        <w:tc>
          <w:tcPr>
            <w:tcW w:w="780" w:type="dxa"/>
            <w:vAlign w:val="bottom"/>
            <w:tcBorders>
              <w:top w:val="single" w:sz="8" w:color="1A6DBB"/>
            </w:tcBorders>
            <w:shd w:val="clear" w:color="auto" w:fill="BAD3EA"/>
          </w:tcPr>
          <w:p>
            <w:pPr>
              <w:jc w:val="right"/>
              <w:ind w:right="57"/>
              <w:spacing w:after="0"/>
              <w:rPr>
                <w:sz w:val="20"/>
                <w:szCs w:val="20"/>
                <w:color w:val="auto"/>
              </w:rPr>
            </w:pPr>
            <w:r>
              <w:rPr>
                <w:rFonts w:ascii="Arial" w:cs="Arial" w:eastAsia="Arial" w:hAnsi="Arial"/>
                <w:sz w:val="13"/>
                <w:szCs w:val="13"/>
                <w:color w:val="auto"/>
              </w:rPr>
              <w:t>$48.52</w:t>
            </w:r>
          </w:p>
        </w:tc>
        <w:tc>
          <w:tcPr>
            <w:tcW w:w="820" w:type="dxa"/>
            <w:vAlign w:val="bottom"/>
            <w:tcBorders>
              <w:top w:val="single" w:sz="8" w:color="1A6DBB"/>
            </w:tcBorders>
            <w:shd w:val="clear" w:color="auto" w:fill="BAD3EA"/>
          </w:tcPr>
          <w:p>
            <w:pPr>
              <w:jc w:val="right"/>
              <w:ind w:right="57"/>
              <w:spacing w:after="0"/>
              <w:rPr>
                <w:sz w:val="20"/>
                <w:szCs w:val="20"/>
                <w:color w:val="auto"/>
              </w:rPr>
            </w:pPr>
            <w:r>
              <w:rPr>
                <w:rFonts w:ascii="Arial" w:cs="Arial" w:eastAsia="Arial" w:hAnsi="Arial"/>
                <w:sz w:val="13"/>
                <w:szCs w:val="13"/>
                <w:color w:val="auto"/>
              </w:rPr>
              <w:t>2/23/2019</w:t>
            </w:r>
          </w:p>
        </w:tc>
        <w:tc>
          <w:tcPr>
            <w:tcW w:w="620" w:type="dxa"/>
            <w:vAlign w:val="bottom"/>
            <w:tcBorders>
              <w:top w:val="single" w:sz="8" w:color="1A6DBB"/>
            </w:tcBorders>
            <w:shd w:val="clear" w:color="auto" w:fill="BAD3EA"/>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top w:val="single" w:sz="8" w:color="1A6DBB"/>
            </w:tcBorders>
            <w:shd w:val="clear" w:color="auto" w:fill="BAD3EA"/>
          </w:tcPr>
          <w:p>
            <w:pPr>
              <w:spacing w:after="0"/>
              <w:rPr>
                <w:sz w:val="15"/>
                <w:szCs w:val="15"/>
                <w:color w:val="auto"/>
              </w:rPr>
            </w:pPr>
          </w:p>
        </w:tc>
        <w:tc>
          <w:tcPr>
            <w:tcW w:w="660" w:type="dxa"/>
            <w:vAlign w:val="bottom"/>
            <w:tcBorders>
              <w:top w:val="single" w:sz="8" w:color="1A6DBB"/>
            </w:tcBorders>
            <w:shd w:val="clear" w:color="auto" w:fill="BAD3EA"/>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1A6DBB"/>
            </w:tcBorders>
            <w:shd w:val="clear" w:color="auto" w:fill="BAD3EA"/>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Borders>
              <w:top w:val="single" w:sz="8" w:color="1A6DBB"/>
            </w:tcBorders>
            <w:shd w:val="clear" w:color="auto" w:fill="BAD3EA"/>
          </w:tcPr>
          <w:p>
            <w:pPr>
              <w:spacing w:after="0"/>
              <w:rPr>
                <w:sz w:val="15"/>
                <w:szCs w:val="15"/>
                <w:color w:val="auto"/>
              </w:rPr>
            </w:pPr>
          </w:p>
        </w:tc>
        <w:tc>
          <w:tcPr>
            <w:tcW w:w="760" w:type="dxa"/>
            <w:vAlign w:val="bottom"/>
            <w:tcBorders>
              <w:top w:val="single" w:sz="8" w:color="1A6DBB"/>
            </w:tcBorders>
            <w:shd w:val="clear" w:color="auto" w:fill="BAD3EA"/>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0"/>
        </w:trPr>
        <w:tc>
          <w:tcPr>
            <w:tcW w:w="3160" w:type="dxa"/>
            <w:vAlign w:val="bottom"/>
            <w:shd w:val="clear" w:color="auto" w:fill="BAD3EA"/>
          </w:tcPr>
          <w:p>
            <w:pPr>
              <w:spacing w:after="0"/>
              <w:rPr>
                <w:sz w:val="19"/>
                <w:szCs w:val="19"/>
                <w:color w:val="auto"/>
              </w:rPr>
            </w:pPr>
          </w:p>
        </w:tc>
        <w:tc>
          <w:tcPr>
            <w:tcW w:w="820" w:type="dxa"/>
            <w:vAlign w:val="bottom"/>
            <w:shd w:val="clear" w:color="auto" w:fill="BAD3EA"/>
          </w:tcPr>
          <w:p>
            <w:pPr>
              <w:jc w:val="right"/>
              <w:spacing w:after="0"/>
              <w:rPr>
                <w:sz w:val="20"/>
                <w:szCs w:val="20"/>
                <w:color w:val="auto"/>
              </w:rPr>
            </w:pPr>
            <w:r>
              <w:rPr>
                <w:rFonts w:ascii="Arial" w:cs="Arial" w:eastAsia="Arial" w:hAnsi="Arial"/>
                <w:sz w:val="13"/>
                <w:szCs w:val="13"/>
                <w:color w:val="auto"/>
              </w:rPr>
              <w:t>2/22/2016</w:t>
            </w:r>
          </w:p>
        </w:tc>
        <w:tc>
          <w:tcPr>
            <w:tcW w:w="420" w:type="dxa"/>
            <w:vAlign w:val="bottom"/>
            <w:shd w:val="clear" w:color="auto" w:fill="BAD3EA"/>
          </w:tcPr>
          <w:p>
            <w:pPr>
              <w:jc w:val="center"/>
              <w:ind w:left="17"/>
              <w:spacing w:after="0"/>
              <w:rPr>
                <w:sz w:val="20"/>
                <w:szCs w:val="20"/>
                <w:color w:val="auto"/>
              </w:rPr>
            </w:pPr>
            <w:r>
              <w:rPr>
                <w:rFonts w:ascii="Arial" w:cs="Arial" w:eastAsia="Arial" w:hAnsi="Arial"/>
                <w:sz w:val="13"/>
                <w:szCs w:val="13"/>
                <w:color w:val="auto"/>
                <w:w w:val="87"/>
              </w:rPr>
              <w:t>(2)</w:t>
            </w:r>
          </w:p>
        </w:tc>
        <w:tc>
          <w:tcPr>
            <w:tcW w:w="180" w:type="dxa"/>
            <w:vAlign w:val="bottom"/>
            <w:shd w:val="clear" w:color="auto" w:fill="BAD3EA"/>
          </w:tcPr>
          <w:p>
            <w:pPr>
              <w:spacing w:after="0"/>
              <w:rPr>
                <w:sz w:val="19"/>
                <w:szCs w:val="19"/>
                <w:color w:val="auto"/>
              </w:rPr>
            </w:pPr>
          </w:p>
        </w:tc>
        <w:tc>
          <w:tcPr>
            <w:tcW w:w="1140" w:type="dxa"/>
            <w:vAlign w:val="bottom"/>
            <w:vMerge w:val="restart"/>
            <w:shd w:val="clear" w:color="auto" w:fill="BAD3EA"/>
          </w:tcPr>
          <w:p>
            <w:pPr>
              <w:jc w:val="right"/>
              <w:ind w:right="7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BAD3EA"/>
          </w:tcPr>
          <w:p>
            <w:pPr>
              <w:jc w:val="center"/>
              <w:ind w:right="177"/>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BAD3EA"/>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BAD3EA"/>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shd w:val="clear" w:color="auto" w:fill="BAD3EA"/>
          </w:tcPr>
          <w:p>
            <w:pPr>
              <w:jc w:val="right"/>
              <w:spacing w:after="0"/>
              <w:rPr>
                <w:sz w:val="20"/>
                <w:szCs w:val="20"/>
                <w:color w:val="auto"/>
              </w:rPr>
            </w:pPr>
            <w:r>
              <w:rPr>
                <w:rFonts w:ascii="Arial" w:cs="Arial" w:eastAsia="Arial" w:hAnsi="Arial"/>
                <w:sz w:val="13"/>
                <w:szCs w:val="13"/>
                <w:color w:val="auto"/>
              </w:rPr>
              <w:t>1,806</w:t>
            </w:r>
          </w:p>
        </w:tc>
        <w:tc>
          <w:tcPr>
            <w:tcW w:w="160" w:type="dxa"/>
            <w:vAlign w:val="bottom"/>
            <w:shd w:val="clear" w:color="auto" w:fill="BAD3EA"/>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BAD3EA"/>
          </w:tcPr>
          <w:p>
            <w:pPr>
              <w:jc w:val="right"/>
              <w:ind w:right="37"/>
              <w:spacing w:after="0"/>
              <w:rPr>
                <w:sz w:val="20"/>
                <w:szCs w:val="20"/>
                <w:color w:val="auto"/>
              </w:rPr>
            </w:pPr>
            <w:r>
              <w:rPr>
                <w:rFonts w:ascii="Arial" w:cs="Arial" w:eastAsia="Arial" w:hAnsi="Arial"/>
                <w:sz w:val="13"/>
                <w:szCs w:val="13"/>
                <w:color w:val="auto"/>
              </w:rPr>
              <w:t>543,462</w:t>
            </w:r>
          </w:p>
        </w:tc>
        <w:tc>
          <w:tcPr>
            <w:tcW w:w="740" w:type="dxa"/>
            <w:vAlign w:val="bottom"/>
            <w:shd w:val="clear" w:color="auto" w:fill="BAD3EA"/>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shd w:val="clear" w:color="auto" w:fill="BAD3EA"/>
          </w:tcPr>
          <w:p>
            <w:pPr>
              <w:spacing w:after="0"/>
              <w:rPr>
                <w:sz w:val="19"/>
                <w:szCs w:val="19"/>
                <w:color w:val="auto"/>
              </w:rPr>
            </w:pPr>
          </w:p>
        </w:tc>
        <w:tc>
          <w:tcPr>
            <w:tcW w:w="760" w:type="dxa"/>
            <w:vAlign w:val="bottom"/>
            <w:shd w:val="clear" w:color="auto" w:fill="BAD3EA"/>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3"/>
        </w:trPr>
        <w:tc>
          <w:tcPr>
            <w:tcW w:w="3160" w:type="dxa"/>
            <w:vAlign w:val="bottom"/>
            <w:shd w:val="clear" w:color="auto" w:fill="BAD3EA"/>
          </w:tcPr>
          <w:p>
            <w:pPr>
              <w:spacing w:after="0"/>
              <w:rPr>
                <w:sz w:val="3"/>
                <w:szCs w:val="3"/>
                <w:color w:val="auto"/>
              </w:rPr>
            </w:pPr>
          </w:p>
        </w:tc>
        <w:tc>
          <w:tcPr>
            <w:tcW w:w="820" w:type="dxa"/>
            <w:vAlign w:val="bottom"/>
            <w:shd w:val="clear" w:color="auto" w:fill="BAD3EA"/>
          </w:tcPr>
          <w:p>
            <w:pPr>
              <w:spacing w:after="0"/>
              <w:rPr>
                <w:sz w:val="3"/>
                <w:szCs w:val="3"/>
                <w:color w:val="auto"/>
              </w:rPr>
            </w:pPr>
          </w:p>
        </w:tc>
        <w:tc>
          <w:tcPr>
            <w:tcW w:w="420" w:type="dxa"/>
            <w:vAlign w:val="bottom"/>
            <w:shd w:val="clear" w:color="auto" w:fill="BAD3EA"/>
          </w:tcPr>
          <w:p>
            <w:pPr>
              <w:spacing w:after="0"/>
              <w:rPr>
                <w:sz w:val="3"/>
                <w:szCs w:val="3"/>
                <w:color w:val="auto"/>
              </w:rPr>
            </w:pPr>
          </w:p>
        </w:tc>
        <w:tc>
          <w:tcPr>
            <w:tcW w:w="180" w:type="dxa"/>
            <w:vAlign w:val="bottom"/>
            <w:shd w:val="clear" w:color="auto" w:fill="BAD3EA"/>
          </w:tcPr>
          <w:p>
            <w:pPr>
              <w:spacing w:after="0"/>
              <w:rPr>
                <w:sz w:val="3"/>
                <w:szCs w:val="3"/>
                <w:color w:val="auto"/>
              </w:rPr>
            </w:pPr>
          </w:p>
        </w:tc>
        <w:tc>
          <w:tcPr>
            <w:tcW w:w="1140" w:type="dxa"/>
            <w:vAlign w:val="bottom"/>
            <w:vMerge w:val="continue"/>
            <w:shd w:val="clear" w:color="auto" w:fill="BAD3EA"/>
          </w:tcPr>
          <w:p>
            <w:pPr>
              <w:spacing w:after="0"/>
              <w:rPr>
                <w:sz w:val="3"/>
                <w:szCs w:val="3"/>
                <w:color w:val="auto"/>
              </w:rPr>
            </w:pPr>
          </w:p>
        </w:tc>
        <w:tc>
          <w:tcPr>
            <w:tcW w:w="600" w:type="dxa"/>
            <w:vAlign w:val="bottom"/>
            <w:vMerge w:val="continue"/>
            <w:shd w:val="clear" w:color="auto" w:fill="BAD3EA"/>
          </w:tcPr>
          <w:p>
            <w:pPr>
              <w:spacing w:after="0"/>
              <w:rPr>
                <w:sz w:val="3"/>
                <w:szCs w:val="3"/>
                <w:color w:val="auto"/>
              </w:rPr>
            </w:pPr>
          </w:p>
        </w:tc>
        <w:tc>
          <w:tcPr>
            <w:tcW w:w="780" w:type="dxa"/>
            <w:vAlign w:val="bottom"/>
            <w:shd w:val="clear" w:color="auto" w:fill="BAD3EA"/>
          </w:tcPr>
          <w:p>
            <w:pPr>
              <w:spacing w:after="0"/>
              <w:rPr>
                <w:sz w:val="3"/>
                <w:szCs w:val="3"/>
                <w:color w:val="auto"/>
              </w:rPr>
            </w:pPr>
          </w:p>
        </w:tc>
        <w:tc>
          <w:tcPr>
            <w:tcW w:w="820" w:type="dxa"/>
            <w:vAlign w:val="bottom"/>
            <w:shd w:val="clear" w:color="auto" w:fill="BAD3EA"/>
          </w:tcPr>
          <w:p>
            <w:pPr>
              <w:spacing w:after="0"/>
              <w:rPr>
                <w:sz w:val="3"/>
                <w:szCs w:val="3"/>
                <w:color w:val="auto"/>
              </w:rPr>
            </w:pPr>
          </w:p>
        </w:tc>
        <w:tc>
          <w:tcPr>
            <w:tcW w:w="620" w:type="dxa"/>
            <w:vAlign w:val="bottom"/>
            <w:shd w:val="clear" w:color="auto" w:fill="BAD3EA"/>
          </w:tcPr>
          <w:p>
            <w:pPr>
              <w:spacing w:after="0"/>
              <w:rPr>
                <w:sz w:val="3"/>
                <w:szCs w:val="3"/>
                <w:color w:val="auto"/>
              </w:rPr>
            </w:pPr>
          </w:p>
        </w:tc>
        <w:tc>
          <w:tcPr>
            <w:tcW w:w="160" w:type="dxa"/>
            <w:vAlign w:val="bottom"/>
            <w:shd w:val="clear" w:color="auto" w:fill="BAD3EA"/>
          </w:tcPr>
          <w:p>
            <w:pPr>
              <w:spacing w:after="0"/>
              <w:rPr>
                <w:sz w:val="3"/>
                <w:szCs w:val="3"/>
                <w:color w:val="auto"/>
              </w:rPr>
            </w:pPr>
          </w:p>
        </w:tc>
        <w:tc>
          <w:tcPr>
            <w:tcW w:w="660" w:type="dxa"/>
            <w:vAlign w:val="bottom"/>
            <w:shd w:val="clear" w:color="auto" w:fill="BAD3EA"/>
          </w:tcPr>
          <w:p>
            <w:pPr>
              <w:spacing w:after="0"/>
              <w:rPr>
                <w:sz w:val="3"/>
                <w:szCs w:val="3"/>
                <w:color w:val="auto"/>
              </w:rPr>
            </w:pPr>
          </w:p>
        </w:tc>
        <w:tc>
          <w:tcPr>
            <w:tcW w:w="740" w:type="dxa"/>
            <w:vAlign w:val="bottom"/>
            <w:shd w:val="clear" w:color="auto" w:fill="BAD3EA"/>
          </w:tcPr>
          <w:p>
            <w:pPr>
              <w:spacing w:after="0"/>
              <w:rPr>
                <w:sz w:val="3"/>
                <w:szCs w:val="3"/>
                <w:color w:val="auto"/>
              </w:rPr>
            </w:pPr>
          </w:p>
        </w:tc>
        <w:tc>
          <w:tcPr>
            <w:tcW w:w="160" w:type="dxa"/>
            <w:vAlign w:val="bottom"/>
            <w:shd w:val="clear" w:color="auto" w:fill="BAD3EA"/>
          </w:tcPr>
          <w:p>
            <w:pPr>
              <w:spacing w:after="0"/>
              <w:rPr>
                <w:sz w:val="3"/>
                <w:szCs w:val="3"/>
                <w:color w:val="auto"/>
              </w:rPr>
            </w:pPr>
          </w:p>
        </w:tc>
        <w:tc>
          <w:tcPr>
            <w:tcW w:w="760" w:type="dxa"/>
            <w:vAlign w:val="bottom"/>
            <w:shd w:val="clear" w:color="auto" w:fill="BAD3EA"/>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160" w:type="dxa"/>
            <w:vAlign w:val="bottom"/>
            <w:shd w:val="clear" w:color="auto" w:fill="BAD3EA"/>
          </w:tcPr>
          <w:p>
            <w:pPr>
              <w:spacing w:after="0"/>
              <w:rPr>
                <w:sz w:val="16"/>
                <w:szCs w:val="16"/>
                <w:color w:val="auto"/>
              </w:rPr>
            </w:pPr>
          </w:p>
        </w:tc>
        <w:tc>
          <w:tcPr>
            <w:tcW w:w="820" w:type="dxa"/>
            <w:vAlign w:val="bottom"/>
            <w:shd w:val="clear" w:color="auto" w:fill="BAD3EA"/>
          </w:tcPr>
          <w:p>
            <w:pPr>
              <w:jc w:val="right"/>
              <w:spacing w:after="0"/>
              <w:rPr>
                <w:sz w:val="20"/>
                <w:szCs w:val="20"/>
                <w:color w:val="auto"/>
              </w:rPr>
            </w:pPr>
            <w:r>
              <w:rPr>
                <w:rFonts w:ascii="Arial" w:cs="Arial" w:eastAsia="Arial" w:hAnsi="Arial"/>
                <w:sz w:val="13"/>
                <w:szCs w:val="13"/>
                <w:color w:val="auto"/>
              </w:rPr>
              <w:t>2/22/2016</w:t>
            </w:r>
          </w:p>
        </w:tc>
        <w:tc>
          <w:tcPr>
            <w:tcW w:w="420" w:type="dxa"/>
            <w:vAlign w:val="bottom"/>
            <w:shd w:val="clear" w:color="auto" w:fill="BAD3EA"/>
          </w:tcPr>
          <w:p>
            <w:pPr>
              <w:jc w:val="center"/>
              <w:ind w:left="17"/>
              <w:spacing w:after="0"/>
              <w:rPr>
                <w:sz w:val="20"/>
                <w:szCs w:val="20"/>
                <w:color w:val="auto"/>
              </w:rPr>
            </w:pPr>
            <w:r>
              <w:rPr>
                <w:rFonts w:ascii="Arial" w:cs="Arial" w:eastAsia="Arial" w:hAnsi="Arial"/>
                <w:sz w:val="13"/>
                <w:szCs w:val="13"/>
                <w:color w:val="auto"/>
                <w:w w:val="87"/>
              </w:rPr>
              <w:t>(3)</w:t>
            </w:r>
          </w:p>
        </w:tc>
        <w:tc>
          <w:tcPr>
            <w:tcW w:w="180" w:type="dxa"/>
            <w:vAlign w:val="bottom"/>
            <w:shd w:val="clear" w:color="auto" w:fill="BAD3EA"/>
          </w:tcPr>
          <w:p>
            <w:pPr>
              <w:spacing w:after="0"/>
              <w:rPr>
                <w:sz w:val="16"/>
                <w:szCs w:val="16"/>
                <w:color w:val="auto"/>
              </w:rPr>
            </w:pPr>
          </w:p>
        </w:tc>
        <w:tc>
          <w:tcPr>
            <w:tcW w:w="1140" w:type="dxa"/>
            <w:vAlign w:val="bottom"/>
            <w:vMerge w:val="restart"/>
            <w:shd w:val="clear" w:color="auto" w:fill="BAD3EA"/>
          </w:tcPr>
          <w:p>
            <w:pPr>
              <w:jc w:val="right"/>
              <w:ind w:right="7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BAD3EA"/>
          </w:tcPr>
          <w:p>
            <w:pPr>
              <w:jc w:val="center"/>
              <w:ind w:right="177"/>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BAD3EA"/>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BAD3EA"/>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shd w:val="clear" w:color="auto" w:fill="BAD3EA"/>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BAD3EA"/>
          </w:tcPr>
          <w:p>
            <w:pPr>
              <w:spacing w:after="0"/>
              <w:rPr>
                <w:sz w:val="16"/>
                <w:szCs w:val="16"/>
                <w:color w:val="auto"/>
              </w:rPr>
            </w:pPr>
          </w:p>
        </w:tc>
        <w:tc>
          <w:tcPr>
            <w:tcW w:w="660" w:type="dxa"/>
            <w:vAlign w:val="bottom"/>
            <w:shd w:val="clear" w:color="auto" w:fill="BAD3EA"/>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BAD3EA"/>
          </w:tcPr>
          <w:p>
            <w:pPr>
              <w:jc w:val="right"/>
              <w:ind w:right="37"/>
              <w:spacing w:after="0"/>
              <w:rPr>
                <w:sz w:val="20"/>
                <w:szCs w:val="20"/>
                <w:color w:val="auto"/>
              </w:rPr>
            </w:pPr>
            <w:r>
              <w:rPr>
                <w:rFonts w:ascii="Arial" w:cs="Arial" w:eastAsia="Arial" w:hAnsi="Arial"/>
                <w:sz w:val="13"/>
                <w:szCs w:val="13"/>
                <w:color w:val="auto"/>
              </w:rPr>
              <w:t>2,482</w:t>
            </w:r>
          </w:p>
        </w:tc>
        <w:tc>
          <w:tcPr>
            <w:tcW w:w="160" w:type="dxa"/>
            <w:vAlign w:val="bottom"/>
            <w:shd w:val="clear" w:color="auto" w:fill="BAD3EA"/>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BAD3EA"/>
          </w:tcPr>
          <w:p>
            <w:pPr>
              <w:jc w:val="right"/>
              <w:ind w:right="57"/>
              <w:spacing w:after="0"/>
              <w:rPr>
                <w:sz w:val="20"/>
                <w:szCs w:val="20"/>
                <w:color w:val="auto"/>
              </w:rPr>
            </w:pPr>
            <w:r>
              <w:rPr>
                <w:rFonts w:ascii="Arial" w:cs="Arial" w:eastAsia="Arial" w:hAnsi="Arial"/>
                <w:sz w:val="13"/>
                <w:szCs w:val="13"/>
                <w:color w:val="auto"/>
              </w:rPr>
              <w:t>746,883</w:t>
            </w:r>
          </w:p>
        </w:tc>
        <w:tc>
          <w:tcPr>
            <w:tcW w:w="0" w:type="dxa"/>
            <w:vAlign w:val="bottom"/>
          </w:tcPr>
          <w:p>
            <w:pPr>
              <w:spacing w:after="0"/>
              <w:rPr>
                <w:sz w:val="1"/>
                <w:szCs w:val="1"/>
                <w:color w:val="auto"/>
              </w:rPr>
            </w:pPr>
          </w:p>
        </w:tc>
      </w:tr>
      <w:tr>
        <w:trPr>
          <w:trHeight w:val="43"/>
        </w:trPr>
        <w:tc>
          <w:tcPr>
            <w:tcW w:w="3160" w:type="dxa"/>
            <w:vAlign w:val="bottom"/>
            <w:shd w:val="clear" w:color="auto" w:fill="BAD3EA"/>
          </w:tcPr>
          <w:p>
            <w:pPr>
              <w:spacing w:after="0"/>
              <w:rPr>
                <w:sz w:val="3"/>
                <w:szCs w:val="3"/>
                <w:color w:val="auto"/>
              </w:rPr>
            </w:pPr>
          </w:p>
        </w:tc>
        <w:tc>
          <w:tcPr>
            <w:tcW w:w="820" w:type="dxa"/>
            <w:vAlign w:val="bottom"/>
            <w:shd w:val="clear" w:color="auto" w:fill="BAD3EA"/>
          </w:tcPr>
          <w:p>
            <w:pPr>
              <w:spacing w:after="0"/>
              <w:rPr>
                <w:sz w:val="3"/>
                <w:szCs w:val="3"/>
                <w:color w:val="auto"/>
              </w:rPr>
            </w:pPr>
          </w:p>
        </w:tc>
        <w:tc>
          <w:tcPr>
            <w:tcW w:w="420" w:type="dxa"/>
            <w:vAlign w:val="bottom"/>
            <w:shd w:val="clear" w:color="auto" w:fill="BAD3EA"/>
          </w:tcPr>
          <w:p>
            <w:pPr>
              <w:spacing w:after="0"/>
              <w:rPr>
                <w:sz w:val="3"/>
                <w:szCs w:val="3"/>
                <w:color w:val="auto"/>
              </w:rPr>
            </w:pPr>
          </w:p>
        </w:tc>
        <w:tc>
          <w:tcPr>
            <w:tcW w:w="180" w:type="dxa"/>
            <w:vAlign w:val="bottom"/>
            <w:shd w:val="clear" w:color="auto" w:fill="BAD3EA"/>
          </w:tcPr>
          <w:p>
            <w:pPr>
              <w:spacing w:after="0"/>
              <w:rPr>
                <w:sz w:val="3"/>
                <w:szCs w:val="3"/>
                <w:color w:val="auto"/>
              </w:rPr>
            </w:pPr>
          </w:p>
        </w:tc>
        <w:tc>
          <w:tcPr>
            <w:tcW w:w="1140" w:type="dxa"/>
            <w:vAlign w:val="bottom"/>
            <w:vMerge w:val="continue"/>
            <w:shd w:val="clear" w:color="auto" w:fill="BAD3EA"/>
          </w:tcPr>
          <w:p>
            <w:pPr>
              <w:spacing w:after="0"/>
              <w:rPr>
                <w:sz w:val="3"/>
                <w:szCs w:val="3"/>
                <w:color w:val="auto"/>
              </w:rPr>
            </w:pPr>
          </w:p>
        </w:tc>
        <w:tc>
          <w:tcPr>
            <w:tcW w:w="600" w:type="dxa"/>
            <w:vAlign w:val="bottom"/>
            <w:vMerge w:val="continue"/>
            <w:shd w:val="clear" w:color="auto" w:fill="BAD3EA"/>
          </w:tcPr>
          <w:p>
            <w:pPr>
              <w:spacing w:after="0"/>
              <w:rPr>
                <w:sz w:val="3"/>
                <w:szCs w:val="3"/>
                <w:color w:val="auto"/>
              </w:rPr>
            </w:pPr>
          </w:p>
        </w:tc>
        <w:tc>
          <w:tcPr>
            <w:tcW w:w="780" w:type="dxa"/>
            <w:vAlign w:val="bottom"/>
            <w:shd w:val="clear" w:color="auto" w:fill="BAD3EA"/>
          </w:tcPr>
          <w:p>
            <w:pPr>
              <w:spacing w:after="0"/>
              <w:rPr>
                <w:sz w:val="3"/>
                <w:szCs w:val="3"/>
                <w:color w:val="auto"/>
              </w:rPr>
            </w:pPr>
          </w:p>
        </w:tc>
        <w:tc>
          <w:tcPr>
            <w:tcW w:w="820" w:type="dxa"/>
            <w:vAlign w:val="bottom"/>
            <w:shd w:val="clear" w:color="auto" w:fill="BAD3EA"/>
          </w:tcPr>
          <w:p>
            <w:pPr>
              <w:spacing w:after="0"/>
              <w:rPr>
                <w:sz w:val="3"/>
                <w:szCs w:val="3"/>
                <w:color w:val="auto"/>
              </w:rPr>
            </w:pPr>
          </w:p>
        </w:tc>
        <w:tc>
          <w:tcPr>
            <w:tcW w:w="620" w:type="dxa"/>
            <w:vAlign w:val="bottom"/>
            <w:shd w:val="clear" w:color="auto" w:fill="BAD3EA"/>
          </w:tcPr>
          <w:p>
            <w:pPr>
              <w:spacing w:after="0"/>
              <w:rPr>
                <w:sz w:val="3"/>
                <w:szCs w:val="3"/>
                <w:color w:val="auto"/>
              </w:rPr>
            </w:pPr>
          </w:p>
        </w:tc>
        <w:tc>
          <w:tcPr>
            <w:tcW w:w="160" w:type="dxa"/>
            <w:vAlign w:val="bottom"/>
            <w:shd w:val="clear" w:color="auto" w:fill="BAD3EA"/>
          </w:tcPr>
          <w:p>
            <w:pPr>
              <w:spacing w:after="0"/>
              <w:rPr>
                <w:sz w:val="3"/>
                <w:szCs w:val="3"/>
                <w:color w:val="auto"/>
              </w:rPr>
            </w:pPr>
          </w:p>
        </w:tc>
        <w:tc>
          <w:tcPr>
            <w:tcW w:w="660" w:type="dxa"/>
            <w:vAlign w:val="bottom"/>
            <w:shd w:val="clear" w:color="auto" w:fill="BAD3EA"/>
          </w:tcPr>
          <w:p>
            <w:pPr>
              <w:spacing w:after="0"/>
              <w:rPr>
                <w:sz w:val="3"/>
                <w:szCs w:val="3"/>
                <w:color w:val="auto"/>
              </w:rPr>
            </w:pPr>
          </w:p>
        </w:tc>
        <w:tc>
          <w:tcPr>
            <w:tcW w:w="740" w:type="dxa"/>
            <w:vAlign w:val="bottom"/>
            <w:shd w:val="clear" w:color="auto" w:fill="BAD3EA"/>
          </w:tcPr>
          <w:p>
            <w:pPr>
              <w:spacing w:after="0"/>
              <w:rPr>
                <w:sz w:val="3"/>
                <w:szCs w:val="3"/>
                <w:color w:val="auto"/>
              </w:rPr>
            </w:pPr>
          </w:p>
        </w:tc>
        <w:tc>
          <w:tcPr>
            <w:tcW w:w="160" w:type="dxa"/>
            <w:vAlign w:val="bottom"/>
            <w:shd w:val="clear" w:color="auto" w:fill="BAD3EA"/>
          </w:tcPr>
          <w:p>
            <w:pPr>
              <w:spacing w:after="0"/>
              <w:rPr>
                <w:sz w:val="3"/>
                <w:szCs w:val="3"/>
                <w:color w:val="auto"/>
              </w:rPr>
            </w:pPr>
          </w:p>
        </w:tc>
        <w:tc>
          <w:tcPr>
            <w:tcW w:w="760" w:type="dxa"/>
            <w:vAlign w:val="bottom"/>
            <w:shd w:val="clear" w:color="auto" w:fill="BAD3EA"/>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160" w:type="dxa"/>
            <w:vAlign w:val="bottom"/>
            <w:shd w:val="clear" w:color="auto" w:fill="BAD3EA"/>
          </w:tcPr>
          <w:p>
            <w:pPr>
              <w:spacing w:after="0"/>
              <w:rPr>
                <w:sz w:val="16"/>
                <w:szCs w:val="16"/>
                <w:color w:val="auto"/>
              </w:rPr>
            </w:pPr>
          </w:p>
        </w:tc>
        <w:tc>
          <w:tcPr>
            <w:tcW w:w="820" w:type="dxa"/>
            <w:vAlign w:val="bottom"/>
            <w:shd w:val="clear" w:color="auto" w:fill="BAD3EA"/>
          </w:tcPr>
          <w:p>
            <w:pPr>
              <w:jc w:val="right"/>
              <w:spacing w:after="0"/>
              <w:rPr>
                <w:sz w:val="20"/>
                <w:szCs w:val="20"/>
                <w:color w:val="auto"/>
              </w:rPr>
            </w:pPr>
            <w:r>
              <w:rPr>
                <w:rFonts w:ascii="Arial" w:cs="Arial" w:eastAsia="Arial" w:hAnsi="Arial"/>
                <w:sz w:val="13"/>
                <w:szCs w:val="13"/>
                <w:color w:val="auto"/>
              </w:rPr>
              <w:t>2/15/2017</w:t>
            </w:r>
          </w:p>
        </w:tc>
        <w:tc>
          <w:tcPr>
            <w:tcW w:w="420" w:type="dxa"/>
            <w:vAlign w:val="bottom"/>
            <w:shd w:val="clear" w:color="auto" w:fill="BAD3EA"/>
          </w:tcPr>
          <w:p>
            <w:pPr>
              <w:jc w:val="center"/>
              <w:ind w:left="17"/>
              <w:spacing w:after="0"/>
              <w:rPr>
                <w:sz w:val="20"/>
                <w:szCs w:val="20"/>
                <w:color w:val="auto"/>
              </w:rPr>
            </w:pPr>
            <w:r>
              <w:rPr>
                <w:rFonts w:ascii="Arial" w:cs="Arial" w:eastAsia="Arial" w:hAnsi="Arial"/>
                <w:sz w:val="13"/>
                <w:szCs w:val="13"/>
                <w:color w:val="auto"/>
                <w:w w:val="87"/>
              </w:rPr>
              <w:t>(2)</w:t>
            </w:r>
          </w:p>
        </w:tc>
        <w:tc>
          <w:tcPr>
            <w:tcW w:w="180" w:type="dxa"/>
            <w:vAlign w:val="bottom"/>
            <w:shd w:val="clear" w:color="auto" w:fill="BAD3EA"/>
          </w:tcPr>
          <w:p>
            <w:pPr>
              <w:spacing w:after="0"/>
              <w:rPr>
                <w:sz w:val="16"/>
                <w:szCs w:val="16"/>
                <w:color w:val="auto"/>
              </w:rPr>
            </w:pPr>
          </w:p>
        </w:tc>
        <w:tc>
          <w:tcPr>
            <w:tcW w:w="1140" w:type="dxa"/>
            <w:vAlign w:val="bottom"/>
            <w:vMerge w:val="restart"/>
            <w:shd w:val="clear" w:color="auto" w:fill="BAD3EA"/>
          </w:tcPr>
          <w:p>
            <w:pPr>
              <w:jc w:val="right"/>
              <w:ind w:right="7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BAD3EA"/>
          </w:tcPr>
          <w:p>
            <w:pPr>
              <w:jc w:val="center"/>
              <w:ind w:right="177"/>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BAD3EA"/>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BAD3EA"/>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shd w:val="clear" w:color="auto" w:fill="BAD3EA"/>
          </w:tcPr>
          <w:p>
            <w:pPr>
              <w:jc w:val="right"/>
              <w:spacing w:after="0"/>
              <w:rPr>
                <w:sz w:val="20"/>
                <w:szCs w:val="20"/>
                <w:color w:val="auto"/>
              </w:rPr>
            </w:pPr>
            <w:r>
              <w:rPr>
                <w:rFonts w:ascii="Arial" w:cs="Arial" w:eastAsia="Arial" w:hAnsi="Arial"/>
                <w:sz w:val="13"/>
                <w:szCs w:val="13"/>
                <w:color w:val="auto"/>
              </w:rPr>
              <w:t>4,504</w:t>
            </w:r>
          </w:p>
        </w:tc>
        <w:tc>
          <w:tcPr>
            <w:tcW w:w="160" w:type="dxa"/>
            <w:vAlign w:val="bottom"/>
            <w:shd w:val="clear" w:color="auto" w:fill="BAD3EA"/>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BAD3EA"/>
          </w:tcPr>
          <w:p>
            <w:pPr>
              <w:jc w:val="right"/>
              <w:ind w:right="37"/>
              <w:spacing w:after="0"/>
              <w:rPr>
                <w:sz w:val="20"/>
                <w:szCs w:val="20"/>
                <w:color w:val="auto"/>
              </w:rPr>
            </w:pPr>
            <w:r>
              <w:rPr>
                <w:rFonts w:ascii="Arial" w:cs="Arial" w:eastAsia="Arial" w:hAnsi="Arial"/>
                <w:sz w:val="13"/>
                <w:szCs w:val="13"/>
                <w:color w:val="auto"/>
                <w:w w:val="93"/>
              </w:rPr>
              <w:t>1,355,344</w:t>
            </w:r>
          </w:p>
        </w:tc>
        <w:tc>
          <w:tcPr>
            <w:tcW w:w="740" w:type="dxa"/>
            <w:vAlign w:val="bottom"/>
            <w:shd w:val="clear" w:color="auto" w:fill="BAD3EA"/>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shd w:val="clear" w:color="auto" w:fill="BAD3EA"/>
          </w:tcPr>
          <w:p>
            <w:pPr>
              <w:spacing w:after="0"/>
              <w:rPr>
                <w:sz w:val="16"/>
                <w:szCs w:val="16"/>
                <w:color w:val="auto"/>
              </w:rPr>
            </w:pPr>
          </w:p>
        </w:tc>
        <w:tc>
          <w:tcPr>
            <w:tcW w:w="760" w:type="dxa"/>
            <w:vAlign w:val="bottom"/>
            <w:shd w:val="clear" w:color="auto" w:fill="BAD3EA"/>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3"/>
        </w:trPr>
        <w:tc>
          <w:tcPr>
            <w:tcW w:w="3160" w:type="dxa"/>
            <w:vAlign w:val="bottom"/>
            <w:shd w:val="clear" w:color="auto" w:fill="BAD3EA"/>
          </w:tcPr>
          <w:p>
            <w:pPr>
              <w:spacing w:after="0"/>
              <w:rPr>
                <w:sz w:val="3"/>
                <w:szCs w:val="3"/>
                <w:color w:val="auto"/>
              </w:rPr>
            </w:pPr>
          </w:p>
        </w:tc>
        <w:tc>
          <w:tcPr>
            <w:tcW w:w="820" w:type="dxa"/>
            <w:vAlign w:val="bottom"/>
            <w:shd w:val="clear" w:color="auto" w:fill="BAD3EA"/>
          </w:tcPr>
          <w:p>
            <w:pPr>
              <w:spacing w:after="0"/>
              <w:rPr>
                <w:sz w:val="3"/>
                <w:szCs w:val="3"/>
                <w:color w:val="auto"/>
              </w:rPr>
            </w:pPr>
          </w:p>
        </w:tc>
        <w:tc>
          <w:tcPr>
            <w:tcW w:w="420" w:type="dxa"/>
            <w:vAlign w:val="bottom"/>
            <w:shd w:val="clear" w:color="auto" w:fill="BAD3EA"/>
          </w:tcPr>
          <w:p>
            <w:pPr>
              <w:spacing w:after="0"/>
              <w:rPr>
                <w:sz w:val="3"/>
                <w:szCs w:val="3"/>
                <w:color w:val="auto"/>
              </w:rPr>
            </w:pPr>
          </w:p>
        </w:tc>
        <w:tc>
          <w:tcPr>
            <w:tcW w:w="180" w:type="dxa"/>
            <w:vAlign w:val="bottom"/>
            <w:shd w:val="clear" w:color="auto" w:fill="BAD3EA"/>
          </w:tcPr>
          <w:p>
            <w:pPr>
              <w:spacing w:after="0"/>
              <w:rPr>
                <w:sz w:val="3"/>
                <w:szCs w:val="3"/>
                <w:color w:val="auto"/>
              </w:rPr>
            </w:pPr>
          </w:p>
        </w:tc>
        <w:tc>
          <w:tcPr>
            <w:tcW w:w="1140" w:type="dxa"/>
            <w:vAlign w:val="bottom"/>
            <w:vMerge w:val="continue"/>
            <w:shd w:val="clear" w:color="auto" w:fill="BAD3EA"/>
          </w:tcPr>
          <w:p>
            <w:pPr>
              <w:spacing w:after="0"/>
              <w:rPr>
                <w:sz w:val="3"/>
                <w:szCs w:val="3"/>
                <w:color w:val="auto"/>
              </w:rPr>
            </w:pPr>
          </w:p>
        </w:tc>
        <w:tc>
          <w:tcPr>
            <w:tcW w:w="600" w:type="dxa"/>
            <w:vAlign w:val="bottom"/>
            <w:vMerge w:val="continue"/>
            <w:shd w:val="clear" w:color="auto" w:fill="BAD3EA"/>
          </w:tcPr>
          <w:p>
            <w:pPr>
              <w:spacing w:after="0"/>
              <w:rPr>
                <w:sz w:val="3"/>
                <w:szCs w:val="3"/>
                <w:color w:val="auto"/>
              </w:rPr>
            </w:pPr>
          </w:p>
        </w:tc>
        <w:tc>
          <w:tcPr>
            <w:tcW w:w="780" w:type="dxa"/>
            <w:vAlign w:val="bottom"/>
            <w:shd w:val="clear" w:color="auto" w:fill="BAD3EA"/>
          </w:tcPr>
          <w:p>
            <w:pPr>
              <w:spacing w:after="0"/>
              <w:rPr>
                <w:sz w:val="3"/>
                <w:szCs w:val="3"/>
                <w:color w:val="auto"/>
              </w:rPr>
            </w:pPr>
          </w:p>
        </w:tc>
        <w:tc>
          <w:tcPr>
            <w:tcW w:w="820" w:type="dxa"/>
            <w:vAlign w:val="bottom"/>
            <w:shd w:val="clear" w:color="auto" w:fill="BAD3EA"/>
          </w:tcPr>
          <w:p>
            <w:pPr>
              <w:spacing w:after="0"/>
              <w:rPr>
                <w:sz w:val="3"/>
                <w:szCs w:val="3"/>
                <w:color w:val="auto"/>
              </w:rPr>
            </w:pPr>
          </w:p>
        </w:tc>
        <w:tc>
          <w:tcPr>
            <w:tcW w:w="620" w:type="dxa"/>
            <w:vAlign w:val="bottom"/>
            <w:shd w:val="clear" w:color="auto" w:fill="BAD3EA"/>
          </w:tcPr>
          <w:p>
            <w:pPr>
              <w:spacing w:after="0"/>
              <w:rPr>
                <w:sz w:val="3"/>
                <w:szCs w:val="3"/>
                <w:color w:val="auto"/>
              </w:rPr>
            </w:pPr>
          </w:p>
        </w:tc>
        <w:tc>
          <w:tcPr>
            <w:tcW w:w="160" w:type="dxa"/>
            <w:vAlign w:val="bottom"/>
            <w:shd w:val="clear" w:color="auto" w:fill="BAD3EA"/>
          </w:tcPr>
          <w:p>
            <w:pPr>
              <w:spacing w:after="0"/>
              <w:rPr>
                <w:sz w:val="3"/>
                <w:szCs w:val="3"/>
                <w:color w:val="auto"/>
              </w:rPr>
            </w:pPr>
          </w:p>
        </w:tc>
        <w:tc>
          <w:tcPr>
            <w:tcW w:w="660" w:type="dxa"/>
            <w:vAlign w:val="bottom"/>
            <w:shd w:val="clear" w:color="auto" w:fill="BAD3EA"/>
          </w:tcPr>
          <w:p>
            <w:pPr>
              <w:spacing w:after="0"/>
              <w:rPr>
                <w:sz w:val="3"/>
                <w:szCs w:val="3"/>
                <w:color w:val="auto"/>
              </w:rPr>
            </w:pPr>
          </w:p>
        </w:tc>
        <w:tc>
          <w:tcPr>
            <w:tcW w:w="740" w:type="dxa"/>
            <w:vAlign w:val="bottom"/>
            <w:shd w:val="clear" w:color="auto" w:fill="BAD3EA"/>
          </w:tcPr>
          <w:p>
            <w:pPr>
              <w:spacing w:after="0"/>
              <w:rPr>
                <w:sz w:val="3"/>
                <w:szCs w:val="3"/>
                <w:color w:val="auto"/>
              </w:rPr>
            </w:pPr>
          </w:p>
        </w:tc>
        <w:tc>
          <w:tcPr>
            <w:tcW w:w="160" w:type="dxa"/>
            <w:vAlign w:val="bottom"/>
            <w:shd w:val="clear" w:color="auto" w:fill="BAD3EA"/>
          </w:tcPr>
          <w:p>
            <w:pPr>
              <w:spacing w:after="0"/>
              <w:rPr>
                <w:sz w:val="3"/>
                <w:szCs w:val="3"/>
                <w:color w:val="auto"/>
              </w:rPr>
            </w:pPr>
          </w:p>
        </w:tc>
        <w:tc>
          <w:tcPr>
            <w:tcW w:w="760" w:type="dxa"/>
            <w:vAlign w:val="bottom"/>
            <w:shd w:val="clear" w:color="auto" w:fill="BAD3EA"/>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160" w:type="dxa"/>
            <w:vAlign w:val="bottom"/>
            <w:shd w:val="clear" w:color="auto" w:fill="BAD3EA"/>
          </w:tcPr>
          <w:p>
            <w:pPr>
              <w:spacing w:after="0"/>
              <w:rPr>
                <w:sz w:val="16"/>
                <w:szCs w:val="16"/>
                <w:color w:val="auto"/>
              </w:rPr>
            </w:pPr>
          </w:p>
        </w:tc>
        <w:tc>
          <w:tcPr>
            <w:tcW w:w="820" w:type="dxa"/>
            <w:vAlign w:val="bottom"/>
            <w:shd w:val="clear" w:color="auto" w:fill="BAD3EA"/>
          </w:tcPr>
          <w:p>
            <w:pPr>
              <w:jc w:val="right"/>
              <w:spacing w:after="0"/>
              <w:rPr>
                <w:sz w:val="20"/>
                <w:szCs w:val="20"/>
                <w:color w:val="auto"/>
              </w:rPr>
            </w:pPr>
            <w:r>
              <w:rPr>
                <w:rFonts w:ascii="Arial" w:cs="Arial" w:eastAsia="Arial" w:hAnsi="Arial"/>
                <w:sz w:val="13"/>
                <w:szCs w:val="13"/>
                <w:color w:val="auto"/>
              </w:rPr>
              <w:t>2/15/2017</w:t>
            </w:r>
          </w:p>
        </w:tc>
        <w:tc>
          <w:tcPr>
            <w:tcW w:w="420" w:type="dxa"/>
            <w:vAlign w:val="bottom"/>
            <w:shd w:val="clear" w:color="auto" w:fill="BAD3EA"/>
          </w:tcPr>
          <w:p>
            <w:pPr>
              <w:jc w:val="center"/>
              <w:ind w:left="17"/>
              <w:spacing w:after="0"/>
              <w:rPr>
                <w:sz w:val="20"/>
                <w:szCs w:val="20"/>
                <w:color w:val="auto"/>
              </w:rPr>
            </w:pPr>
            <w:r>
              <w:rPr>
                <w:rFonts w:ascii="Arial" w:cs="Arial" w:eastAsia="Arial" w:hAnsi="Arial"/>
                <w:sz w:val="13"/>
                <w:szCs w:val="13"/>
                <w:color w:val="auto"/>
                <w:w w:val="87"/>
              </w:rPr>
              <w:t>(3)</w:t>
            </w:r>
          </w:p>
        </w:tc>
        <w:tc>
          <w:tcPr>
            <w:tcW w:w="180" w:type="dxa"/>
            <w:vAlign w:val="bottom"/>
            <w:shd w:val="clear" w:color="auto" w:fill="BAD3EA"/>
          </w:tcPr>
          <w:p>
            <w:pPr>
              <w:spacing w:after="0"/>
              <w:rPr>
                <w:sz w:val="16"/>
                <w:szCs w:val="16"/>
                <w:color w:val="auto"/>
              </w:rPr>
            </w:pPr>
          </w:p>
        </w:tc>
        <w:tc>
          <w:tcPr>
            <w:tcW w:w="1140" w:type="dxa"/>
            <w:vAlign w:val="bottom"/>
            <w:vMerge w:val="restart"/>
            <w:shd w:val="clear" w:color="auto" w:fill="BAD3EA"/>
          </w:tcPr>
          <w:p>
            <w:pPr>
              <w:jc w:val="right"/>
              <w:ind w:right="7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BAD3EA"/>
          </w:tcPr>
          <w:p>
            <w:pPr>
              <w:jc w:val="center"/>
              <w:ind w:right="177"/>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BAD3EA"/>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BAD3EA"/>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shd w:val="clear" w:color="auto" w:fill="BAD3EA"/>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BAD3EA"/>
          </w:tcPr>
          <w:p>
            <w:pPr>
              <w:spacing w:after="0"/>
              <w:rPr>
                <w:sz w:val="16"/>
                <w:szCs w:val="16"/>
                <w:color w:val="auto"/>
              </w:rPr>
            </w:pPr>
          </w:p>
        </w:tc>
        <w:tc>
          <w:tcPr>
            <w:tcW w:w="660" w:type="dxa"/>
            <w:vAlign w:val="bottom"/>
            <w:shd w:val="clear" w:color="auto" w:fill="BAD3EA"/>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BAD3EA"/>
          </w:tcPr>
          <w:p>
            <w:pPr>
              <w:jc w:val="right"/>
              <w:ind w:right="37"/>
              <w:spacing w:after="0"/>
              <w:rPr>
                <w:sz w:val="20"/>
                <w:szCs w:val="20"/>
                <w:color w:val="auto"/>
              </w:rPr>
            </w:pPr>
            <w:r>
              <w:rPr>
                <w:rFonts w:ascii="Arial" w:cs="Arial" w:eastAsia="Arial" w:hAnsi="Arial"/>
                <w:sz w:val="13"/>
                <w:szCs w:val="13"/>
                <w:color w:val="auto"/>
              </w:rPr>
              <w:t>5,442</w:t>
            </w:r>
          </w:p>
        </w:tc>
        <w:tc>
          <w:tcPr>
            <w:tcW w:w="160" w:type="dxa"/>
            <w:vAlign w:val="bottom"/>
            <w:shd w:val="clear" w:color="auto" w:fill="BAD3EA"/>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BAD3EA"/>
          </w:tcPr>
          <w:p>
            <w:pPr>
              <w:jc w:val="right"/>
              <w:ind w:right="57"/>
              <w:spacing w:after="0"/>
              <w:rPr>
                <w:sz w:val="20"/>
                <w:szCs w:val="20"/>
                <w:color w:val="auto"/>
              </w:rPr>
            </w:pPr>
            <w:r>
              <w:rPr>
                <w:rFonts w:ascii="Arial" w:cs="Arial" w:eastAsia="Arial" w:hAnsi="Arial"/>
                <w:sz w:val="13"/>
                <w:szCs w:val="13"/>
                <w:color w:val="auto"/>
              </w:rPr>
              <w:t>1,637,607</w:t>
            </w:r>
          </w:p>
        </w:tc>
        <w:tc>
          <w:tcPr>
            <w:tcW w:w="0" w:type="dxa"/>
            <w:vAlign w:val="bottom"/>
          </w:tcPr>
          <w:p>
            <w:pPr>
              <w:spacing w:after="0"/>
              <w:rPr>
                <w:sz w:val="1"/>
                <w:szCs w:val="1"/>
                <w:color w:val="auto"/>
              </w:rPr>
            </w:pPr>
          </w:p>
        </w:tc>
      </w:tr>
      <w:tr>
        <w:trPr>
          <w:trHeight w:val="43"/>
        </w:trPr>
        <w:tc>
          <w:tcPr>
            <w:tcW w:w="3160" w:type="dxa"/>
            <w:vAlign w:val="bottom"/>
            <w:shd w:val="clear" w:color="auto" w:fill="BAD3EA"/>
          </w:tcPr>
          <w:p>
            <w:pPr>
              <w:spacing w:after="0"/>
              <w:rPr>
                <w:sz w:val="3"/>
                <w:szCs w:val="3"/>
                <w:color w:val="auto"/>
              </w:rPr>
            </w:pPr>
          </w:p>
        </w:tc>
        <w:tc>
          <w:tcPr>
            <w:tcW w:w="820" w:type="dxa"/>
            <w:vAlign w:val="bottom"/>
            <w:shd w:val="clear" w:color="auto" w:fill="BAD3EA"/>
          </w:tcPr>
          <w:p>
            <w:pPr>
              <w:spacing w:after="0"/>
              <w:rPr>
                <w:sz w:val="3"/>
                <w:szCs w:val="3"/>
                <w:color w:val="auto"/>
              </w:rPr>
            </w:pPr>
          </w:p>
        </w:tc>
        <w:tc>
          <w:tcPr>
            <w:tcW w:w="420" w:type="dxa"/>
            <w:vAlign w:val="bottom"/>
            <w:shd w:val="clear" w:color="auto" w:fill="BAD3EA"/>
          </w:tcPr>
          <w:p>
            <w:pPr>
              <w:spacing w:after="0"/>
              <w:rPr>
                <w:sz w:val="3"/>
                <w:szCs w:val="3"/>
                <w:color w:val="auto"/>
              </w:rPr>
            </w:pPr>
          </w:p>
        </w:tc>
        <w:tc>
          <w:tcPr>
            <w:tcW w:w="180" w:type="dxa"/>
            <w:vAlign w:val="bottom"/>
            <w:shd w:val="clear" w:color="auto" w:fill="BAD3EA"/>
          </w:tcPr>
          <w:p>
            <w:pPr>
              <w:spacing w:after="0"/>
              <w:rPr>
                <w:sz w:val="3"/>
                <w:szCs w:val="3"/>
                <w:color w:val="auto"/>
              </w:rPr>
            </w:pPr>
          </w:p>
        </w:tc>
        <w:tc>
          <w:tcPr>
            <w:tcW w:w="1140" w:type="dxa"/>
            <w:vAlign w:val="bottom"/>
            <w:vMerge w:val="continue"/>
            <w:shd w:val="clear" w:color="auto" w:fill="BAD3EA"/>
          </w:tcPr>
          <w:p>
            <w:pPr>
              <w:spacing w:after="0"/>
              <w:rPr>
                <w:sz w:val="3"/>
                <w:szCs w:val="3"/>
                <w:color w:val="auto"/>
              </w:rPr>
            </w:pPr>
          </w:p>
        </w:tc>
        <w:tc>
          <w:tcPr>
            <w:tcW w:w="600" w:type="dxa"/>
            <w:vAlign w:val="bottom"/>
            <w:vMerge w:val="continue"/>
            <w:shd w:val="clear" w:color="auto" w:fill="BAD3EA"/>
          </w:tcPr>
          <w:p>
            <w:pPr>
              <w:spacing w:after="0"/>
              <w:rPr>
                <w:sz w:val="3"/>
                <w:szCs w:val="3"/>
                <w:color w:val="auto"/>
              </w:rPr>
            </w:pPr>
          </w:p>
        </w:tc>
        <w:tc>
          <w:tcPr>
            <w:tcW w:w="780" w:type="dxa"/>
            <w:vAlign w:val="bottom"/>
            <w:shd w:val="clear" w:color="auto" w:fill="BAD3EA"/>
          </w:tcPr>
          <w:p>
            <w:pPr>
              <w:spacing w:after="0"/>
              <w:rPr>
                <w:sz w:val="3"/>
                <w:szCs w:val="3"/>
                <w:color w:val="auto"/>
              </w:rPr>
            </w:pPr>
          </w:p>
        </w:tc>
        <w:tc>
          <w:tcPr>
            <w:tcW w:w="820" w:type="dxa"/>
            <w:vAlign w:val="bottom"/>
            <w:shd w:val="clear" w:color="auto" w:fill="BAD3EA"/>
          </w:tcPr>
          <w:p>
            <w:pPr>
              <w:spacing w:after="0"/>
              <w:rPr>
                <w:sz w:val="3"/>
                <w:szCs w:val="3"/>
                <w:color w:val="auto"/>
              </w:rPr>
            </w:pPr>
          </w:p>
        </w:tc>
        <w:tc>
          <w:tcPr>
            <w:tcW w:w="620" w:type="dxa"/>
            <w:vAlign w:val="bottom"/>
            <w:shd w:val="clear" w:color="auto" w:fill="BAD3EA"/>
          </w:tcPr>
          <w:p>
            <w:pPr>
              <w:spacing w:after="0"/>
              <w:rPr>
                <w:sz w:val="3"/>
                <w:szCs w:val="3"/>
                <w:color w:val="auto"/>
              </w:rPr>
            </w:pPr>
          </w:p>
        </w:tc>
        <w:tc>
          <w:tcPr>
            <w:tcW w:w="160" w:type="dxa"/>
            <w:vAlign w:val="bottom"/>
            <w:shd w:val="clear" w:color="auto" w:fill="BAD3EA"/>
          </w:tcPr>
          <w:p>
            <w:pPr>
              <w:spacing w:after="0"/>
              <w:rPr>
                <w:sz w:val="3"/>
                <w:szCs w:val="3"/>
                <w:color w:val="auto"/>
              </w:rPr>
            </w:pPr>
          </w:p>
        </w:tc>
        <w:tc>
          <w:tcPr>
            <w:tcW w:w="660" w:type="dxa"/>
            <w:vAlign w:val="bottom"/>
            <w:shd w:val="clear" w:color="auto" w:fill="BAD3EA"/>
          </w:tcPr>
          <w:p>
            <w:pPr>
              <w:spacing w:after="0"/>
              <w:rPr>
                <w:sz w:val="3"/>
                <w:szCs w:val="3"/>
                <w:color w:val="auto"/>
              </w:rPr>
            </w:pPr>
          </w:p>
        </w:tc>
        <w:tc>
          <w:tcPr>
            <w:tcW w:w="740" w:type="dxa"/>
            <w:vAlign w:val="bottom"/>
            <w:shd w:val="clear" w:color="auto" w:fill="BAD3EA"/>
          </w:tcPr>
          <w:p>
            <w:pPr>
              <w:spacing w:after="0"/>
              <w:rPr>
                <w:sz w:val="3"/>
                <w:szCs w:val="3"/>
                <w:color w:val="auto"/>
              </w:rPr>
            </w:pPr>
          </w:p>
        </w:tc>
        <w:tc>
          <w:tcPr>
            <w:tcW w:w="160" w:type="dxa"/>
            <w:vAlign w:val="bottom"/>
            <w:shd w:val="clear" w:color="auto" w:fill="BAD3EA"/>
          </w:tcPr>
          <w:p>
            <w:pPr>
              <w:spacing w:after="0"/>
              <w:rPr>
                <w:sz w:val="3"/>
                <w:szCs w:val="3"/>
                <w:color w:val="auto"/>
              </w:rPr>
            </w:pPr>
          </w:p>
        </w:tc>
        <w:tc>
          <w:tcPr>
            <w:tcW w:w="760" w:type="dxa"/>
            <w:vAlign w:val="bottom"/>
            <w:shd w:val="clear" w:color="auto" w:fill="BAD3EA"/>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160" w:type="dxa"/>
            <w:vAlign w:val="bottom"/>
            <w:shd w:val="clear" w:color="auto" w:fill="BAD3EA"/>
          </w:tcPr>
          <w:p>
            <w:pPr>
              <w:spacing w:after="0"/>
              <w:rPr>
                <w:sz w:val="16"/>
                <w:szCs w:val="16"/>
                <w:color w:val="auto"/>
              </w:rPr>
            </w:pPr>
          </w:p>
        </w:tc>
        <w:tc>
          <w:tcPr>
            <w:tcW w:w="820" w:type="dxa"/>
            <w:vAlign w:val="bottom"/>
            <w:shd w:val="clear" w:color="auto" w:fill="BAD3EA"/>
          </w:tcPr>
          <w:p>
            <w:pPr>
              <w:jc w:val="right"/>
              <w:spacing w:after="0"/>
              <w:rPr>
                <w:sz w:val="20"/>
                <w:szCs w:val="20"/>
                <w:color w:val="auto"/>
              </w:rPr>
            </w:pPr>
            <w:r>
              <w:rPr>
                <w:rFonts w:ascii="Arial" w:cs="Arial" w:eastAsia="Arial" w:hAnsi="Arial"/>
                <w:sz w:val="13"/>
                <w:szCs w:val="13"/>
                <w:color w:val="auto"/>
              </w:rPr>
              <w:t>2/12/2018</w:t>
            </w:r>
          </w:p>
        </w:tc>
        <w:tc>
          <w:tcPr>
            <w:tcW w:w="420" w:type="dxa"/>
            <w:vAlign w:val="bottom"/>
            <w:shd w:val="clear" w:color="auto" w:fill="BAD3EA"/>
          </w:tcPr>
          <w:p>
            <w:pPr>
              <w:jc w:val="center"/>
              <w:ind w:left="17"/>
              <w:spacing w:after="0"/>
              <w:rPr>
                <w:sz w:val="20"/>
                <w:szCs w:val="20"/>
                <w:color w:val="auto"/>
              </w:rPr>
            </w:pPr>
            <w:r>
              <w:rPr>
                <w:rFonts w:ascii="Arial" w:cs="Arial" w:eastAsia="Arial" w:hAnsi="Arial"/>
                <w:sz w:val="13"/>
                <w:szCs w:val="13"/>
                <w:color w:val="auto"/>
                <w:w w:val="87"/>
              </w:rPr>
              <w:t>(3)</w:t>
            </w:r>
          </w:p>
        </w:tc>
        <w:tc>
          <w:tcPr>
            <w:tcW w:w="180" w:type="dxa"/>
            <w:vAlign w:val="bottom"/>
            <w:shd w:val="clear" w:color="auto" w:fill="BAD3EA"/>
          </w:tcPr>
          <w:p>
            <w:pPr>
              <w:spacing w:after="0"/>
              <w:rPr>
                <w:sz w:val="16"/>
                <w:szCs w:val="16"/>
                <w:color w:val="auto"/>
              </w:rPr>
            </w:pPr>
          </w:p>
        </w:tc>
        <w:tc>
          <w:tcPr>
            <w:tcW w:w="1140" w:type="dxa"/>
            <w:vAlign w:val="bottom"/>
            <w:vMerge w:val="restart"/>
            <w:shd w:val="clear" w:color="auto" w:fill="BAD3EA"/>
          </w:tcPr>
          <w:p>
            <w:pPr>
              <w:jc w:val="right"/>
              <w:ind w:right="7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BAD3EA"/>
          </w:tcPr>
          <w:p>
            <w:pPr>
              <w:jc w:val="center"/>
              <w:ind w:right="177"/>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BAD3EA"/>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BAD3EA"/>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shd w:val="clear" w:color="auto" w:fill="BAD3EA"/>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BAD3EA"/>
          </w:tcPr>
          <w:p>
            <w:pPr>
              <w:spacing w:after="0"/>
              <w:rPr>
                <w:sz w:val="16"/>
                <w:szCs w:val="16"/>
                <w:color w:val="auto"/>
              </w:rPr>
            </w:pPr>
          </w:p>
        </w:tc>
        <w:tc>
          <w:tcPr>
            <w:tcW w:w="660" w:type="dxa"/>
            <w:vAlign w:val="bottom"/>
            <w:shd w:val="clear" w:color="auto" w:fill="BAD3EA"/>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BAD3EA"/>
          </w:tcPr>
          <w:p>
            <w:pPr>
              <w:jc w:val="right"/>
              <w:ind w:right="37"/>
              <w:spacing w:after="0"/>
              <w:rPr>
                <w:sz w:val="20"/>
                <w:szCs w:val="20"/>
                <w:color w:val="auto"/>
              </w:rPr>
            </w:pPr>
            <w:r>
              <w:rPr>
                <w:rFonts w:ascii="Arial" w:cs="Arial" w:eastAsia="Arial" w:hAnsi="Arial"/>
                <w:sz w:val="13"/>
                <w:szCs w:val="13"/>
                <w:color w:val="auto"/>
              </w:rPr>
              <w:t>10,110</w:t>
            </w:r>
          </w:p>
        </w:tc>
        <w:tc>
          <w:tcPr>
            <w:tcW w:w="160" w:type="dxa"/>
            <w:vAlign w:val="bottom"/>
            <w:shd w:val="clear" w:color="auto" w:fill="BAD3EA"/>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BAD3EA"/>
          </w:tcPr>
          <w:p>
            <w:pPr>
              <w:jc w:val="right"/>
              <w:ind w:right="57"/>
              <w:spacing w:after="0"/>
              <w:rPr>
                <w:sz w:val="20"/>
                <w:szCs w:val="20"/>
                <w:color w:val="auto"/>
              </w:rPr>
            </w:pPr>
            <w:r>
              <w:rPr>
                <w:rFonts w:ascii="Arial" w:cs="Arial" w:eastAsia="Arial" w:hAnsi="Arial"/>
                <w:sz w:val="13"/>
                <w:szCs w:val="13"/>
                <w:color w:val="auto"/>
              </w:rPr>
              <w:t>3,042,301</w:t>
            </w:r>
          </w:p>
        </w:tc>
        <w:tc>
          <w:tcPr>
            <w:tcW w:w="0" w:type="dxa"/>
            <w:vAlign w:val="bottom"/>
          </w:tcPr>
          <w:p>
            <w:pPr>
              <w:spacing w:after="0"/>
              <w:rPr>
                <w:sz w:val="1"/>
                <w:szCs w:val="1"/>
                <w:color w:val="auto"/>
              </w:rPr>
            </w:pPr>
          </w:p>
        </w:tc>
      </w:tr>
      <w:tr>
        <w:trPr>
          <w:trHeight w:val="43"/>
        </w:trPr>
        <w:tc>
          <w:tcPr>
            <w:tcW w:w="3160" w:type="dxa"/>
            <w:vAlign w:val="bottom"/>
            <w:shd w:val="clear" w:color="auto" w:fill="BAD3EA"/>
          </w:tcPr>
          <w:p>
            <w:pPr>
              <w:spacing w:after="0"/>
              <w:rPr>
                <w:sz w:val="3"/>
                <w:szCs w:val="3"/>
                <w:color w:val="auto"/>
              </w:rPr>
            </w:pPr>
          </w:p>
        </w:tc>
        <w:tc>
          <w:tcPr>
            <w:tcW w:w="820" w:type="dxa"/>
            <w:vAlign w:val="bottom"/>
            <w:shd w:val="clear" w:color="auto" w:fill="BAD3EA"/>
          </w:tcPr>
          <w:p>
            <w:pPr>
              <w:spacing w:after="0"/>
              <w:rPr>
                <w:sz w:val="3"/>
                <w:szCs w:val="3"/>
                <w:color w:val="auto"/>
              </w:rPr>
            </w:pPr>
          </w:p>
        </w:tc>
        <w:tc>
          <w:tcPr>
            <w:tcW w:w="420" w:type="dxa"/>
            <w:vAlign w:val="bottom"/>
            <w:shd w:val="clear" w:color="auto" w:fill="BAD3EA"/>
          </w:tcPr>
          <w:p>
            <w:pPr>
              <w:spacing w:after="0"/>
              <w:rPr>
                <w:sz w:val="3"/>
                <w:szCs w:val="3"/>
                <w:color w:val="auto"/>
              </w:rPr>
            </w:pPr>
          </w:p>
        </w:tc>
        <w:tc>
          <w:tcPr>
            <w:tcW w:w="180" w:type="dxa"/>
            <w:vAlign w:val="bottom"/>
            <w:shd w:val="clear" w:color="auto" w:fill="BAD3EA"/>
          </w:tcPr>
          <w:p>
            <w:pPr>
              <w:spacing w:after="0"/>
              <w:rPr>
                <w:sz w:val="3"/>
                <w:szCs w:val="3"/>
                <w:color w:val="auto"/>
              </w:rPr>
            </w:pPr>
          </w:p>
        </w:tc>
        <w:tc>
          <w:tcPr>
            <w:tcW w:w="1140" w:type="dxa"/>
            <w:vAlign w:val="bottom"/>
            <w:vMerge w:val="continue"/>
            <w:shd w:val="clear" w:color="auto" w:fill="BAD3EA"/>
          </w:tcPr>
          <w:p>
            <w:pPr>
              <w:spacing w:after="0"/>
              <w:rPr>
                <w:sz w:val="3"/>
                <w:szCs w:val="3"/>
                <w:color w:val="auto"/>
              </w:rPr>
            </w:pPr>
          </w:p>
        </w:tc>
        <w:tc>
          <w:tcPr>
            <w:tcW w:w="600" w:type="dxa"/>
            <w:vAlign w:val="bottom"/>
            <w:vMerge w:val="continue"/>
            <w:shd w:val="clear" w:color="auto" w:fill="BAD3EA"/>
          </w:tcPr>
          <w:p>
            <w:pPr>
              <w:spacing w:after="0"/>
              <w:rPr>
                <w:sz w:val="3"/>
                <w:szCs w:val="3"/>
                <w:color w:val="auto"/>
              </w:rPr>
            </w:pPr>
          </w:p>
        </w:tc>
        <w:tc>
          <w:tcPr>
            <w:tcW w:w="780" w:type="dxa"/>
            <w:vAlign w:val="bottom"/>
            <w:shd w:val="clear" w:color="auto" w:fill="BAD3EA"/>
          </w:tcPr>
          <w:p>
            <w:pPr>
              <w:spacing w:after="0"/>
              <w:rPr>
                <w:sz w:val="3"/>
                <w:szCs w:val="3"/>
                <w:color w:val="auto"/>
              </w:rPr>
            </w:pPr>
          </w:p>
        </w:tc>
        <w:tc>
          <w:tcPr>
            <w:tcW w:w="820" w:type="dxa"/>
            <w:vAlign w:val="bottom"/>
            <w:shd w:val="clear" w:color="auto" w:fill="BAD3EA"/>
          </w:tcPr>
          <w:p>
            <w:pPr>
              <w:spacing w:after="0"/>
              <w:rPr>
                <w:sz w:val="3"/>
                <w:szCs w:val="3"/>
                <w:color w:val="auto"/>
              </w:rPr>
            </w:pPr>
          </w:p>
        </w:tc>
        <w:tc>
          <w:tcPr>
            <w:tcW w:w="620" w:type="dxa"/>
            <w:vAlign w:val="bottom"/>
            <w:shd w:val="clear" w:color="auto" w:fill="BAD3EA"/>
          </w:tcPr>
          <w:p>
            <w:pPr>
              <w:spacing w:after="0"/>
              <w:rPr>
                <w:sz w:val="3"/>
                <w:szCs w:val="3"/>
                <w:color w:val="auto"/>
              </w:rPr>
            </w:pPr>
          </w:p>
        </w:tc>
        <w:tc>
          <w:tcPr>
            <w:tcW w:w="160" w:type="dxa"/>
            <w:vAlign w:val="bottom"/>
            <w:shd w:val="clear" w:color="auto" w:fill="BAD3EA"/>
          </w:tcPr>
          <w:p>
            <w:pPr>
              <w:spacing w:after="0"/>
              <w:rPr>
                <w:sz w:val="3"/>
                <w:szCs w:val="3"/>
                <w:color w:val="auto"/>
              </w:rPr>
            </w:pPr>
          </w:p>
        </w:tc>
        <w:tc>
          <w:tcPr>
            <w:tcW w:w="660" w:type="dxa"/>
            <w:vAlign w:val="bottom"/>
            <w:shd w:val="clear" w:color="auto" w:fill="BAD3EA"/>
          </w:tcPr>
          <w:p>
            <w:pPr>
              <w:spacing w:after="0"/>
              <w:rPr>
                <w:sz w:val="3"/>
                <w:szCs w:val="3"/>
                <w:color w:val="auto"/>
              </w:rPr>
            </w:pPr>
          </w:p>
        </w:tc>
        <w:tc>
          <w:tcPr>
            <w:tcW w:w="740" w:type="dxa"/>
            <w:vAlign w:val="bottom"/>
            <w:shd w:val="clear" w:color="auto" w:fill="BAD3EA"/>
          </w:tcPr>
          <w:p>
            <w:pPr>
              <w:spacing w:after="0"/>
              <w:rPr>
                <w:sz w:val="3"/>
                <w:szCs w:val="3"/>
                <w:color w:val="auto"/>
              </w:rPr>
            </w:pPr>
          </w:p>
        </w:tc>
        <w:tc>
          <w:tcPr>
            <w:tcW w:w="160" w:type="dxa"/>
            <w:vAlign w:val="bottom"/>
            <w:shd w:val="clear" w:color="auto" w:fill="BAD3EA"/>
          </w:tcPr>
          <w:p>
            <w:pPr>
              <w:spacing w:after="0"/>
              <w:rPr>
                <w:sz w:val="3"/>
                <w:szCs w:val="3"/>
                <w:color w:val="auto"/>
              </w:rPr>
            </w:pPr>
          </w:p>
        </w:tc>
        <w:tc>
          <w:tcPr>
            <w:tcW w:w="760" w:type="dxa"/>
            <w:vAlign w:val="bottom"/>
            <w:shd w:val="clear" w:color="auto" w:fill="BAD3EA"/>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160" w:type="dxa"/>
            <w:vAlign w:val="bottom"/>
            <w:shd w:val="clear" w:color="auto" w:fill="BAD3EA"/>
          </w:tcPr>
          <w:p>
            <w:pPr>
              <w:spacing w:after="0"/>
              <w:rPr>
                <w:sz w:val="16"/>
                <w:szCs w:val="16"/>
                <w:color w:val="auto"/>
              </w:rPr>
            </w:pPr>
          </w:p>
        </w:tc>
        <w:tc>
          <w:tcPr>
            <w:tcW w:w="820" w:type="dxa"/>
            <w:vAlign w:val="bottom"/>
            <w:shd w:val="clear" w:color="auto" w:fill="BAD3EA"/>
          </w:tcPr>
          <w:p>
            <w:pPr>
              <w:jc w:val="right"/>
              <w:spacing w:after="0"/>
              <w:rPr>
                <w:sz w:val="20"/>
                <w:szCs w:val="20"/>
                <w:color w:val="auto"/>
              </w:rPr>
            </w:pPr>
            <w:r>
              <w:rPr>
                <w:rFonts w:ascii="Arial" w:cs="Arial" w:eastAsia="Arial" w:hAnsi="Arial"/>
                <w:sz w:val="13"/>
                <w:szCs w:val="13"/>
                <w:color w:val="auto"/>
              </w:rPr>
              <w:t>2/12/2018</w:t>
            </w:r>
          </w:p>
        </w:tc>
        <w:tc>
          <w:tcPr>
            <w:tcW w:w="420" w:type="dxa"/>
            <w:vAlign w:val="bottom"/>
            <w:shd w:val="clear" w:color="auto" w:fill="BAD3EA"/>
          </w:tcPr>
          <w:p>
            <w:pPr>
              <w:jc w:val="center"/>
              <w:ind w:left="17"/>
              <w:spacing w:after="0"/>
              <w:rPr>
                <w:sz w:val="20"/>
                <w:szCs w:val="20"/>
                <w:color w:val="auto"/>
              </w:rPr>
            </w:pPr>
            <w:r>
              <w:rPr>
                <w:rFonts w:ascii="Arial" w:cs="Arial" w:eastAsia="Arial" w:hAnsi="Arial"/>
                <w:sz w:val="13"/>
                <w:szCs w:val="13"/>
                <w:color w:val="auto"/>
                <w:w w:val="87"/>
              </w:rPr>
              <w:t>(4)</w:t>
            </w:r>
          </w:p>
        </w:tc>
        <w:tc>
          <w:tcPr>
            <w:tcW w:w="180" w:type="dxa"/>
            <w:vAlign w:val="bottom"/>
            <w:shd w:val="clear" w:color="auto" w:fill="BAD3EA"/>
          </w:tcPr>
          <w:p>
            <w:pPr>
              <w:spacing w:after="0"/>
              <w:rPr>
                <w:sz w:val="16"/>
                <w:szCs w:val="16"/>
                <w:color w:val="auto"/>
              </w:rPr>
            </w:pPr>
          </w:p>
        </w:tc>
        <w:tc>
          <w:tcPr>
            <w:tcW w:w="1140" w:type="dxa"/>
            <w:vAlign w:val="bottom"/>
            <w:vMerge w:val="restart"/>
            <w:shd w:val="clear" w:color="auto" w:fill="BAD3EA"/>
          </w:tcPr>
          <w:p>
            <w:pPr>
              <w:jc w:val="right"/>
              <w:ind w:right="7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BAD3EA"/>
          </w:tcPr>
          <w:p>
            <w:pPr>
              <w:jc w:val="center"/>
              <w:ind w:right="177"/>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BAD3EA"/>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BAD3EA"/>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shd w:val="clear" w:color="auto" w:fill="BAD3EA"/>
          </w:tcPr>
          <w:p>
            <w:pPr>
              <w:jc w:val="right"/>
              <w:spacing w:after="0"/>
              <w:rPr>
                <w:sz w:val="20"/>
                <w:szCs w:val="20"/>
                <w:color w:val="auto"/>
              </w:rPr>
            </w:pPr>
            <w:r>
              <w:rPr>
                <w:rFonts w:ascii="Arial" w:cs="Arial" w:eastAsia="Arial" w:hAnsi="Arial"/>
                <w:sz w:val="13"/>
                <w:szCs w:val="13"/>
                <w:color w:val="auto"/>
              </w:rPr>
              <w:t>1,279</w:t>
            </w:r>
          </w:p>
        </w:tc>
        <w:tc>
          <w:tcPr>
            <w:tcW w:w="160" w:type="dxa"/>
            <w:vAlign w:val="bottom"/>
            <w:shd w:val="clear" w:color="auto" w:fill="BAD3EA"/>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BAD3EA"/>
          </w:tcPr>
          <w:p>
            <w:pPr>
              <w:jc w:val="right"/>
              <w:ind w:right="37"/>
              <w:spacing w:after="0"/>
              <w:rPr>
                <w:sz w:val="20"/>
                <w:szCs w:val="20"/>
                <w:color w:val="auto"/>
              </w:rPr>
            </w:pPr>
            <w:r>
              <w:rPr>
                <w:rFonts w:ascii="Arial" w:cs="Arial" w:eastAsia="Arial" w:hAnsi="Arial"/>
                <w:sz w:val="13"/>
                <w:szCs w:val="13"/>
                <w:color w:val="auto"/>
              </w:rPr>
              <w:t>384,877</w:t>
            </w:r>
          </w:p>
        </w:tc>
        <w:tc>
          <w:tcPr>
            <w:tcW w:w="740" w:type="dxa"/>
            <w:vAlign w:val="bottom"/>
            <w:shd w:val="clear" w:color="auto" w:fill="BAD3EA"/>
          </w:tcPr>
          <w:p>
            <w:pPr>
              <w:jc w:val="right"/>
              <w:ind w:right="37"/>
              <w:spacing w:after="0"/>
              <w:rPr>
                <w:sz w:val="20"/>
                <w:szCs w:val="20"/>
                <w:color w:val="auto"/>
              </w:rPr>
            </w:pPr>
            <w:r>
              <w:rPr>
                <w:rFonts w:ascii="Arial" w:cs="Arial" w:eastAsia="Arial" w:hAnsi="Arial"/>
                <w:sz w:val="13"/>
                <w:szCs w:val="13"/>
                <w:color w:val="auto"/>
              </w:rPr>
              <w:t>4,384</w:t>
            </w:r>
          </w:p>
        </w:tc>
        <w:tc>
          <w:tcPr>
            <w:tcW w:w="160" w:type="dxa"/>
            <w:vAlign w:val="bottom"/>
            <w:shd w:val="clear" w:color="auto" w:fill="BAD3EA"/>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BAD3EA"/>
          </w:tcPr>
          <w:p>
            <w:pPr>
              <w:jc w:val="right"/>
              <w:ind w:right="57"/>
              <w:spacing w:after="0"/>
              <w:rPr>
                <w:sz w:val="20"/>
                <w:szCs w:val="20"/>
                <w:color w:val="auto"/>
              </w:rPr>
            </w:pPr>
            <w:r>
              <w:rPr>
                <w:rFonts w:ascii="Arial" w:cs="Arial" w:eastAsia="Arial" w:hAnsi="Arial"/>
                <w:sz w:val="13"/>
                <w:szCs w:val="13"/>
                <w:color w:val="auto"/>
              </w:rPr>
              <w:t>1,319,233</w:t>
            </w:r>
          </w:p>
        </w:tc>
        <w:tc>
          <w:tcPr>
            <w:tcW w:w="0" w:type="dxa"/>
            <w:vAlign w:val="bottom"/>
          </w:tcPr>
          <w:p>
            <w:pPr>
              <w:spacing w:after="0"/>
              <w:rPr>
                <w:sz w:val="1"/>
                <w:szCs w:val="1"/>
                <w:color w:val="auto"/>
              </w:rPr>
            </w:pPr>
          </w:p>
        </w:tc>
      </w:tr>
      <w:tr>
        <w:trPr>
          <w:trHeight w:val="43"/>
        </w:trPr>
        <w:tc>
          <w:tcPr>
            <w:tcW w:w="3160" w:type="dxa"/>
            <w:vAlign w:val="bottom"/>
            <w:shd w:val="clear" w:color="auto" w:fill="BAD3EA"/>
          </w:tcPr>
          <w:p>
            <w:pPr>
              <w:spacing w:after="0"/>
              <w:rPr>
                <w:sz w:val="3"/>
                <w:szCs w:val="3"/>
                <w:color w:val="auto"/>
              </w:rPr>
            </w:pPr>
          </w:p>
        </w:tc>
        <w:tc>
          <w:tcPr>
            <w:tcW w:w="820" w:type="dxa"/>
            <w:vAlign w:val="bottom"/>
            <w:shd w:val="clear" w:color="auto" w:fill="BAD3EA"/>
          </w:tcPr>
          <w:p>
            <w:pPr>
              <w:spacing w:after="0"/>
              <w:rPr>
                <w:sz w:val="3"/>
                <w:szCs w:val="3"/>
                <w:color w:val="auto"/>
              </w:rPr>
            </w:pPr>
          </w:p>
        </w:tc>
        <w:tc>
          <w:tcPr>
            <w:tcW w:w="420" w:type="dxa"/>
            <w:vAlign w:val="bottom"/>
            <w:shd w:val="clear" w:color="auto" w:fill="BAD3EA"/>
          </w:tcPr>
          <w:p>
            <w:pPr>
              <w:spacing w:after="0"/>
              <w:rPr>
                <w:sz w:val="3"/>
                <w:szCs w:val="3"/>
                <w:color w:val="auto"/>
              </w:rPr>
            </w:pPr>
          </w:p>
        </w:tc>
        <w:tc>
          <w:tcPr>
            <w:tcW w:w="180" w:type="dxa"/>
            <w:vAlign w:val="bottom"/>
            <w:shd w:val="clear" w:color="auto" w:fill="BAD3EA"/>
          </w:tcPr>
          <w:p>
            <w:pPr>
              <w:spacing w:after="0"/>
              <w:rPr>
                <w:sz w:val="3"/>
                <w:szCs w:val="3"/>
                <w:color w:val="auto"/>
              </w:rPr>
            </w:pPr>
          </w:p>
        </w:tc>
        <w:tc>
          <w:tcPr>
            <w:tcW w:w="1140" w:type="dxa"/>
            <w:vAlign w:val="bottom"/>
            <w:vMerge w:val="continue"/>
            <w:shd w:val="clear" w:color="auto" w:fill="BAD3EA"/>
          </w:tcPr>
          <w:p>
            <w:pPr>
              <w:spacing w:after="0"/>
              <w:rPr>
                <w:sz w:val="3"/>
                <w:szCs w:val="3"/>
                <w:color w:val="auto"/>
              </w:rPr>
            </w:pPr>
          </w:p>
        </w:tc>
        <w:tc>
          <w:tcPr>
            <w:tcW w:w="600" w:type="dxa"/>
            <w:vAlign w:val="bottom"/>
            <w:vMerge w:val="continue"/>
            <w:shd w:val="clear" w:color="auto" w:fill="BAD3EA"/>
          </w:tcPr>
          <w:p>
            <w:pPr>
              <w:spacing w:after="0"/>
              <w:rPr>
                <w:sz w:val="3"/>
                <w:szCs w:val="3"/>
                <w:color w:val="auto"/>
              </w:rPr>
            </w:pPr>
          </w:p>
        </w:tc>
        <w:tc>
          <w:tcPr>
            <w:tcW w:w="780" w:type="dxa"/>
            <w:vAlign w:val="bottom"/>
            <w:shd w:val="clear" w:color="auto" w:fill="BAD3EA"/>
          </w:tcPr>
          <w:p>
            <w:pPr>
              <w:spacing w:after="0"/>
              <w:rPr>
                <w:sz w:val="3"/>
                <w:szCs w:val="3"/>
                <w:color w:val="auto"/>
              </w:rPr>
            </w:pPr>
          </w:p>
        </w:tc>
        <w:tc>
          <w:tcPr>
            <w:tcW w:w="820" w:type="dxa"/>
            <w:vAlign w:val="bottom"/>
            <w:shd w:val="clear" w:color="auto" w:fill="BAD3EA"/>
          </w:tcPr>
          <w:p>
            <w:pPr>
              <w:spacing w:after="0"/>
              <w:rPr>
                <w:sz w:val="3"/>
                <w:szCs w:val="3"/>
                <w:color w:val="auto"/>
              </w:rPr>
            </w:pPr>
          </w:p>
        </w:tc>
        <w:tc>
          <w:tcPr>
            <w:tcW w:w="620" w:type="dxa"/>
            <w:vAlign w:val="bottom"/>
            <w:shd w:val="clear" w:color="auto" w:fill="BAD3EA"/>
          </w:tcPr>
          <w:p>
            <w:pPr>
              <w:spacing w:after="0"/>
              <w:rPr>
                <w:sz w:val="3"/>
                <w:szCs w:val="3"/>
                <w:color w:val="auto"/>
              </w:rPr>
            </w:pPr>
          </w:p>
        </w:tc>
        <w:tc>
          <w:tcPr>
            <w:tcW w:w="160" w:type="dxa"/>
            <w:vAlign w:val="bottom"/>
            <w:shd w:val="clear" w:color="auto" w:fill="BAD3EA"/>
          </w:tcPr>
          <w:p>
            <w:pPr>
              <w:spacing w:after="0"/>
              <w:rPr>
                <w:sz w:val="3"/>
                <w:szCs w:val="3"/>
                <w:color w:val="auto"/>
              </w:rPr>
            </w:pPr>
          </w:p>
        </w:tc>
        <w:tc>
          <w:tcPr>
            <w:tcW w:w="660" w:type="dxa"/>
            <w:vAlign w:val="bottom"/>
            <w:shd w:val="clear" w:color="auto" w:fill="BAD3EA"/>
          </w:tcPr>
          <w:p>
            <w:pPr>
              <w:spacing w:after="0"/>
              <w:rPr>
                <w:sz w:val="3"/>
                <w:szCs w:val="3"/>
                <w:color w:val="auto"/>
              </w:rPr>
            </w:pPr>
          </w:p>
        </w:tc>
        <w:tc>
          <w:tcPr>
            <w:tcW w:w="740" w:type="dxa"/>
            <w:vAlign w:val="bottom"/>
            <w:shd w:val="clear" w:color="auto" w:fill="BAD3EA"/>
          </w:tcPr>
          <w:p>
            <w:pPr>
              <w:spacing w:after="0"/>
              <w:rPr>
                <w:sz w:val="3"/>
                <w:szCs w:val="3"/>
                <w:color w:val="auto"/>
              </w:rPr>
            </w:pPr>
          </w:p>
        </w:tc>
        <w:tc>
          <w:tcPr>
            <w:tcW w:w="160" w:type="dxa"/>
            <w:vAlign w:val="bottom"/>
            <w:shd w:val="clear" w:color="auto" w:fill="BAD3EA"/>
          </w:tcPr>
          <w:p>
            <w:pPr>
              <w:spacing w:after="0"/>
              <w:rPr>
                <w:sz w:val="3"/>
                <w:szCs w:val="3"/>
                <w:color w:val="auto"/>
              </w:rPr>
            </w:pPr>
          </w:p>
        </w:tc>
        <w:tc>
          <w:tcPr>
            <w:tcW w:w="760" w:type="dxa"/>
            <w:vAlign w:val="bottom"/>
            <w:shd w:val="clear" w:color="auto" w:fill="BAD3EA"/>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3160" w:type="dxa"/>
            <w:vAlign w:val="bottom"/>
            <w:tcBorders>
              <w:bottom w:val="single" w:sz="8" w:color="BAD3EA"/>
            </w:tcBorders>
            <w:shd w:val="clear" w:color="auto" w:fill="BAD3EA"/>
          </w:tcPr>
          <w:p>
            <w:pPr>
              <w:spacing w:after="0"/>
              <w:rPr>
                <w:sz w:val="19"/>
                <w:szCs w:val="19"/>
                <w:color w:val="auto"/>
              </w:rPr>
            </w:pPr>
          </w:p>
        </w:tc>
        <w:tc>
          <w:tcPr>
            <w:tcW w:w="82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3"/>
                <w:szCs w:val="13"/>
                <w:color w:val="auto"/>
              </w:rPr>
              <w:t>2/12/2018</w:t>
            </w:r>
          </w:p>
        </w:tc>
        <w:tc>
          <w:tcPr>
            <w:tcW w:w="420" w:type="dxa"/>
            <w:vAlign w:val="bottom"/>
            <w:tcBorders>
              <w:bottom w:val="single" w:sz="8" w:color="BAD3EA"/>
            </w:tcBorders>
            <w:shd w:val="clear" w:color="auto" w:fill="BAD3EA"/>
          </w:tcPr>
          <w:p>
            <w:pPr>
              <w:jc w:val="center"/>
              <w:ind w:left="17"/>
              <w:spacing w:after="0"/>
              <w:rPr>
                <w:sz w:val="20"/>
                <w:szCs w:val="20"/>
                <w:color w:val="auto"/>
              </w:rPr>
            </w:pPr>
            <w:r>
              <w:rPr>
                <w:rFonts w:ascii="Arial" w:cs="Arial" w:eastAsia="Arial" w:hAnsi="Arial"/>
                <w:sz w:val="13"/>
                <w:szCs w:val="13"/>
                <w:color w:val="auto"/>
                <w:w w:val="87"/>
              </w:rPr>
              <w:t>(5)</w:t>
            </w:r>
          </w:p>
        </w:tc>
        <w:tc>
          <w:tcPr>
            <w:tcW w:w="180" w:type="dxa"/>
            <w:vAlign w:val="bottom"/>
            <w:tcBorders>
              <w:bottom w:val="single" w:sz="8" w:color="BAD3EA"/>
            </w:tcBorders>
            <w:shd w:val="clear" w:color="auto" w:fill="BAD3EA"/>
          </w:tcPr>
          <w:p>
            <w:pPr>
              <w:spacing w:after="0"/>
              <w:rPr>
                <w:sz w:val="19"/>
                <w:szCs w:val="19"/>
                <w:color w:val="auto"/>
              </w:rPr>
            </w:pPr>
          </w:p>
        </w:tc>
        <w:tc>
          <w:tcPr>
            <w:tcW w:w="1140" w:type="dxa"/>
            <w:vAlign w:val="bottom"/>
            <w:tcBorders>
              <w:bottom w:val="single" w:sz="8" w:color="BAD3EA"/>
            </w:tcBorders>
            <w:shd w:val="clear" w:color="auto" w:fill="BAD3EA"/>
          </w:tcPr>
          <w:p>
            <w:pPr>
              <w:jc w:val="right"/>
              <w:ind w:right="71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BAD3EA"/>
            </w:tcBorders>
            <w:shd w:val="clear" w:color="auto" w:fill="BAD3EA"/>
          </w:tcPr>
          <w:p>
            <w:pPr>
              <w:jc w:val="center"/>
              <w:ind w:right="177"/>
              <w:spacing w:after="0"/>
              <w:rPr>
                <w:sz w:val="20"/>
                <w:szCs w:val="20"/>
                <w:color w:val="auto"/>
              </w:rPr>
            </w:pPr>
            <w:r>
              <w:rPr>
                <w:rFonts w:ascii="Arial" w:cs="Arial" w:eastAsia="Arial" w:hAnsi="Arial"/>
                <w:sz w:val="13"/>
                <w:szCs w:val="13"/>
                <w:color w:val="auto"/>
                <w:w w:val="91"/>
              </w:rPr>
              <w:t>—</w:t>
            </w:r>
          </w:p>
        </w:tc>
        <w:tc>
          <w:tcPr>
            <w:tcW w:w="780" w:type="dxa"/>
            <w:vAlign w:val="bottom"/>
            <w:tcBorders>
              <w:bottom w:val="single" w:sz="8" w:color="BAD3EA"/>
            </w:tcBorders>
            <w:shd w:val="clear" w:color="auto" w:fill="BAD3EA"/>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BAD3EA"/>
            </w:tcBorders>
            <w:shd w:val="clear" w:color="auto" w:fill="BAD3EA"/>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3"/>
                <w:szCs w:val="13"/>
                <w:color w:val="auto"/>
              </w:rPr>
              <w:t>4,045</w:t>
            </w:r>
          </w:p>
        </w:tc>
        <w:tc>
          <w:tcPr>
            <w:tcW w:w="16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BAD3EA"/>
            </w:tcBorders>
            <w:shd w:val="clear" w:color="auto" w:fill="BAD3EA"/>
          </w:tcPr>
          <w:p>
            <w:pPr>
              <w:jc w:val="right"/>
              <w:ind w:right="37"/>
              <w:spacing w:after="0"/>
              <w:rPr>
                <w:sz w:val="20"/>
                <w:szCs w:val="20"/>
                <w:color w:val="auto"/>
              </w:rPr>
            </w:pPr>
            <w:r>
              <w:rPr>
                <w:rFonts w:ascii="Arial" w:cs="Arial" w:eastAsia="Arial" w:hAnsi="Arial"/>
                <w:sz w:val="13"/>
                <w:szCs w:val="13"/>
                <w:color w:val="auto"/>
                <w:w w:val="93"/>
              </w:rPr>
              <w:t>1,217,221</w:t>
            </w:r>
          </w:p>
        </w:tc>
        <w:tc>
          <w:tcPr>
            <w:tcW w:w="740" w:type="dxa"/>
            <w:vAlign w:val="bottom"/>
            <w:tcBorders>
              <w:bottom w:val="single" w:sz="8" w:color="BAD3EA"/>
            </w:tcBorders>
            <w:shd w:val="clear" w:color="auto" w:fill="BAD3EA"/>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BAD3EA"/>
            </w:tcBorders>
            <w:shd w:val="clear" w:color="auto" w:fill="BAD3EA"/>
          </w:tcPr>
          <w:p>
            <w:pPr>
              <w:spacing w:after="0"/>
              <w:rPr>
                <w:sz w:val="19"/>
                <w:szCs w:val="19"/>
                <w:color w:val="auto"/>
              </w:rPr>
            </w:pPr>
          </w:p>
        </w:tc>
        <w:tc>
          <w:tcPr>
            <w:tcW w:w="760" w:type="dxa"/>
            <w:vAlign w:val="bottom"/>
            <w:tcBorders>
              <w:bottom w:val="single" w:sz="8" w:color="BAD3EA"/>
            </w:tcBorders>
            <w:shd w:val="clear" w:color="auto" w:fill="BAD3EA"/>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3160" w:type="dxa"/>
            <w:vAlign w:val="bottom"/>
            <w:tcBorders>
              <w:top w:val="single" w:sz="8" w:color="1A6DBB"/>
            </w:tcBorders>
            <w:shd w:val="clear" w:color="auto" w:fill="E8F0F8"/>
          </w:tcPr>
          <w:p>
            <w:pPr>
              <w:ind w:left="60"/>
              <w:spacing w:after="0"/>
              <w:rPr>
                <w:sz w:val="20"/>
                <w:szCs w:val="20"/>
                <w:color w:val="auto"/>
              </w:rPr>
            </w:pPr>
            <w:r>
              <w:rPr>
                <w:rFonts w:ascii="Arial" w:cs="Arial" w:eastAsia="Arial" w:hAnsi="Arial"/>
                <w:sz w:val="13"/>
                <w:szCs w:val="13"/>
                <w:b w:val="1"/>
                <w:bCs w:val="1"/>
                <w:color w:val="auto"/>
              </w:rPr>
              <w:t>Paul F. McKenzie</w:t>
            </w:r>
          </w:p>
        </w:tc>
        <w:tc>
          <w:tcPr>
            <w:tcW w:w="820" w:type="dxa"/>
            <w:vAlign w:val="bottom"/>
            <w:tcBorders>
              <w:top w:val="single" w:sz="8" w:color="1A6DBB"/>
            </w:tcBorders>
            <w:shd w:val="clear" w:color="auto" w:fill="E8F0F8"/>
          </w:tcPr>
          <w:p>
            <w:pPr>
              <w:jc w:val="right"/>
              <w:spacing w:after="0"/>
              <w:rPr>
                <w:sz w:val="20"/>
                <w:szCs w:val="20"/>
                <w:color w:val="auto"/>
              </w:rPr>
            </w:pPr>
            <w:r>
              <w:rPr>
                <w:rFonts w:ascii="Arial" w:cs="Arial" w:eastAsia="Arial" w:hAnsi="Arial"/>
                <w:sz w:val="13"/>
                <w:szCs w:val="13"/>
                <w:color w:val="auto"/>
              </w:rPr>
              <w:t>3/1/2016</w:t>
            </w:r>
          </w:p>
        </w:tc>
        <w:tc>
          <w:tcPr>
            <w:tcW w:w="420" w:type="dxa"/>
            <w:vAlign w:val="bottom"/>
            <w:tcBorders>
              <w:top w:val="single" w:sz="8" w:color="1A6DBB"/>
            </w:tcBorders>
            <w:shd w:val="clear" w:color="auto" w:fill="E8F0F8"/>
          </w:tcPr>
          <w:p>
            <w:pPr>
              <w:jc w:val="center"/>
              <w:ind w:left="17"/>
              <w:spacing w:after="0"/>
              <w:rPr>
                <w:sz w:val="20"/>
                <w:szCs w:val="20"/>
                <w:color w:val="auto"/>
              </w:rPr>
            </w:pPr>
            <w:r>
              <w:rPr>
                <w:rFonts w:ascii="Arial" w:cs="Arial" w:eastAsia="Arial" w:hAnsi="Arial"/>
                <w:sz w:val="13"/>
                <w:szCs w:val="13"/>
                <w:color w:val="auto"/>
                <w:w w:val="87"/>
              </w:rPr>
              <w:t>(2)</w:t>
            </w:r>
          </w:p>
        </w:tc>
        <w:tc>
          <w:tcPr>
            <w:tcW w:w="180" w:type="dxa"/>
            <w:vAlign w:val="bottom"/>
            <w:tcBorders>
              <w:top w:val="single" w:sz="8" w:color="1A6DBB"/>
            </w:tcBorders>
            <w:shd w:val="clear" w:color="auto" w:fill="E8F0F8"/>
          </w:tcPr>
          <w:p>
            <w:pPr>
              <w:spacing w:after="0"/>
              <w:rPr>
                <w:sz w:val="15"/>
                <w:szCs w:val="15"/>
                <w:color w:val="auto"/>
              </w:rPr>
            </w:pPr>
          </w:p>
        </w:tc>
        <w:tc>
          <w:tcPr>
            <w:tcW w:w="1140" w:type="dxa"/>
            <w:vAlign w:val="bottom"/>
            <w:tcBorders>
              <w:top w:val="single" w:sz="8" w:color="1A6DBB"/>
            </w:tcBorders>
            <w:vMerge w:val="restart"/>
            <w:shd w:val="clear" w:color="auto" w:fill="E8F0F8"/>
          </w:tcPr>
          <w:p>
            <w:pPr>
              <w:jc w:val="right"/>
              <w:ind w:right="717"/>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1A6DBB"/>
            </w:tcBorders>
            <w:vMerge w:val="restart"/>
            <w:shd w:val="clear" w:color="auto" w:fill="E8F0F8"/>
          </w:tcPr>
          <w:p>
            <w:pPr>
              <w:jc w:val="center"/>
              <w:ind w:right="177"/>
              <w:spacing w:after="0"/>
              <w:rPr>
                <w:sz w:val="20"/>
                <w:szCs w:val="20"/>
                <w:color w:val="auto"/>
              </w:rPr>
            </w:pPr>
            <w:r>
              <w:rPr>
                <w:rFonts w:ascii="Arial" w:cs="Arial" w:eastAsia="Arial" w:hAnsi="Arial"/>
                <w:sz w:val="13"/>
                <w:szCs w:val="13"/>
                <w:color w:val="auto"/>
                <w:w w:val="91"/>
              </w:rPr>
              <w:t>—</w:t>
            </w:r>
          </w:p>
        </w:tc>
        <w:tc>
          <w:tcPr>
            <w:tcW w:w="780" w:type="dxa"/>
            <w:vAlign w:val="bottom"/>
            <w:tcBorders>
              <w:top w:val="single" w:sz="8" w:color="1A6DBB"/>
            </w:tcBorders>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1A6DBB"/>
            </w:tcBorders>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1A6DBB"/>
            </w:tcBorders>
            <w:shd w:val="clear" w:color="auto" w:fill="E8F0F8"/>
          </w:tcPr>
          <w:p>
            <w:pPr>
              <w:jc w:val="right"/>
              <w:spacing w:after="0"/>
              <w:rPr>
                <w:sz w:val="20"/>
                <w:szCs w:val="20"/>
                <w:color w:val="auto"/>
              </w:rPr>
            </w:pPr>
            <w:r>
              <w:rPr>
                <w:rFonts w:ascii="Arial" w:cs="Arial" w:eastAsia="Arial" w:hAnsi="Arial"/>
                <w:sz w:val="13"/>
                <w:szCs w:val="13"/>
                <w:color w:val="auto"/>
              </w:rPr>
              <w:t>616</w:t>
            </w:r>
          </w:p>
        </w:tc>
        <w:tc>
          <w:tcPr>
            <w:tcW w:w="160" w:type="dxa"/>
            <w:vAlign w:val="bottom"/>
            <w:tcBorders>
              <w:top w:val="single" w:sz="8" w:color="1A6DBB"/>
            </w:tcBorders>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1A6DBB"/>
            </w:tcBorders>
            <w:shd w:val="clear" w:color="auto" w:fill="E8F0F8"/>
          </w:tcPr>
          <w:p>
            <w:pPr>
              <w:jc w:val="right"/>
              <w:ind w:right="37"/>
              <w:spacing w:after="0"/>
              <w:rPr>
                <w:sz w:val="20"/>
                <w:szCs w:val="20"/>
                <w:color w:val="auto"/>
              </w:rPr>
            </w:pPr>
            <w:r>
              <w:rPr>
                <w:rFonts w:ascii="Arial" w:cs="Arial" w:eastAsia="Arial" w:hAnsi="Arial"/>
                <w:sz w:val="13"/>
                <w:szCs w:val="13"/>
                <w:color w:val="auto"/>
              </w:rPr>
              <w:t>185,367</w:t>
            </w:r>
          </w:p>
        </w:tc>
        <w:tc>
          <w:tcPr>
            <w:tcW w:w="740" w:type="dxa"/>
            <w:vAlign w:val="bottom"/>
            <w:tcBorders>
              <w:top w:val="single" w:sz="8" w:color="1A6DBB"/>
            </w:tcBorders>
            <w:shd w:val="clear" w:color="auto" w:fill="E8F0F8"/>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Borders>
              <w:top w:val="single" w:sz="8" w:color="1A6DBB"/>
            </w:tcBorders>
            <w:shd w:val="clear" w:color="auto" w:fill="E8F0F8"/>
          </w:tcPr>
          <w:p>
            <w:pPr>
              <w:spacing w:after="0"/>
              <w:rPr>
                <w:sz w:val="15"/>
                <w:szCs w:val="15"/>
                <w:color w:val="auto"/>
              </w:rPr>
            </w:pPr>
          </w:p>
        </w:tc>
        <w:tc>
          <w:tcPr>
            <w:tcW w:w="760" w:type="dxa"/>
            <w:vAlign w:val="bottom"/>
            <w:tcBorders>
              <w:top w:val="single" w:sz="8" w:color="1A6DBB"/>
            </w:tcBorders>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3"/>
        </w:trPr>
        <w:tc>
          <w:tcPr>
            <w:tcW w:w="316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420" w:type="dxa"/>
            <w:vAlign w:val="bottom"/>
            <w:shd w:val="clear" w:color="auto" w:fill="E8F0F8"/>
          </w:tcPr>
          <w:p>
            <w:pPr>
              <w:spacing w:after="0"/>
              <w:rPr>
                <w:sz w:val="3"/>
                <w:szCs w:val="3"/>
                <w:color w:val="auto"/>
              </w:rPr>
            </w:pPr>
          </w:p>
        </w:tc>
        <w:tc>
          <w:tcPr>
            <w:tcW w:w="180" w:type="dxa"/>
            <w:vAlign w:val="bottom"/>
            <w:shd w:val="clear" w:color="auto" w:fill="E8F0F8"/>
          </w:tcPr>
          <w:p>
            <w:pPr>
              <w:spacing w:after="0"/>
              <w:rPr>
                <w:sz w:val="3"/>
                <w:szCs w:val="3"/>
                <w:color w:val="auto"/>
              </w:rPr>
            </w:pPr>
          </w:p>
        </w:tc>
        <w:tc>
          <w:tcPr>
            <w:tcW w:w="1140" w:type="dxa"/>
            <w:vAlign w:val="bottom"/>
            <w:vMerge w:val="continue"/>
            <w:shd w:val="clear" w:color="auto" w:fill="E8F0F8"/>
          </w:tcPr>
          <w:p>
            <w:pPr>
              <w:spacing w:after="0"/>
              <w:rPr>
                <w:sz w:val="3"/>
                <w:szCs w:val="3"/>
                <w:color w:val="auto"/>
              </w:rPr>
            </w:pPr>
          </w:p>
        </w:tc>
        <w:tc>
          <w:tcPr>
            <w:tcW w:w="600" w:type="dxa"/>
            <w:vAlign w:val="bottom"/>
            <w:vMerge w:val="continue"/>
            <w:shd w:val="clear" w:color="auto" w:fill="E8F0F8"/>
          </w:tcPr>
          <w:p>
            <w:pPr>
              <w:spacing w:after="0"/>
              <w:rPr>
                <w:sz w:val="3"/>
                <w:szCs w:val="3"/>
                <w:color w:val="auto"/>
              </w:rPr>
            </w:pPr>
          </w:p>
        </w:tc>
        <w:tc>
          <w:tcPr>
            <w:tcW w:w="78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62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660" w:type="dxa"/>
            <w:vAlign w:val="bottom"/>
            <w:shd w:val="clear" w:color="auto" w:fill="E8F0F8"/>
          </w:tcPr>
          <w:p>
            <w:pPr>
              <w:spacing w:after="0"/>
              <w:rPr>
                <w:sz w:val="3"/>
                <w:szCs w:val="3"/>
                <w:color w:val="auto"/>
              </w:rPr>
            </w:pPr>
          </w:p>
        </w:tc>
        <w:tc>
          <w:tcPr>
            <w:tcW w:w="74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760" w:type="dxa"/>
            <w:vAlign w:val="bottom"/>
            <w:shd w:val="clear" w:color="auto" w:fill="E8F0F8"/>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160" w:type="dxa"/>
            <w:vAlign w:val="bottom"/>
            <w:shd w:val="clear" w:color="auto" w:fill="E8F0F8"/>
          </w:tcPr>
          <w:p>
            <w:pPr>
              <w:spacing w:after="0"/>
              <w:rPr>
                <w:sz w:val="16"/>
                <w:szCs w:val="16"/>
                <w:color w:val="auto"/>
              </w:rPr>
            </w:pPr>
          </w:p>
        </w:tc>
        <w:tc>
          <w:tcPr>
            <w:tcW w:w="820" w:type="dxa"/>
            <w:vAlign w:val="bottom"/>
            <w:shd w:val="clear" w:color="auto" w:fill="E8F0F8"/>
          </w:tcPr>
          <w:p>
            <w:pPr>
              <w:jc w:val="right"/>
              <w:spacing w:after="0"/>
              <w:rPr>
                <w:sz w:val="20"/>
                <w:szCs w:val="20"/>
                <w:color w:val="auto"/>
              </w:rPr>
            </w:pPr>
            <w:r>
              <w:rPr>
                <w:rFonts w:ascii="Arial" w:cs="Arial" w:eastAsia="Arial" w:hAnsi="Arial"/>
                <w:sz w:val="13"/>
                <w:szCs w:val="13"/>
                <w:color w:val="auto"/>
              </w:rPr>
              <w:t>3/1/2016</w:t>
            </w:r>
          </w:p>
        </w:tc>
        <w:tc>
          <w:tcPr>
            <w:tcW w:w="420" w:type="dxa"/>
            <w:vAlign w:val="bottom"/>
            <w:shd w:val="clear" w:color="auto" w:fill="E8F0F8"/>
          </w:tcPr>
          <w:p>
            <w:pPr>
              <w:jc w:val="center"/>
              <w:ind w:left="17"/>
              <w:spacing w:after="0"/>
              <w:rPr>
                <w:sz w:val="20"/>
                <w:szCs w:val="20"/>
                <w:color w:val="auto"/>
              </w:rPr>
            </w:pPr>
            <w:r>
              <w:rPr>
                <w:rFonts w:ascii="Arial" w:cs="Arial" w:eastAsia="Arial" w:hAnsi="Arial"/>
                <w:sz w:val="13"/>
                <w:szCs w:val="13"/>
                <w:color w:val="auto"/>
                <w:w w:val="87"/>
              </w:rPr>
              <w:t>(3)</w:t>
            </w:r>
          </w:p>
        </w:tc>
        <w:tc>
          <w:tcPr>
            <w:tcW w:w="180" w:type="dxa"/>
            <w:vAlign w:val="bottom"/>
            <w:shd w:val="clear" w:color="auto" w:fill="E8F0F8"/>
          </w:tcPr>
          <w:p>
            <w:pPr>
              <w:spacing w:after="0"/>
              <w:rPr>
                <w:sz w:val="16"/>
                <w:szCs w:val="16"/>
                <w:color w:val="auto"/>
              </w:rPr>
            </w:pPr>
          </w:p>
        </w:tc>
        <w:tc>
          <w:tcPr>
            <w:tcW w:w="1140" w:type="dxa"/>
            <w:vAlign w:val="bottom"/>
            <w:vMerge w:val="restart"/>
            <w:shd w:val="clear" w:color="auto" w:fill="E8F0F8"/>
          </w:tcPr>
          <w:p>
            <w:pPr>
              <w:jc w:val="right"/>
              <w:ind w:right="7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E8F0F8"/>
          </w:tcPr>
          <w:p>
            <w:pPr>
              <w:jc w:val="center"/>
              <w:ind w:right="177"/>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E8F0F8"/>
          </w:tcPr>
          <w:p>
            <w:pPr>
              <w:spacing w:after="0"/>
              <w:rPr>
                <w:sz w:val="16"/>
                <w:szCs w:val="16"/>
                <w:color w:val="auto"/>
              </w:rPr>
            </w:pPr>
          </w:p>
        </w:tc>
        <w:tc>
          <w:tcPr>
            <w:tcW w:w="66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848</w:t>
            </w:r>
          </w:p>
        </w:tc>
        <w:tc>
          <w:tcPr>
            <w:tcW w:w="16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255,180</w:t>
            </w:r>
          </w:p>
        </w:tc>
        <w:tc>
          <w:tcPr>
            <w:tcW w:w="0" w:type="dxa"/>
            <w:vAlign w:val="bottom"/>
          </w:tcPr>
          <w:p>
            <w:pPr>
              <w:spacing w:after="0"/>
              <w:rPr>
                <w:sz w:val="1"/>
                <w:szCs w:val="1"/>
                <w:color w:val="auto"/>
              </w:rPr>
            </w:pPr>
          </w:p>
        </w:tc>
      </w:tr>
      <w:tr>
        <w:trPr>
          <w:trHeight w:val="43"/>
        </w:trPr>
        <w:tc>
          <w:tcPr>
            <w:tcW w:w="316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420" w:type="dxa"/>
            <w:vAlign w:val="bottom"/>
            <w:shd w:val="clear" w:color="auto" w:fill="E8F0F8"/>
          </w:tcPr>
          <w:p>
            <w:pPr>
              <w:spacing w:after="0"/>
              <w:rPr>
                <w:sz w:val="3"/>
                <w:szCs w:val="3"/>
                <w:color w:val="auto"/>
              </w:rPr>
            </w:pPr>
          </w:p>
        </w:tc>
        <w:tc>
          <w:tcPr>
            <w:tcW w:w="180" w:type="dxa"/>
            <w:vAlign w:val="bottom"/>
            <w:shd w:val="clear" w:color="auto" w:fill="E8F0F8"/>
          </w:tcPr>
          <w:p>
            <w:pPr>
              <w:spacing w:after="0"/>
              <w:rPr>
                <w:sz w:val="3"/>
                <w:szCs w:val="3"/>
                <w:color w:val="auto"/>
              </w:rPr>
            </w:pPr>
          </w:p>
        </w:tc>
        <w:tc>
          <w:tcPr>
            <w:tcW w:w="1140" w:type="dxa"/>
            <w:vAlign w:val="bottom"/>
            <w:vMerge w:val="continue"/>
            <w:shd w:val="clear" w:color="auto" w:fill="E8F0F8"/>
          </w:tcPr>
          <w:p>
            <w:pPr>
              <w:spacing w:after="0"/>
              <w:rPr>
                <w:sz w:val="3"/>
                <w:szCs w:val="3"/>
                <w:color w:val="auto"/>
              </w:rPr>
            </w:pPr>
          </w:p>
        </w:tc>
        <w:tc>
          <w:tcPr>
            <w:tcW w:w="600" w:type="dxa"/>
            <w:vAlign w:val="bottom"/>
            <w:vMerge w:val="continue"/>
            <w:shd w:val="clear" w:color="auto" w:fill="E8F0F8"/>
          </w:tcPr>
          <w:p>
            <w:pPr>
              <w:spacing w:after="0"/>
              <w:rPr>
                <w:sz w:val="3"/>
                <w:szCs w:val="3"/>
                <w:color w:val="auto"/>
              </w:rPr>
            </w:pPr>
          </w:p>
        </w:tc>
        <w:tc>
          <w:tcPr>
            <w:tcW w:w="78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62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660" w:type="dxa"/>
            <w:vAlign w:val="bottom"/>
            <w:shd w:val="clear" w:color="auto" w:fill="E8F0F8"/>
          </w:tcPr>
          <w:p>
            <w:pPr>
              <w:spacing w:after="0"/>
              <w:rPr>
                <w:sz w:val="3"/>
                <w:szCs w:val="3"/>
                <w:color w:val="auto"/>
              </w:rPr>
            </w:pPr>
          </w:p>
        </w:tc>
        <w:tc>
          <w:tcPr>
            <w:tcW w:w="74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760" w:type="dxa"/>
            <w:vAlign w:val="bottom"/>
            <w:shd w:val="clear" w:color="auto" w:fill="E8F0F8"/>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160" w:type="dxa"/>
            <w:vAlign w:val="bottom"/>
            <w:shd w:val="clear" w:color="auto" w:fill="E8F0F8"/>
          </w:tcPr>
          <w:p>
            <w:pPr>
              <w:spacing w:after="0"/>
              <w:rPr>
                <w:sz w:val="16"/>
                <w:szCs w:val="16"/>
                <w:color w:val="auto"/>
              </w:rPr>
            </w:pPr>
          </w:p>
        </w:tc>
        <w:tc>
          <w:tcPr>
            <w:tcW w:w="820" w:type="dxa"/>
            <w:vAlign w:val="bottom"/>
            <w:shd w:val="clear" w:color="auto" w:fill="E8F0F8"/>
          </w:tcPr>
          <w:p>
            <w:pPr>
              <w:jc w:val="right"/>
              <w:spacing w:after="0"/>
              <w:rPr>
                <w:sz w:val="20"/>
                <w:szCs w:val="20"/>
                <w:color w:val="auto"/>
              </w:rPr>
            </w:pPr>
            <w:r>
              <w:rPr>
                <w:rFonts w:ascii="Arial" w:cs="Arial" w:eastAsia="Arial" w:hAnsi="Arial"/>
                <w:sz w:val="13"/>
                <w:szCs w:val="13"/>
                <w:color w:val="auto"/>
              </w:rPr>
              <w:t>2/15/2017</w:t>
            </w:r>
          </w:p>
        </w:tc>
        <w:tc>
          <w:tcPr>
            <w:tcW w:w="420" w:type="dxa"/>
            <w:vAlign w:val="bottom"/>
            <w:shd w:val="clear" w:color="auto" w:fill="E8F0F8"/>
          </w:tcPr>
          <w:p>
            <w:pPr>
              <w:jc w:val="center"/>
              <w:ind w:left="17"/>
              <w:spacing w:after="0"/>
              <w:rPr>
                <w:sz w:val="20"/>
                <w:szCs w:val="20"/>
                <w:color w:val="auto"/>
              </w:rPr>
            </w:pPr>
            <w:r>
              <w:rPr>
                <w:rFonts w:ascii="Arial" w:cs="Arial" w:eastAsia="Arial" w:hAnsi="Arial"/>
                <w:sz w:val="13"/>
                <w:szCs w:val="13"/>
                <w:color w:val="auto"/>
                <w:w w:val="87"/>
              </w:rPr>
              <w:t>(2)</w:t>
            </w:r>
          </w:p>
        </w:tc>
        <w:tc>
          <w:tcPr>
            <w:tcW w:w="180" w:type="dxa"/>
            <w:vAlign w:val="bottom"/>
            <w:shd w:val="clear" w:color="auto" w:fill="E8F0F8"/>
          </w:tcPr>
          <w:p>
            <w:pPr>
              <w:spacing w:after="0"/>
              <w:rPr>
                <w:sz w:val="16"/>
                <w:szCs w:val="16"/>
                <w:color w:val="auto"/>
              </w:rPr>
            </w:pPr>
          </w:p>
        </w:tc>
        <w:tc>
          <w:tcPr>
            <w:tcW w:w="1140" w:type="dxa"/>
            <w:vAlign w:val="bottom"/>
            <w:vMerge w:val="restart"/>
            <w:shd w:val="clear" w:color="auto" w:fill="E8F0F8"/>
          </w:tcPr>
          <w:p>
            <w:pPr>
              <w:jc w:val="right"/>
              <w:ind w:right="7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E8F0F8"/>
          </w:tcPr>
          <w:p>
            <w:pPr>
              <w:jc w:val="center"/>
              <w:ind w:right="177"/>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shd w:val="clear" w:color="auto" w:fill="E8F0F8"/>
          </w:tcPr>
          <w:p>
            <w:pPr>
              <w:jc w:val="right"/>
              <w:spacing w:after="0"/>
              <w:rPr>
                <w:sz w:val="20"/>
                <w:szCs w:val="20"/>
                <w:color w:val="auto"/>
              </w:rPr>
            </w:pPr>
            <w:r>
              <w:rPr>
                <w:rFonts w:ascii="Arial" w:cs="Arial" w:eastAsia="Arial" w:hAnsi="Arial"/>
                <w:sz w:val="13"/>
                <w:szCs w:val="13"/>
                <w:color w:val="auto"/>
              </w:rPr>
              <w:t>3,875</w:t>
            </w:r>
          </w:p>
        </w:tc>
        <w:tc>
          <w:tcPr>
            <w:tcW w:w="16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w w:val="93"/>
              </w:rPr>
              <w:t>1,166,065</w:t>
            </w:r>
          </w:p>
        </w:tc>
        <w:tc>
          <w:tcPr>
            <w:tcW w:w="74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shd w:val="clear" w:color="auto" w:fill="E8F0F8"/>
          </w:tcPr>
          <w:p>
            <w:pPr>
              <w:spacing w:after="0"/>
              <w:rPr>
                <w:sz w:val="16"/>
                <w:szCs w:val="16"/>
                <w:color w:val="auto"/>
              </w:rPr>
            </w:pPr>
          </w:p>
        </w:tc>
        <w:tc>
          <w:tcPr>
            <w:tcW w:w="76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3"/>
        </w:trPr>
        <w:tc>
          <w:tcPr>
            <w:tcW w:w="316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420" w:type="dxa"/>
            <w:vAlign w:val="bottom"/>
            <w:shd w:val="clear" w:color="auto" w:fill="E8F0F8"/>
          </w:tcPr>
          <w:p>
            <w:pPr>
              <w:spacing w:after="0"/>
              <w:rPr>
                <w:sz w:val="3"/>
                <w:szCs w:val="3"/>
                <w:color w:val="auto"/>
              </w:rPr>
            </w:pPr>
          </w:p>
        </w:tc>
        <w:tc>
          <w:tcPr>
            <w:tcW w:w="180" w:type="dxa"/>
            <w:vAlign w:val="bottom"/>
            <w:shd w:val="clear" w:color="auto" w:fill="E8F0F8"/>
          </w:tcPr>
          <w:p>
            <w:pPr>
              <w:spacing w:after="0"/>
              <w:rPr>
                <w:sz w:val="3"/>
                <w:szCs w:val="3"/>
                <w:color w:val="auto"/>
              </w:rPr>
            </w:pPr>
          </w:p>
        </w:tc>
        <w:tc>
          <w:tcPr>
            <w:tcW w:w="1140" w:type="dxa"/>
            <w:vAlign w:val="bottom"/>
            <w:vMerge w:val="continue"/>
            <w:shd w:val="clear" w:color="auto" w:fill="E8F0F8"/>
          </w:tcPr>
          <w:p>
            <w:pPr>
              <w:spacing w:after="0"/>
              <w:rPr>
                <w:sz w:val="3"/>
                <w:szCs w:val="3"/>
                <w:color w:val="auto"/>
              </w:rPr>
            </w:pPr>
          </w:p>
        </w:tc>
        <w:tc>
          <w:tcPr>
            <w:tcW w:w="600" w:type="dxa"/>
            <w:vAlign w:val="bottom"/>
            <w:vMerge w:val="continue"/>
            <w:shd w:val="clear" w:color="auto" w:fill="E8F0F8"/>
          </w:tcPr>
          <w:p>
            <w:pPr>
              <w:spacing w:after="0"/>
              <w:rPr>
                <w:sz w:val="3"/>
                <w:szCs w:val="3"/>
                <w:color w:val="auto"/>
              </w:rPr>
            </w:pPr>
          </w:p>
        </w:tc>
        <w:tc>
          <w:tcPr>
            <w:tcW w:w="78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62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660" w:type="dxa"/>
            <w:vAlign w:val="bottom"/>
            <w:shd w:val="clear" w:color="auto" w:fill="E8F0F8"/>
          </w:tcPr>
          <w:p>
            <w:pPr>
              <w:spacing w:after="0"/>
              <w:rPr>
                <w:sz w:val="3"/>
                <w:szCs w:val="3"/>
                <w:color w:val="auto"/>
              </w:rPr>
            </w:pPr>
          </w:p>
        </w:tc>
        <w:tc>
          <w:tcPr>
            <w:tcW w:w="74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760" w:type="dxa"/>
            <w:vAlign w:val="bottom"/>
            <w:shd w:val="clear" w:color="auto" w:fill="E8F0F8"/>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160" w:type="dxa"/>
            <w:vAlign w:val="bottom"/>
            <w:shd w:val="clear" w:color="auto" w:fill="E8F0F8"/>
          </w:tcPr>
          <w:p>
            <w:pPr>
              <w:spacing w:after="0"/>
              <w:rPr>
                <w:sz w:val="16"/>
                <w:szCs w:val="16"/>
                <w:color w:val="auto"/>
              </w:rPr>
            </w:pPr>
          </w:p>
        </w:tc>
        <w:tc>
          <w:tcPr>
            <w:tcW w:w="820" w:type="dxa"/>
            <w:vAlign w:val="bottom"/>
            <w:shd w:val="clear" w:color="auto" w:fill="E8F0F8"/>
          </w:tcPr>
          <w:p>
            <w:pPr>
              <w:jc w:val="right"/>
              <w:spacing w:after="0"/>
              <w:rPr>
                <w:sz w:val="20"/>
                <w:szCs w:val="20"/>
                <w:color w:val="auto"/>
              </w:rPr>
            </w:pPr>
            <w:r>
              <w:rPr>
                <w:rFonts w:ascii="Arial" w:cs="Arial" w:eastAsia="Arial" w:hAnsi="Arial"/>
                <w:sz w:val="13"/>
                <w:szCs w:val="13"/>
                <w:color w:val="auto"/>
              </w:rPr>
              <w:t>2/15/2017</w:t>
            </w:r>
          </w:p>
        </w:tc>
        <w:tc>
          <w:tcPr>
            <w:tcW w:w="420" w:type="dxa"/>
            <w:vAlign w:val="bottom"/>
            <w:shd w:val="clear" w:color="auto" w:fill="E8F0F8"/>
          </w:tcPr>
          <w:p>
            <w:pPr>
              <w:jc w:val="center"/>
              <w:ind w:left="17"/>
              <w:spacing w:after="0"/>
              <w:rPr>
                <w:sz w:val="20"/>
                <w:szCs w:val="20"/>
                <w:color w:val="auto"/>
              </w:rPr>
            </w:pPr>
            <w:r>
              <w:rPr>
                <w:rFonts w:ascii="Arial" w:cs="Arial" w:eastAsia="Arial" w:hAnsi="Arial"/>
                <w:sz w:val="13"/>
                <w:szCs w:val="13"/>
                <w:color w:val="auto"/>
                <w:w w:val="87"/>
              </w:rPr>
              <w:t>(3)</w:t>
            </w:r>
          </w:p>
        </w:tc>
        <w:tc>
          <w:tcPr>
            <w:tcW w:w="180" w:type="dxa"/>
            <w:vAlign w:val="bottom"/>
            <w:shd w:val="clear" w:color="auto" w:fill="E8F0F8"/>
          </w:tcPr>
          <w:p>
            <w:pPr>
              <w:spacing w:after="0"/>
              <w:rPr>
                <w:sz w:val="16"/>
                <w:szCs w:val="16"/>
                <w:color w:val="auto"/>
              </w:rPr>
            </w:pPr>
          </w:p>
        </w:tc>
        <w:tc>
          <w:tcPr>
            <w:tcW w:w="1140" w:type="dxa"/>
            <w:vAlign w:val="bottom"/>
            <w:vMerge w:val="restart"/>
            <w:shd w:val="clear" w:color="auto" w:fill="E8F0F8"/>
          </w:tcPr>
          <w:p>
            <w:pPr>
              <w:jc w:val="right"/>
              <w:ind w:right="7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E8F0F8"/>
          </w:tcPr>
          <w:p>
            <w:pPr>
              <w:jc w:val="center"/>
              <w:ind w:right="177"/>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E8F0F8"/>
          </w:tcPr>
          <w:p>
            <w:pPr>
              <w:spacing w:after="0"/>
              <w:rPr>
                <w:sz w:val="16"/>
                <w:szCs w:val="16"/>
                <w:color w:val="auto"/>
              </w:rPr>
            </w:pPr>
          </w:p>
        </w:tc>
        <w:tc>
          <w:tcPr>
            <w:tcW w:w="66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4,674</w:t>
            </w:r>
          </w:p>
        </w:tc>
        <w:tc>
          <w:tcPr>
            <w:tcW w:w="16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1,406,500</w:t>
            </w:r>
          </w:p>
        </w:tc>
        <w:tc>
          <w:tcPr>
            <w:tcW w:w="0" w:type="dxa"/>
            <w:vAlign w:val="bottom"/>
          </w:tcPr>
          <w:p>
            <w:pPr>
              <w:spacing w:after="0"/>
              <w:rPr>
                <w:sz w:val="1"/>
                <w:szCs w:val="1"/>
                <w:color w:val="auto"/>
              </w:rPr>
            </w:pPr>
          </w:p>
        </w:tc>
      </w:tr>
      <w:tr>
        <w:trPr>
          <w:trHeight w:val="43"/>
        </w:trPr>
        <w:tc>
          <w:tcPr>
            <w:tcW w:w="316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420" w:type="dxa"/>
            <w:vAlign w:val="bottom"/>
            <w:shd w:val="clear" w:color="auto" w:fill="E8F0F8"/>
          </w:tcPr>
          <w:p>
            <w:pPr>
              <w:spacing w:after="0"/>
              <w:rPr>
                <w:sz w:val="3"/>
                <w:szCs w:val="3"/>
                <w:color w:val="auto"/>
              </w:rPr>
            </w:pPr>
          </w:p>
        </w:tc>
        <w:tc>
          <w:tcPr>
            <w:tcW w:w="180" w:type="dxa"/>
            <w:vAlign w:val="bottom"/>
            <w:shd w:val="clear" w:color="auto" w:fill="E8F0F8"/>
          </w:tcPr>
          <w:p>
            <w:pPr>
              <w:spacing w:after="0"/>
              <w:rPr>
                <w:sz w:val="3"/>
                <w:szCs w:val="3"/>
                <w:color w:val="auto"/>
              </w:rPr>
            </w:pPr>
          </w:p>
        </w:tc>
        <w:tc>
          <w:tcPr>
            <w:tcW w:w="1140" w:type="dxa"/>
            <w:vAlign w:val="bottom"/>
            <w:vMerge w:val="continue"/>
            <w:shd w:val="clear" w:color="auto" w:fill="E8F0F8"/>
          </w:tcPr>
          <w:p>
            <w:pPr>
              <w:spacing w:after="0"/>
              <w:rPr>
                <w:sz w:val="3"/>
                <w:szCs w:val="3"/>
                <w:color w:val="auto"/>
              </w:rPr>
            </w:pPr>
          </w:p>
        </w:tc>
        <w:tc>
          <w:tcPr>
            <w:tcW w:w="600" w:type="dxa"/>
            <w:vAlign w:val="bottom"/>
            <w:vMerge w:val="continue"/>
            <w:shd w:val="clear" w:color="auto" w:fill="E8F0F8"/>
          </w:tcPr>
          <w:p>
            <w:pPr>
              <w:spacing w:after="0"/>
              <w:rPr>
                <w:sz w:val="3"/>
                <w:szCs w:val="3"/>
                <w:color w:val="auto"/>
              </w:rPr>
            </w:pPr>
          </w:p>
        </w:tc>
        <w:tc>
          <w:tcPr>
            <w:tcW w:w="78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62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660" w:type="dxa"/>
            <w:vAlign w:val="bottom"/>
            <w:shd w:val="clear" w:color="auto" w:fill="E8F0F8"/>
          </w:tcPr>
          <w:p>
            <w:pPr>
              <w:spacing w:after="0"/>
              <w:rPr>
                <w:sz w:val="3"/>
                <w:szCs w:val="3"/>
                <w:color w:val="auto"/>
              </w:rPr>
            </w:pPr>
          </w:p>
        </w:tc>
        <w:tc>
          <w:tcPr>
            <w:tcW w:w="74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760" w:type="dxa"/>
            <w:vAlign w:val="bottom"/>
            <w:shd w:val="clear" w:color="auto" w:fill="E8F0F8"/>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160" w:type="dxa"/>
            <w:vAlign w:val="bottom"/>
            <w:shd w:val="clear" w:color="auto" w:fill="E8F0F8"/>
          </w:tcPr>
          <w:p>
            <w:pPr>
              <w:spacing w:after="0"/>
              <w:rPr>
                <w:sz w:val="16"/>
                <w:szCs w:val="16"/>
                <w:color w:val="auto"/>
              </w:rPr>
            </w:pPr>
          </w:p>
        </w:tc>
        <w:tc>
          <w:tcPr>
            <w:tcW w:w="820" w:type="dxa"/>
            <w:vAlign w:val="bottom"/>
            <w:shd w:val="clear" w:color="auto" w:fill="E8F0F8"/>
          </w:tcPr>
          <w:p>
            <w:pPr>
              <w:jc w:val="right"/>
              <w:spacing w:after="0"/>
              <w:rPr>
                <w:sz w:val="20"/>
                <w:szCs w:val="20"/>
                <w:color w:val="auto"/>
              </w:rPr>
            </w:pPr>
            <w:r>
              <w:rPr>
                <w:rFonts w:ascii="Arial" w:cs="Arial" w:eastAsia="Arial" w:hAnsi="Arial"/>
                <w:sz w:val="13"/>
                <w:szCs w:val="13"/>
                <w:color w:val="auto"/>
              </w:rPr>
              <w:t>3/1/2017</w:t>
            </w:r>
          </w:p>
        </w:tc>
        <w:tc>
          <w:tcPr>
            <w:tcW w:w="420" w:type="dxa"/>
            <w:vAlign w:val="bottom"/>
            <w:shd w:val="clear" w:color="auto" w:fill="E8F0F8"/>
          </w:tcPr>
          <w:p>
            <w:pPr>
              <w:jc w:val="center"/>
              <w:ind w:left="17"/>
              <w:spacing w:after="0"/>
              <w:rPr>
                <w:sz w:val="20"/>
                <w:szCs w:val="20"/>
                <w:color w:val="auto"/>
              </w:rPr>
            </w:pPr>
            <w:r>
              <w:rPr>
                <w:rFonts w:ascii="Arial" w:cs="Arial" w:eastAsia="Arial" w:hAnsi="Arial"/>
                <w:sz w:val="13"/>
                <w:szCs w:val="13"/>
                <w:color w:val="auto"/>
                <w:w w:val="87"/>
              </w:rPr>
              <w:t>(5)</w:t>
            </w:r>
          </w:p>
        </w:tc>
        <w:tc>
          <w:tcPr>
            <w:tcW w:w="180" w:type="dxa"/>
            <w:vAlign w:val="bottom"/>
            <w:shd w:val="clear" w:color="auto" w:fill="E8F0F8"/>
          </w:tcPr>
          <w:p>
            <w:pPr>
              <w:spacing w:after="0"/>
              <w:rPr>
                <w:sz w:val="16"/>
                <w:szCs w:val="16"/>
                <w:color w:val="auto"/>
              </w:rPr>
            </w:pPr>
          </w:p>
        </w:tc>
        <w:tc>
          <w:tcPr>
            <w:tcW w:w="1140" w:type="dxa"/>
            <w:vAlign w:val="bottom"/>
            <w:vMerge w:val="restart"/>
            <w:shd w:val="clear" w:color="auto" w:fill="E8F0F8"/>
          </w:tcPr>
          <w:p>
            <w:pPr>
              <w:jc w:val="right"/>
              <w:ind w:right="7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E8F0F8"/>
          </w:tcPr>
          <w:p>
            <w:pPr>
              <w:jc w:val="center"/>
              <w:ind w:right="177"/>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shd w:val="clear" w:color="auto" w:fill="E8F0F8"/>
          </w:tcPr>
          <w:p>
            <w:pPr>
              <w:jc w:val="right"/>
              <w:spacing w:after="0"/>
              <w:rPr>
                <w:sz w:val="20"/>
                <w:szCs w:val="20"/>
                <w:color w:val="auto"/>
              </w:rPr>
            </w:pPr>
            <w:r>
              <w:rPr>
                <w:rFonts w:ascii="Arial" w:cs="Arial" w:eastAsia="Arial" w:hAnsi="Arial"/>
                <w:sz w:val="13"/>
                <w:szCs w:val="13"/>
                <w:color w:val="auto"/>
              </w:rPr>
              <w:t>1,820</w:t>
            </w:r>
          </w:p>
        </w:tc>
        <w:tc>
          <w:tcPr>
            <w:tcW w:w="16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547,674</w:t>
            </w:r>
          </w:p>
        </w:tc>
        <w:tc>
          <w:tcPr>
            <w:tcW w:w="74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shd w:val="clear" w:color="auto" w:fill="E8F0F8"/>
          </w:tcPr>
          <w:p>
            <w:pPr>
              <w:spacing w:after="0"/>
              <w:rPr>
                <w:sz w:val="16"/>
                <w:szCs w:val="16"/>
                <w:color w:val="auto"/>
              </w:rPr>
            </w:pPr>
          </w:p>
        </w:tc>
        <w:tc>
          <w:tcPr>
            <w:tcW w:w="76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3"/>
        </w:trPr>
        <w:tc>
          <w:tcPr>
            <w:tcW w:w="316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420" w:type="dxa"/>
            <w:vAlign w:val="bottom"/>
            <w:shd w:val="clear" w:color="auto" w:fill="E8F0F8"/>
          </w:tcPr>
          <w:p>
            <w:pPr>
              <w:spacing w:after="0"/>
              <w:rPr>
                <w:sz w:val="3"/>
                <w:szCs w:val="3"/>
                <w:color w:val="auto"/>
              </w:rPr>
            </w:pPr>
          </w:p>
        </w:tc>
        <w:tc>
          <w:tcPr>
            <w:tcW w:w="180" w:type="dxa"/>
            <w:vAlign w:val="bottom"/>
            <w:shd w:val="clear" w:color="auto" w:fill="E8F0F8"/>
          </w:tcPr>
          <w:p>
            <w:pPr>
              <w:spacing w:after="0"/>
              <w:rPr>
                <w:sz w:val="3"/>
                <w:szCs w:val="3"/>
                <w:color w:val="auto"/>
              </w:rPr>
            </w:pPr>
          </w:p>
        </w:tc>
        <w:tc>
          <w:tcPr>
            <w:tcW w:w="1140" w:type="dxa"/>
            <w:vAlign w:val="bottom"/>
            <w:vMerge w:val="continue"/>
            <w:shd w:val="clear" w:color="auto" w:fill="E8F0F8"/>
          </w:tcPr>
          <w:p>
            <w:pPr>
              <w:spacing w:after="0"/>
              <w:rPr>
                <w:sz w:val="3"/>
                <w:szCs w:val="3"/>
                <w:color w:val="auto"/>
              </w:rPr>
            </w:pPr>
          </w:p>
        </w:tc>
        <w:tc>
          <w:tcPr>
            <w:tcW w:w="600" w:type="dxa"/>
            <w:vAlign w:val="bottom"/>
            <w:vMerge w:val="continue"/>
            <w:shd w:val="clear" w:color="auto" w:fill="E8F0F8"/>
          </w:tcPr>
          <w:p>
            <w:pPr>
              <w:spacing w:after="0"/>
              <w:rPr>
                <w:sz w:val="3"/>
                <w:szCs w:val="3"/>
                <w:color w:val="auto"/>
              </w:rPr>
            </w:pPr>
          </w:p>
        </w:tc>
        <w:tc>
          <w:tcPr>
            <w:tcW w:w="78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62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660" w:type="dxa"/>
            <w:vAlign w:val="bottom"/>
            <w:shd w:val="clear" w:color="auto" w:fill="E8F0F8"/>
          </w:tcPr>
          <w:p>
            <w:pPr>
              <w:spacing w:after="0"/>
              <w:rPr>
                <w:sz w:val="3"/>
                <w:szCs w:val="3"/>
                <w:color w:val="auto"/>
              </w:rPr>
            </w:pPr>
          </w:p>
        </w:tc>
        <w:tc>
          <w:tcPr>
            <w:tcW w:w="74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760" w:type="dxa"/>
            <w:vAlign w:val="bottom"/>
            <w:shd w:val="clear" w:color="auto" w:fill="E8F0F8"/>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160" w:type="dxa"/>
            <w:vAlign w:val="bottom"/>
            <w:shd w:val="clear" w:color="auto" w:fill="E8F0F8"/>
          </w:tcPr>
          <w:p>
            <w:pPr>
              <w:spacing w:after="0"/>
              <w:rPr>
                <w:sz w:val="16"/>
                <w:szCs w:val="16"/>
                <w:color w:val="auto"/>
              </w:rPr>
            </w:pPr>
          </w:p>
        </w:tc>
        <w:tc>
          <w:tcPr>
            <w:tcW w:w="820" w:type="dxa"/>
            <w:vAlign w:val="bottom"/>
            <w:shd w:val="clear" w:color="auto" w:fill="E8F0F8"/>
          </w:tcPr>
          <w:p>
            <w:pPr>
              <w:jc w:val="right"/>
              <w:spacing w:after="0"/>
              <w:rPr>
                <w:sz w:val="20"/>
                <w:szCs w:val="20"/>
                <w:color w:val="auto"/>
              </w:rPr>
            </w:pPr>
            <w:r>
              <w:rPr>
                <w:rFonts w:ascii="Arial" w:cs="Arial" w:eastAsia="Arial" w:hAnsi="Arial"/>
                <w:sz w:val="13"/>
                <w:szCs w:val="13"/>
                <w:color w:val="auto"/>
              </w:rPr>
              <w:t>2/12/2018</w:t>
            </w:r>
          </w:p>
        </w:tc>
        <w:tc>
          <w:tcPr>
            <w:tcW w:w="420" w:type="dxa"/>
            <w:vAlign w:val="bottom"/>
            <w:shd w:val="clear" w:color="auto" w:fill="E8F0F8"/>
          </w:tcPr>
          <w:p>
            <w:pPr>
              <w:jc w:val="center"/>
              <w:ind w:left="17"/>
              <w:spacing w:after="0"/>
              <w:rPr>
                <w:sz w:val="20"/>
                <w:szCs w:val="20"/>
                <w:color w:val="auto"/>
              </w:rPr>
            </w:pPr>
            <w:r>
              <w:rPr>
                <w:rFonts w:ascii="Arial" w:cs="Arial" w:eastAsia="Arial" w:hAnsi="Arial"/>
                <w:sz w:val="13"/>
                <w:szCs w:val="13"/>
                <w:color w:val="auto"/>
                <w:w w:val="87"/>
              </w:rPr>
              <w:t>(3)</w:t>
            </w:r>
          </w:p>
        </w:tc>
        <w:tc>
          <w:tcPr>
            <w:tcW w:w="180" w:type="dxa"/>
            <w:vAlign w:val="bottom"/>
            <w:shd w:val="clear" w:color="auto" w:fill="E8F0F8"/>
          </w:tcPr>
          <w:p>
            <w:pPr>
              <w:spacing w:after="0"/>
              <w:rPr>
                <w:sz w:val="16"/>
                <w:szCs w:val="16"/>
                <w:color w:val="auto"/>
              </w:rPr>
            </w:pPr>
          </w:p>
        </w:tc>
        <w:tc>
          <w:tcPr>
            <w:tcW w:w="1140" w:type="dxa"/>
            <w:vAlign w:val="bottom"/>
            <w:vMerge w:val="restart"/>
            <w:shd w:val="clear" w:color="auto" w:fill="E8F0F8"/>
          </w:tcPr>
          <w:p>
            <w:pPr>
              <w:jc w:val="right"/>
              <w:ind w:right="7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E8F0F8"/>
          </w:tcPr>
          <w:p>
            <w:pPr>
              <w:jc w:val="center"/>
              <w:ind w:right="177"/>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E8F0F8"/>
          </w:tcPr>
          <w:p>
            <w:pPr>
              <w:spacing w:after="0"/>
              <w:rPr>
                <w:sz w:val="16"/>
                <w:szCs w:val="16"/>
                <w:color w:val="auto"/>
              </w:rPr>
            </w:pPr>
          </w:p>
        </w:tc>
        <w:tc>
          <w:tcPr>
            <w:tcW w:w="66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9,470</w:t>
            </w:r>
          </w:p>
        </w:tc>
        <w:tc>
          <w:tcPr>
            <w:tcW w:w="16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2,849,712</w:t>
            </w:r>
          </w:p>
        </w:tc>
        <w:tc>
          <w:tcPr>
            <w:tcW w:w="0" w:type="dxa"/>
            <w:vAlign w:val="bottom"/>
          </w:tcPr>
          <w:p>
            <w:pPr>
              <w:spacing w:after="0"/>
              <w:rPr>
                <w:sz w:val="1"/>
                <w:szCs w:val="1"/>
                <w:color w:val="auto"/>
              </w:rPr>
            </w:pPr>
          </w:p>
        </w:tc>
      </w:tr>
      <w:tr>
        <w:trPr>
          <w:trHeight w:val="43"/>
        </w:trPr>
        <w:tc>
          <w:tcPr>
            <w:tcW w:w="316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420" w:type="dxa"/>
            <w:vAlign w:val="bottom"/>
            <w:shd w:val="clear" w:color="auto" w:fill="E8F0F8"/>
          </w:tcPr>
          <w:p>
            <w:pPr>
              <w:spacing w:after="0"/>
              <w:rPr>
                <w:sz w:val="3"/>
                <w:szCs w:val="3"/>
                <w:color w:val="auto"/>
              </w:rPr>
            </w:pPr>
          </w:p>
        </w:tc>
        <w:tc>
          <w:tcPr>
            <w:tcW w:w="180" w:type="dxa"/>
            <w:vAlign w:val="bottom"/>
            <w:shd w:val="clear" w:color="auto" w:fill="E8F0F8"/>
          </w:tcPr>
          <w:p>
            <w:pPr>
              <w:spacing w:after="0"/>
              <w:rPr>
                <w:sz w:val="3"/>
                <w:szCs w:val="3"/>
                <w:color w:val="auto"/>
              </w:rPr>
            </w:pPr>
          </w:p>
        </w:tc>
        <w:tc>
          <w:tcPr>
            <w:tcW w:w="1140" w:type="dxa"/>
            <w:vAlign w:val="bottom"/>
            <w:vMerge w:val="continue"/>
            <w:shd w:val="clear" w:color="auto" w:fill="E8F0F8"/>
          </w:tcPr>
          <w:p>
            <w:pPr>
              <w:spacing w:after="0"/>
              <w:rPr>
                <w:sz w:val="3"/>
                <w:szCs w:val="3"/>
                <w:color w:val="auto"/>
              </w:rPr>
            </w:pPr>
          </w:p>
        </w:tc>
        <w:tc>
          <w:tcPr>
            <w:tcW w:w="600" w:type="dxa"/>
            <w:vAlign w:val="bottom"/>
            <w:vMerge w:val="continue"/>
            <w:shd w:val="clear" w:color="auto" w:fill="E8F0F8"/>
          </w:tcPr>
          <w:p>
            <w:pPr>
              <w:spacing w:after="0"/>
              <w:rPr>
                <w:sz w:val="3"/>
                <w:szCs w:val="3"/>
                <w:color w:val="auto"/>
              </w:rPr>
            </w:pPr>
          </w:p>
        </w:tc>
        <w:tc>
          <w:tcPr>
            <w:tcW w:w="78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62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660" w:type="dxa"/>
            <w:vAlign w:val="bottom"/>
            <w:shd w:val="clear" w:color="auto" w:fill="E8F0F8"/>
          </w:tcPr>
          <w:p>
            <w:pPr>
              <w:spacing w:after="0"/>
              <w:rPr>
                <w:sz w:val="3"/>
                <w:szCs w:val="3"/>
                <w:color w:val="auto"/>
              </w:rPr>
            </w:pPr>
          </w:p>
        </w:tc>
        <w:tc>
          <w:tcPr>
            <w:tcW w:w="74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760" w:type="dxa"/>
            <w:vAlign w:val="bottom"/>
            <w:shd w:val="clear" w:color="auto" w:fill="E8F0F8"/>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160" w:type="dxa"/>
            <w:vAlign w:val="bottom"/>
            <w:shd w:val="clear" w:color="auto" w:fill="E8F0F8"/>
          </w:tcPr>
          <w:p>
            <w:pPr>
              <w:spacing w:after="0"/>
              <w:rPr>
                <w:sz w:val="16"/>
                <w:szCs w:val="16"/>
                <w:color w:val="auto"/>
              </w:rPr>
            </w:pPr>
          </w:p>
        </w:tc>
        <w:tc>
          <w:tcPr>
            <w:tcW w:w="820" w:type="dxa"/>
            <w:vAlign w:val="bottom"/>
            <w:shd w:val="clear" w:color="auto" w:fill="E8F0F8"/>
          </w:tcPr>
          <w:p>
            <w:pPr>
              <w:jc w:val="right"/>
              <w:spacing w:after="0"/>
              <w:rPr>
                <w:sz w:val="20"/>
                <w:szCs w:val="20"/>
                <w:color w:val="auto"/>
              </w:rPr>
            </w:pPr>
            <w:r>
              <w:rPr>
                <w:rFonts w:ascii="Arial" w:cs="Arial" w:eastAsia="Arial" w:hAnsi="Arial"/>
                <w:sz w:val="13"/>
                <w:szCs w:val="13"/>
                <w:color w:val="auto"/>
              </w:rPr>
              <w:t>2/12/2018</w:t>
            </w:r>
          </w:p>
        </w:tc>
        <w:tc>
          <w:tcPr>
            <w:tcW w:w="420" w:type="dxa"/>
            <w:vAlign w:val="bottom"/>
            <w:shd w:val="clear" w:color="auto" w:fill="E8F0F8"/>
          </w:tcPr>
          <w:p>
            <w:pPr>
              <w:jc w:val="center"/>
              <w:ind w:left="17"/>
              <w:spacing w:after="0"/>
              <w:rPr>
                <w:sz w:val="20"/>
                <w:szCs w:val="20"/>
                <w:color w:val="auto"/>
              </w:rPr>
            </w:pPr>
            <w:r>
              <w:rPr>
                <w:rFonts w:ascii="Arial" w:cs="Arial" w:eastAsia="Arial" w:hAnsi="Arial"/>
                <w:sz w:val="13"/>
                <w:szCs w:val="13"/>
                <w:color w:val="auto"/>
                <w:w w:val="87"/>
              </w:rPr>
              <w:t>(4)</w:t>
            </w:r>
          </w:p>
        </w:tc>
        <w:tc>
          <w:tcPr>
            <w:tcW w:w="180" w:type="dxa"/>
            <w:vAlign w:val="bottom"/>
            <w:shd w:val="clear" w:color="auto" w:fill="E8F0F8"/>
          </w:tcPr>
          <w:p>
            <w:pPr>
              <w:spacing w:after="0"/>
              <w:rPr>
                <w:sz w:val="16"/>
                <w:szCs w:val="16"/>
                <w:color w:val="auto"/>
              </w:rPr>
            </w:pPr>
          </w:p>
        </w:tc>
        <w:tc>
          <w:tcPr>
            <w:tcW w:w="1140" w:type="dxa"/>
            <w:vAlign w:val="bottom"/>
            <w:vMerge w:val="restart"/>
            <w:shd w:val="clear" w:color="auto" w:fill="E8F0F8"/>
          </w:tcPr>
          <w:p>
            <w:pPr>
              <w:jc w:val="right"/>
              <w:ind w:right="7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E8F0F8"/>
          </w:tcPr>
          <w:p>
            <w:pPr>
              <w:jc w:val="center"/>
              <w:ind w:right="177"/>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shd w:val="clear" w:color="auto" w:fill="E8F0F8"/>
          </w:tcPr>
          <w:p>
            <w:pPr>
              <w:jc w:val="right"/>
              <w:spacing w:after="0"/>
              <w:rPr>
                <w:sz w:val="20"/>
                <w:szCs w:val="20"/>
                <w:color w:val="auto"/>
              </w:rPr>
            </w:pPr>
            <w:r>
              <w:rPr>
                <w:rFonts w:ascii="Arial" w:cs="Arial" w:eastAsia="Arial" w:hAnsi="Arial"/>
                <w:sz w:val="13"/>
                <w:szCs w:val="13"/>
                <w:color w:val="auto"/>
              </w:rPr>
              <w:t>1,194</w:t>
            </w:r>
          </w:p>
        </w:tc>
        <w:tc>
          <w:tcPr>
            <w:tcW w:w="16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359,298</w:t>
            </w:r>
          </w:p>
        </w:tc>
        <w:tc>
          <w:tcPr>
            <w:tcW w:w="740" w:type="dxa"/>
            <w:vAlign w:val="bottom"/>
            <w:shd w:val="clear" w:color="auto" w:fill="E8F0F8"/>
          </w:tcPr>
          <w:p>
            <w:pPr>
              <w:jc w:val="right"/>
              <w:ind w:right="37"/>
              <w:spacing w:after="0"/>
              <w:rPr>
                <w:sz w:val="20"/>
                <w:szCs w:val="20"/>
                <w:color w:val="auto"/>
              </w:rPr>
            </w:pPr>
            <w:r>
              <w:rPr>
                <w:rFonts w:ascii="Arial" w:cs="Arial" w:eastAsia="Arial" w:hAnsi="Arial"/>
                <w:sz w:val="13"/>
                <w:szCs w:val="13"/>
                <w:color w:val="auto"/>
              </w:rPr>
              <w:t>4,108</w:t>
            </w:r>
          </w:p>
        </w:tc>
        <w:tc>
          <w:tcPr>
            <w:tcW w:w="160" w:type="dxa"/>
            <w:vAlign w:val="bottom"/>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8F0F8"/>
          </w:tcPr>
          <w:p>
            <w:pPr>
              <w:jc w:val="right"/>
              <w:ind w:right="57"/>
              <w:spacing w:after="0"/>
              <w:rPr>
                <w:sz w:val="20"/>
                <w:szCs w:val="20"/>
                <w:color w:val="auto"/>
              </w:rPr>
            </w:pPr>
            <w:r>
              <w:rPr>
                <w:rFonts w:ascii="Arial" w:cs="Arial" w:eastAsia="Arial" w:hAnsi="Arial"/>
                <w:sz w:val="13"/>
                <w:szCs w:val="13"/>
                <w:color w:val="auto"/>
              </w:rPr>
              <w:t>1,236,179</w:t>
            </w:r>
          </w:p>
        </w:tc>
        <w:tc>
          <w:tcPr>
            <w:tcW w:w="0" w:type="dxa"/>
            <w:vAlign w:val="bottom"/>
          </w:tcPr>
          <w:p>
            <w:pPr>
              <w:spacing w:after="0"/>
              <w:rPr>
                <w:sz w:val="1"/>
                <w:szCs w:val="1"/>
                <w:color w:val="auto"/>
              </w:rPr>
            </w:pPr>
          </w:p>
        </w:tc>
      </w:tr>
      <w:tr>
        <w:trPr>
          <w:trHeight w:val="43"/>
        </w:trPr>
        <w:tc>
          <w:tcPr>
            <w:tcW w:w="316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420" w:type="dxa"/>
            <w:vAlign w:val="bottom"/>
            <w:shd w:val="clear" w:color="auto" w:fill="E8F0F8"/>
          </w:tcPr>
          <w:p>
            <w:pPr>
              <w:spacing w:after="0"/>
              <w:rPr>
                <w:sz w:val="3"/>
                <w:szCs w:val="3"/>
                <w:color w:val="auto"/>
              </w:rPr>
            </w:pPr>
          </w:p>
        </w:tc>
        <w:tc>
          <w:tcPr>
            <w:tcW w:w="180" w:type="dxa"/>
            <w:vAlign w:val="bottom"/>
            <w:shd w:val="clear" w:color="auto" w:fill="E8F0F8"/>
          </w:tcPr>
          <w:p>
            <w:pPr>
              <w:spacing w:after="0"/>
              <w:rPr>
                <w:sz w:val="3"/>
                <w:szCs w:val="3"/>
                <w:color w:val="auto"/>
              </w:rPr>
            </w:pPr>
          </w:p>
        </w:tc>
        <w:tc>
          <w:tcPr>
            <w:tcW w:w="1140" w:type="dxa"/>
            <w:vAlign w:val="bottom"/>
            <w:vMerge w:val="continue"/>
            <w:shd w:val="clear" w:color="auto" w:fill="E8F0F8"/>
          </w:tcPr>
          <w:p>
            <w:pPr>
              <w:spacing w:after="0"/>
              <w:rPr>
                <w:sz w:val="3"/>
                <w:szCs w:val="3"/>
                <w:color w:val="auto"/>
              </w:rPr>
            </w:pPr>
          </w:p>
        </w:tc>
        <w:tc>
          <w:tcPr>
            <w:tcW w:w="600" w:type="dxa"/>
            <w:vAlign w:val="bottom"/>
            <w:vMerge w:val="continue"/>
            <w:shd w:val="clear" w:color="auto" w:fill="E8F0F8"/>
          </w:tcPr>
          <w:p>
            <w:pPr>
              <w:spacing w:after="0"/>
              <w:rPr>
                <w:sz w:val="3"/>
                <w:szCs w:val="3"/>
                <w:color w:val="auto"/>
              </w:rPr>
            </w:pPr>
          </w:p>
        </w:tc>
        <w:tc>
          <w:tcPr>
            <w:tcW w:w="780" w:type="dxa"/>
            <w:vAlign w:val="bottom"/>
            <w:shd w:val="clear" w:color="auto" w:fill="E8F0F8"/>
          </w:tcPr>
          <w:p>
            <w:pPr>
              <w:spacing w:after="0"/>
              <w:rPr>
                <w:sz w:val="3"/>
                <w:szCs w:val="3"/>
                <w:color w:val="auto"/>
              </w:rPr>
            </w:pPr>
          </w:p>
        </w:tc>
        <w:tc>
          <w:tcPr>
            <w:tcW w:w="820" w:type="dxa"/>
            <w:vAlign w:val="bottom"/>
            <w:shd w:val="clear" w:color="auto" w:fill="E8F0F8"/>
          </w:tcPr>
          <w:p>
            <w:pPr>
              <w:spacing w:after="0"/>
              <w:rPr>
                <w:sz w:val="3"/>
                <w:szCs w:val="3"/>
                <w:color w:val="auto"/>
              </w:rPr>
            </w:pPr>
          </w:p>
        </w:tc>
        <w:tc>
          <w:tcPr>
            <w:tcW w:w="62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660" w:type="dxa"/>
            <w:vAlign w:val="bottom"/>
            <w:shd w:val="clear" w:color="auto" w:fill="E8F0F8"/>
          </w:tcPr>
          <w:p>
            <w:pPr>
              <w:spacing w:after="0"/>
              <w:rPr>
                <w:sz w:val="3"/>
                <w:szCs w:val="3"/>
                <w:color w:val="auto"/>
              </w:rPr>
            </w:pPr>
          </w:p>
        </w:tc>
        <w:tc>
          <w:tcPr>
            <w:tcW w:w="740" w:type="dxa"/>
            <w:vAlign w:val="bottom"/>
            <w:shd w:val="clear" w:color="auto" w:fill="E8F0F8"/>
          </w:tcPr>
          <w:p>
            <w:pPr>
              <w:spacing w:after="0"/>
              <w:rPr>
                <w:sz w:val="3"/>
                <w:szCs w:val="3"/>
                <w:color w:val="auto"/>
              </w:rPr>
            </w:pPr>
          </w:p>
        </w:tc>
        <w:tc>
          <w:tcPr>
            <w:tcW w:w="160" w:type="dxa"/>
            <w:vAlign w:val="bottom"/>
            <w:shd w:val="clear" w:color="auto" w:fill="E8F0F8"/>
          </w:tcPr>
          <w:p>
            <w:pPr>
              <w:spacing w:after="0"/>
              <w:rPr>
                <w:sz w:val="3"/>
                <w:szCs w:val="3"/>
                <w:color w:val="auto"/>
              </w:rPr>
            </w:pPr>
          </w:p>
        </w:tc>
        <w:tc>
          <w:tcPr>
            <w:tcW w:w="760" w:type="dxa"/>
            <w:vAlign w:val="bottom"/>
            <w:shd w:val="clear" w:color="auto" w:fill="E8F0F8"/>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160" w:type="dxa"/>
            <w:vAlign w:val="bottom"/>
            <w:tcBorders>
              <w:bottom w:val="single" w:sz="8" w:color="E8F0F8"/>
            </w:tcBorders>
            <w:shd w:val="clear" w:color="auto" w:fill="E8F0F8"/>
          </w:tcPr>
          <w:p>
            <w:pPr>
              <w:spacing w:after="0"/>
              <w:rPr>
                <w:sz w:val="18"/>
                <w:szCs w:val="18"/>
                <w:color w:val="auto"/>
              </w:rPr>
            </w:pPr>
          </w:p>
        </w:tc>
        <w:tc>
          <w:tcPr>
            <w:tcW w:w="82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3"/>
                <w:szCs w:val="13"/>
                <w:color w:val="auto"/>
              </w:rPr>
              <w:t>2/12/2018</w:t>
            </w:r>
          </w:p>
        </w:tc>
        <w:tc>
          <w:tcPr>
            <w:tcW w:w="420" w:type="dxa"/>
            <w:vAlign w:val="bottom"/>
            <w:tcBorders>
              <w:bottom w:val="single" w:sz="8" w:color="E8F0F8"/>
            </w:tcBorders>
            <w:shd w:val="clear" w:color="auto" w:fill="E8F0F8"/>
          </w:tcPr>
          <w:p>
            <w:pPr>
              <w:jc w:val="center"/>
              <w:ind w:left="17"/>
              <w:spacing w:after="0"/>
              <w:rPr>
                <w:sz w:val="20"/>
                <w:szCs w:val="20"/>
                <w:color w:val="auto"/>
              </w:rPr>
            </w:pPr>
            <w:r>
              <w:rPr>
                <w:rFonts w:ascii="Arial" w:cs="Arial" w:eastAsia="Arial" w:hAnsi="Arial"/>
                <w:sz w:val="13"/>
                <w:szCs w:val="13"/>
                <w:color w:val="auto"/>
                <w:w w:val="87"/>
              </w:rPr>
              <w:t>(5)</w:t>
            </w:r>
          </w:p>
        </w:tc>
        <w:tc>
          <w:tcPr>
            <w:tcW w:w="180" w:type="dxa"/>
            <w:vAlign w:val="bottom"/>
            <w:tcBorders>
              <w:bottom w:val="single" w:sz="8" w:color="E8F0F8"/>
            </w:tcBorders>
            <w:shd w:val="clear" w:color="auto" w:fill="E8F0F8"/>
          </w:tcPr>
          <w:p>
            <w:pPr>
              <w:spacing w:after="0"/>
              <w:rPr>
                <w:sz w:val="18"/>
                <w:szCs w:val="18"/>
                <w:color w:val="auto"/>
              </w:rPr>
            </w:pPr>
          </w:p>
        </w:tc>
        <w:tc>
          <w:tcPr>
            <w:tcW w:w="1140" w:type="dxa"/>
            <w:vAlign w:val="bottom"/>
            <w:tcBorders>
              <w:bottom w:val="single" w:sz="8" w:color="E8F0F8"/>
            </w:tcBorders>
            <w:shd w:val="clear" w:color="auto" w:fill="E8F0F8"/>
          </w:tcPr>
          <w:p>
            <w:pPr>
              <w:jc w:val="right"/>
              <w:ind w:right="71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E8F0F8"/>
            </w:tcBorders>
            <w:shd w:val="clear" w:color="auto" w:fill="E8F0F8"/>
          </w:tcPr>
          <w:p>
            <w:pPr>
              <w:jc w:val="center"/>
              <w:ind w:right="177"/>
              <w:spacing w:after="0"/>
              <w:rPr>
                <w:sz w:val="20"/>
                <w:szCs w:val="20"/>
                <w:color w:val="auto"/>
              </w:rPr>
            </w:pPr>
            <w:r>
              <w:rPr>
                <w:rFonts w:ascii="Arial" w:cs="Arial" w:eastAsia="Arial" w:hAnsi="Arial"/>
                <w:sz w:val="13"/>
                <w:szCs w:val="13"/>
                <w:color w:val="auto"/>
                <w:w w:val="91"/>
              </w:rPr>
              <w:t>—</w:t>
            </w:r>
          </w:p>
        </w:tc>
        <w:tc>
          <w:tcPr>
            <w:tcW w:w="780" w:type="dxa"/>
            <w:vAlign w:val="bottom"/>
            <w:tcBorders>
              <w:bottom w:val="single" w:sz="8" w:color="E8F0F8"/>
            </w:tcBorders>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E8F0F8"/>
            </w:tcBorders>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3"/>
                <w:szCs w:val="13"/>
                <w:color w:val="auto"/>
              </w:rPr>
              <w:t>3,790</w:t>
            </w:r>
          </w:p>
        </w:tc>
        <w:tc>
          <w:tcPr>
            <w:tcW w:w="16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E8F0F8"/>
            </w:tcBorders>
            <w:shd w:val="clear" w:color="auto" w:fill="E8F0F8"/>
          </w:tcPr>
          <w:p>
            <w:pPr>
              <w:jc w:val="right"/>
              <w:ind w:right="37"/>
              <w:spacing w:after="0"/>
              <w:rPr>
                <w:sz w:val="20"/>
                <w:szCs w:val="20"/>
                <w:color w:val="auto"/>
              </w:rPr>
            </w:pPr>
            <w:r>
              <w:rPr>
                <w:rFonts w:ascii="Arial" w:cs="Arial" w:eastAsia="Arial" w:hAnsi="Arial"/>
                <w:sz w:val="13"/>
                <w:szCs w:val="13"/>
                <w:color w:val="auto"/>
                <w:w w:val="93"/>
              </w:rPr>
              <w:t>1,140,487</w:t>
            </w:r>
          </w:p>
        </w:tc>
        <w:tc>
          <w:tcPr>
            <w:tcW w:w="740" w:type="dxa"/>
            <w:vAlign w:val="bottom"/>
            <w:tcBorders>
              <w:bottom w:val="single" w:sz="8" w:color="E8F0F8"/>
            </w:tcBorders>
            <w:shd w:val="clear" w:color="auto" w:fill="E8F0F8"/>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E8F0F8"/>
            </w:tcBorders>
            <w:shd w:val="clear" w:color="auto" w:fill="E8F0F8"/>
          </w:tcPr>
          <w:p>
            <w:pPr>
              <w:spacing w:after="0"/>
              <w:rPr>
                <w:sz w:val="18"/>
                <w:szCs w:val="18"/>
                <w:color w:val="auto"/>
              </w:rPr>
            </w:pPr>
          </w:p>
        </w:tc>
        <w:tc>
          <w:tcPr>
            <w:tcW w:w="760" w:type="dxa"/>
            <w:vAlign w:val="bottom"/>
            <w:tcBorders>
              <w:bottom w:val="single" w:sz="8" w:color="E8F0F8"/>
            </w:tcBorders>
            <w:shd w:val="clear" w:color="auto" w:fill="E8F0F8"/>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160" w:type="dxa"/>
            <w:vAlign w:val="bottom"/>
            <w:shd w:val="clear" w:color="auto" w:fill="1A6DBB"/>
          </w:tcPr>
          <w:p>
            <w:pPr>
              <w:spacing w:after="0" w:line="20" w:lineRule="exact"/>
              <w:rPr>
                <w:sz w:val="1"/>
                <w:szCs w:val="1"/>
                <w:color w:val="auto"/>
              </w:rPr>
            </w:pPr>
          </w:p>
        </w:tc>
        <w:tc>
          <w:tcPr>
            <w:tcW w:w="820" w:type="dxa"/>
            <w:vAlign w:val="bottom"/>
            <w:shd w:val="clear" w:color="auto" w:fill="1A6DBB"/>
          </w:tcPr>
          <w:p>
            <w:pPr>
              <w:spacing w:after="0" w:line="20" w:lineRule="exact"/>
              <w:rPr>
                <w:sz w:val="1"/>
                <w:szCs w:val="1"/>
                <w:color w:val="auto"/>
              </w:rPr>
            </w:pPr>
          </w:p>
        </w:tc>
        <w:tc>
          <w:tcPr>
            <w:tcW w:w="420" w:type="dxa"/>
            <w:vAlign w:val="bottom"/>
            <w:shd w:val="clear" w:color="auto" w:fill="1A6DBB"/>
          </w:tcPr>
          <w:p>
            <w:pPr>
              <w:spacing w:after="0" w:line="20" w:lineRule="exact"/>
              <w:rPr>
                <w:sz w:val="1"/>
                <w:szCs w:val="1"/>
                <w:color w:val="auto"/>
              </w:rPr>
            </w:pPr>
          </w:p>
        </w:tc>
        <w:tc>
          <w:tcPr>
            <w:tcW w:w="180" w:type="dxa"/>
            <w:vAlign w:val="bottom"/>
            <w:shd w:val="clear" w:color="auto" w:fill="1A6DBB"/>
          </w:tcPr>
          <w:p>
            <w:pPr>
              <w:spacing w:after="0" w:line="20" w:lineRule="exact"/>
              <w:rPr>
                <w:sz w:val="1"/>
                <w:szCs w:val="1"/>
                <w:color w:val="auto"/>
              </w:rPr>
            </w:pPr>
          </w:p>
        </w:tc>
        <w:tc>
          <w:tcPr>
            <w:tcW w:w="1140" w:type="dxa"/>
            <w:vAlign w:val="bottom"/>
            <w:shd w:val="clear" w:color="auto" w:fill="1A6DBB"/>
          </w:tcPr>
          <w:p>
            <w:pPr>
              <w:spacing w:after="0" w:line="20" w:lineRule="exact"/>
              <w:rPr>
                <w:sz w:val="1"/>
                <w:szCs w:val="1"/>
                <w:color w:val="auto"/>
              </w:rPr>
            </w:pPr>
          </w:p>
        </w:tc>
        <w:tc>
          <w:tcPr>
            <w:tcW w:w="600" w:type="dxa"/>
            <w:vAlign w:val="bottom"/>
            <w:shd w:val="clear" w:color="auto" w:fill="1A6DBB"/>
          </w:tcPr>
          <w:p>
            <w:pPr>
              <w:spacing w:after="0" w:line="20" w:lineRule="exact"/>
              <w:rPr>
                <w:sz w:val="1"/>
                <w:szCs w:val="1"/>
                <w:color w:val="auto"/>
              </w:rPr>
            </w:pPr>
          </w:p>
        </w:tc>
        <w:tc>
          <w:tcPr>
            <w:tcW w:w="780" w:type="dxa"/>
            <w:vAlign w:val="bottom"/>
            <w:shd w:val="clear" w:color="auto" w:fill="1A6DBB"/>
          </w:tcPr>
          <w:p>
            <w:pPr>
              <w:spacing w:after="0" w:line="20" w:lineRule="exact"/>
              <w:rPr>
                <w:sz w:val="1"/>
                <w:szCs w:val="1"/>
                <w:color w:val="auto"/>
              </w:rPr>
            </w:pPr>
          </w:p>
        </w:tc>
        <w:tc>
          <w:tcPr>
            <w:tcW w:w="820" w:type="dxa"/>
            <w:vAlign w:val="bottom"/>
            <w:shd w:val="clear" w:color="auto" w:fill="1A6DBB"/>
          </w:tcPr>
          <w:p>
            <w:pPr>
              <w:spacing w:after="0" w:line="20" w:lineRule="exact"/>
              <w:rPr>
                <w:sz w:val="1"/>
                <w:szCs w:val="1"/>
                <w:color w:val="auto"/>
              </w:rPr>
            </w:pPr>
          </w:p>
        </w:tc>
        <w:tc>
          <w:tcPr>
            <w:tcW w:w="620" w:type="dxa"/>
            <w:vAlign w:val="bottom"/>
            <w:shd w:val="clear" w:color="auto" w:fill="1A6DBB"/>
          </w:tcPr>
          <w:p>
            <w:pPr>
              <w:spacing w:after="0" w:line="20" w:lineRule="exact"/>
              <w:rPr>
                <w:sz w:val="1"/>
                <w:szCs w:val="1"/>
                <w:color w:val="auto"/>
              </w:rPr>
            </w:pPr>
          </w:p>
        </w:tc>
        <w:tc>
          <w:tcPr>
            <w:tcW w:w="160" w:type="dxa"/>
            <w:vAlign w:val="bottom"/>
            <w:shd w:val="clear" w:color="auto" w:fill="1A6DBB"/>
          </w:tcPr>
          <w:p>
            <w:pPr>
              <w:spacing w:after="0" w:line="20" w:lineRule="exact"/>
              <w:rPr>
                <w:sz w:val="1"/>
                <w:szCs w:val="1"/>
                <w:color w:val="auto"/>
              </w:rPr>
            </w:pPr>
          </w:p>
        </w:tc>
        <w:tc>
          <w:tcPr>
            <w:tcW w:w="660" w:type="dxa"/>
            <w:vAlign w:val="bottom"/>
            <w:shd w:val="clear" w:color="auto" w:fill="1A6DBB"/>
          </w:tcPr>
          <w:p>
            <w:pPr>
              <w:spacing w:after="0" w:line="20" w:lineRule="exact"/>
              <w:rPr>
                <w:sz w:val="1"/>
                <w:szCs w:val="1"/>
                <w:color w:val="auto"/>
              </w:rPr>
            </w:pPr>
          </w:p>
        </w:tc>
        <w:tc>
          <w:tcPr>
            <w:tcW w:w="740" w:type="dxa"/>
            <w:vAlign w:val="bottom"/>
            <w:shd w:val="clear" w:color="auto" w:fill="1A6DBB"/>
          </w:tcPr>
          <w:p>
            <w:pPr>
              <w:spacing w:after="0" w:line="20" w:lineRule="exact"/>
              <w:rPr>
                <w:sz w:val="1"/>
                <w:szCs w:val="1"/>
                <w:color w:val="auto"/>
              </w:rPr>
            </w:pPr>
          </w:p>
        </w:tc>
        <w:tc>
          <w:tcPr>
            <w:tcW w:w="160" w:type="dxa"/>
            <w:vAlign w:val="bottom"/>
            <w:shd w:val="clear" w:color="auto" w:fill="1A6DBB"/>
          </w:tcPr>
          <w:p>
            <w:pPr>
              <w:spacing w:after="0" w:line="20" w:lineRule="exact"/>
              <w:rPr>
                <w:sz w:val="1"/>
                <w:szCs w:val="1"/>
                <w:color w:val="auto"/>
              </w:rPr>
            </w:pPr>
          </w:p>
        </w:tc>
        <w:tc>
          <w:tcPr>
            <w:tcW w:w="760" w:type="dxa"/>
            <w:vAlign w:val="bottom"/>
            <w:shd w:val="clear" w:color="auto" w:fill="1A6DB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-4982210</wp:posOffset>
            </wp:positionV>
            <wp:extent cx="108077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080770" cy="8890"/>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-5582285</wp:posOffset>
            </wp:positionV>
            <wp:extent cx="98615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-5762625</wp:posOffset>
            </wp:positionV>
            <wp:extent cx="408178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Notes to the Outstanding Equity Awards at 2018 Fiscal Year End Table</w:t>
      </w:r>
    </w:p>
    <w:p>
      <w:pPr>
        <w:spacing w:after="0" w:line="137" w:lineRule="exact"/>
        <w:rPr>
          <w:sz w:val="20"/>
          <w:szCs w:val="20"/>
          <w:color w:val="auto"/>
        </w:rPr>
      </w:pPr>
    </w:p>
    <w:p>
      <w:pPr>
        <w:ind w:left="420" w:hanging="216"/>
        <w:spacing w:after="0"/>
        <w:tabs>
          <w:tab w:leader="none" w:pos="42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The market value of awards is based on the closing price of our stock on December 31, 2018 ($300.92), as reported by Nasdaq.</w:t>
      </w:r>
    </w:p>
    <w:p>
      <w:pPr>
        <w:spacing w:after="0" w:line="1" w:lineRule="exact"/>
        <w:rPr>
          <w:rFonts w:ascii="Arial" w:cs="Arial" w:eastAsia="Arial" w:hAnsi="Arial"/>
          <w:sz w:val="14"/>
          <w:szCs w:val="14"/>
          <w:color w:val="auto"/>
        </w:rPr>
      </w:pPr>
    </w:p>
    <w:p>
      <w:pPr>
        <w:ind w:left="420" w:right="80" w:hanging="216"/>
        <w:spacing w:after="0" w:line="241" w:lineRule="auto"/>
        <w:tabs>
          <w:tab w:leader="none" w:pos="42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CSPUs were granted in 2017 and 2016. The numbers in column (g) reflect the number of CSPUs that were earned based on our financial performance for each of 2017 and 2016, but that had not vested based on our service-based vesting requirement as of December 31, 2018. CSPUs that have been earned based on the satisfaction of the performance conditions vest ratably over three years from the grant date. The cash payout for these awards will be based on our 30-day average closing stock price at vesting. Grants made before February 1, 2017, were adjusted pursuant to the anti-dilution provisions of such awards in connection with the spin-off of our hemophilia business on February 1, 2017. The amounts listed above reflect adjusted share amounts.</w:t>
      </w:r>
    </w:p>
    <w:p>
      <w:pPr>
        <w:spacing w:after="0" w:line="1" w:lineRule="exact"/>
        <w:rPr>
          <w:rFonts w:ascii="Arial" w:cs="Arial" w:eastAsia="Arial" w:hAnsi="Arial"/>
          <w:sz w:val="14"/>
          <w:szCs w:val="14"/>
          <w:color w:val="auto"/>
        </w:rPr>
      </w:pPr>
    </w:p>
    <w:p>
      <w:pPr>
        <w:ind w:left="420" w:right="40" w:hanging="216"/>
        <w:spacing w:after="0" w:line="241" w:lineRule="auto"/>
        <w:tabs>
          <w:tab w:leader="none" w:pos="42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MSUs were granted in 2018, 2017 and 2016. These are performance-based RSUs earned based on the growth in our stock price between the dates of grant and vesting. Earned MSUs are eligible to vest ratably over three years. The number and value shown in columns (i) and (j), respectively, reflects maximum performance results for MSUs granted in 2018, 2017 and 2016 based on the estimated performance at year-end in each case except for Mr. Capello’s January 2, 2018, grant, for which columns</w:t>
      </w:r>
    </w:p>
    <w:p>
      <w:pPr>
        <w:spacing w:after="0" w:line="1" w:lineRule="exact"/>
        <w:rPr>
          <w:rFonts w:ascii="Arial" w:cs="Arial" w:eastAsia="Arial" w:hAnsi="Arial"/>
          <w:sz w:val="14"/>
          <w:szCs w:val="14"/>
          <w:color w:val="auto"/>
        </w:rPr>
      </w:pPr>
    </w:p>
    <w:p>
      <w:pPr>
        <w:ind w:left="420" w:right="140"/>
        <w:spacing w:after="0" w:line="253" w:lineRule="auto"/>
        <w:rPr>
          <w:rFonts w:ascii="Arial" w:cs="Arial" w:eastAsia="Arial" w:hAnsi="Arial"/>
          <w:sz w:val="14"/>
          <w:szCs w:val="14"/>
          <w:color w:val="auto"/>
        </w:rPr>
      </w:pPr>
      <w:r>
        <w:rPr>
          <w:rFonts w:ascii="Arial" w:cs="Arial" w:eastAsia="Arial" w:hAnsi="Arial"/>
          <w:sz w:val="14"/>
          <w:szCs w:val="14"/>
          <w:color w:val="auto"/>
        </w:rPr>
        <w:t>(i) and (j) reflect target performance results based on the estimated performance at year-end. Grants made before February 1, 2017, were adjusted pursuant to the anti-dilution provisions of such awards in connection with the spin-off of our hemophilia business on February 1, 2017. The amounts listed above reflect adjusted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175895</wp:posOffset>
            </wp:positionV>
            <wp:extent cx="685800" cy="15430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313"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-71120</wp:posOffset>
            </wp:positionV>
            <wp:extent cx="102870" cy="946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40"/>
          </w:cols>
          <w:pgMar w:left="240" w:top="459" w:right="419" w:bottom="638"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1"/>
          <w:numId w:val="132"/>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0" w:lineRule="exact"/>
        <w:rPr>
          <w:rFonts w:ascii="Arial" w:cs="Arial" w:eastAsia="Arial" w:hAnsi="Arial"/>
          <w:sz w:val="90"/>
          <w:szCs w:val="90"/>
          <w:color w:val="1A6DBB"/>
        </w:rPr>
      </w:pPr>
    </w:p>
    <w:p>
      <w:pPr>
        <w:spacing w:after="0" w:line="200" w:lineRule="exact"/>
        <w:rPr>
          <w:rFonts w:ascii="Arial" w:cs="Arial" w:eastAsia="Arial" w:hAnsi="Arial"/>
          <w:sz w:val="90"/>
          <w:szCs w:val="90"/>
          <w:color w:val="1A6DBB"/>
        </w:rPr>
      </w:pPr>
    </w:p>
    <w:p>
      <w:pPr>
        <w:spacing w:after="0" w:line="225" w:lineRule="exact"/>
        <w:rPr>
          <w:rFonts w:ascii="Arial" w:cs="Arial" w:eastAsia="Arial" w:hAnsi="Arial"/>
          <w:sz w:val="90"/>
          <w:szCs w:val="90"/>
          <w:color w:val="1A6DBB"/>
        </w:rPr>
      </w:pPr>
    </w:p>
    <w:p>
      <w:pPr>
        <w:ind w:left="420" w:right="60" w:hanging="216"/>
        <w:spacing w:after="0" w:line="241" w:lineRule="auto"/>
        <w:tabs>
          <w:tab w:leader="none" w:pos="42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PSUs were granted in 2018. The PSUs are subject to three-year cliff vesting. In addition, 60% of the PSUs (based on the grant date target value) will be settled in shares of our common stock and performance will be based upon achievement of cumulative three-year financial and pipeline goals. The remaining 40% of the PSUs will be settled in cash and performance will be based upon the achievement of three annual financial goals determined at the beginning of each relevant year. The number and value shown in columns (g) and (h), respectively, reflect the number of 2018 Cash-Settled PSUs that were earned based on our achievement of the annual performance goals for the 2018 tranche, but that will not vest until February 12, 2021. The number and value shown in columns (i) and (j), respectively, reflect the remaining portion of the PSUs granted in 2018 (including the 2019 and 2020 tranches of the 2018 Cash-Settled PSUs) assuming target performance results. For additional information on our PSU awards, please see “Long-Term Incentives—2018 PSUs” above.</w:t>
      </w:r>
    </w:p>
    <w:p>
      <w:pPr>
        <w:spacing w:after="0" w:line="2" w:lineRule="exact"/>
        <w:rPr>
          <w:rFonts w:ascii="Arial" w:cs="Arial" w:eastAsia="Arial" w:hAnsi="Arial"/>
          <w:sz w:val="14"/>
          <w:szCs w:val="14"/>
          <w:color w:val="auto"/>
        </w:rPr>
      </w:pPr>
    </w:p>
    <w:p>
      <w:pPr>
        <w:ind w:left="420" w:right="80" w:hanging="216"/>
        <w:spacing w:after="0" w:line="241" w:lineRule="auto"/>
        <w:tabs>
          <w:tab w:leader="none" w:pos="42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RSUs were granted in 2018, 2017 and 2016 for special circumstances. 2018 RSU awards relate to one-time transition awards granted to each of the NEOs, except Messrs. Vounatsos and Capello, as described under “2018 One-Time Transition Awards” above. For Dr. Ehlers and Dr. McKenzie, the amounts in this column also reflect 3,104 RSUs granted to Dr. Ehlers on June 1, 2016, in connection with his hiring and 2,730 RSUs granted to Dr. McKenzie on March 1, 2017, under his one-time award, as described in more detail under the heading “Executive Compensation Matters—Compensation Discussion and Analysis—2017 and 2018 Hiring- and Transition-Related Compensation Decisions—Arrangement with Dr. McKenzie” in our 2018 proxy statement, in each case vesting ratably over three years from the grant date. Grants made before February 1, 2017, were adjusted pursuant to the anti-dilution provisions of such awards in connection with the spin-off of our hemophilia business on February 1, 2017. The amounts listed above reflect adjusted share amounts.</w:t>
      </w:r>
    </w:p>
    <w:p>
      <w:pPr>
        <w:spacing w:after="0" w:line="2" w:lineRule="exact"/>
        <w:rPr>
          <w:rFonts w:ascii="Arial" w:cs="Arial" w:eastAsia="Arial" w:hAnsi="Arial"/>
          <w:sz w:val="14"/>
          <w:szCs w:val="14"/>
          <w:color w:val="auto"/>
        </w:rPr>
      </w:pPr>
    </w:p>
    <w:p>
      <w:pPr>
        <w:ind w:left="420" w:right="200" w:hanging="216"/>
        <w:spacing w:after="0" w:line="250" w:lineRule="auto"/>
        <w:tabs>
          <w:tab w:leader="none" w:pos="42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These stock options were granted with a ten-year term. Stock options vest 25% on each of the first four anniversaries of the grant date. These stock options were adjusted pursuant to the anti-dilution provisions of the award in connection with the spin-off of our hemophilia business on February 1, 2017. The amounts listed above reflect adjusted share and exercise price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-1882775</wp:posOffset>
            </wp:positionV>
            <wp:extent cx="6997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1A6DBB"/>
        </w:rPr>
        <w:t>2018 Option Exercises and Stock Vested</w:t>
      </w:r>
    </w:p>
    <w:p>
      <w:pPr>
        <w:spacing w:after="0" w:line="128" w:lineRule="exact"/>
        <w:rPr>
          <w:sz w:val="20"/>
          <w:szCs w:val="20"/>
          <w:color w:val="auto"/>
        </w:rPr>
      </w:pPr>
    </w:p>
    <w:p>
      <w:pPr>
        <w:ind w:left="200" w:right="80"/>
        <w:spacing w:after="0" w:line="251" w:lineRule="auto"/>
        <w:rPr>
          <w:sz w:val="20"/>
          <w:szCs w:val="20"/>
          <w:color w:val="auto"/>
        </w:rPr>
      </w:pPr>
      <w:r>
        <w:rPr>
          <w:rFonts w:ascii="Arial" w:cs="Arial" w:eastAsia="Arial" w:hAnsi="Arial"/>
          <w:sz w:val="16"/>
          <w:szCs w:val="16"/>
          <w:color w:val="auto"/>
        </w:rPr>
        <w:t>Our executive officers must use pre-established trading plans to sell shares of our common stock. Trading plans may only be entered into during an open trading window and when the executive is not in possession of material non-public information about the Company, and we require a waiting period following the establishment of a trading plan before any trades may be executed. Our policy is designed to provide safeguards while allowing our executives an opportunity to realize the value intended by the Company in granting equity-based LTI awards.</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NEOs are also subject to the stock ownership guidelines described above under the heading “Stock Ownership Guidelines.”</w:t>
      </w:r>
    </w:p>
    <w:p>
      <w:pPr>
        <w:spacing w:after="0" w:line="113" w:lineRule="exact"/>
        <w:rPr>
          <w:sz w:val="20"/>
          <w:szCs w:val="20"/>
          <w:color w:val="auto"/>
        </w:rPr>
      </w:pPr>
    </w:p>
    <w:p>
      <w:pPr>
        <w:ind w:left="200" w:right="360"/>
        <w:spacing w:after="0" w:line="260" w:lineRule="auto"/>
        <w:rPr>
          <w:sz w:val="20"/>
          <w:szCs w:val="20"/>
          <w:color w:val="auto"/>
        </w:rPr>
      </w:pPr>
      <w:r>
        <w:rPr>
          <w:rFonts w:ascii="Arial" w:cs="Arial" w:eastAsia="Arial" w:hAnsi="Arial"/>
          <w:sz w:val="16"/>
          <w:szCs w:val="16"/>
          <w:color w:val="auto"/>
        </w:rPr>
        <w:t>The following table shows information regarding vesting of stock awards for each NEO during the year ended December 31, 2018. None of the NEOs exercised stock options during the year ended December 31, 2018.</w:t>
      </w:r>
    </w:p>
    <w:p>
      <w:pPr>
        <w:spacing w:after="0" w:line="99" w:lineRule="exact"/>
        <w:rPr>
          <w:sz w:val="20"/>
          <w:szCs w:val="20"/>
          <w:color w:val="auto"/>
        </w:rPr>
      </w:pPr>
    </w:p>
    <w:tbl>
      <w:tblPr>
        <w:tblLayout w:type="fixed"/>
        <w:tblInd w:w="20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260" w:type="dxa"/>
            <w:vAlign w:val="bottom"/>
            <w:shd w:val="clear" w:color="auto" w:fill="1A6DBB"/>
          </w:tcPr>
          <w:p>
            <w:pPr>
              <w:spacing w:after="0"/>
              <w:rPr>
                <w:sz w:val="15"/>
                <w:szCs w:val="15"/>
                <w:color w:val="auto"/>
              </w:rPr>
            </w:pPr>
          </w:p>
        </w:tc>
        <w:tc>
          <w:tcPr>
            <w:tcW w:w="4760" w:type="dxa"/>
            <w:vAlign w:val="bottom"/>
            <w:gridSpan w:val="2"/>
            <w:shd w:val="clear" w:color="auto" w:fill="1A6DBB"/>
          </w:tcPr>
          <w:p>
            <w:pPr>
              <w:jc w:val="right"/>
              <w:ind w:right="884"/>
              <w:spacing w:after="0"/>
              <w:rPr>
                <w:sz w:val="20"/>
                <w:szCs w:val="20"/>
                <w:color w:val="auto"/>
              </w:rPr>
            </w:pPr>
            <w:r>
              <w:rPr>
                <w:rFonts w:ascii="Arial" w:cs="Arial" w:eastAsia="Arial" w:hAnsi="Arial"/>
                <w:sz w:val="14"/>
                <w:szCs w:val="14"/>
                <w:color w:val="FFFFFF"/>
              </w:rPr>
              <w:t>Stock Awards</w:t>
            </w:r>
          </w:p>
        </w:tc>
      </w:tr>
      <w:tr>
        <w:trPr>
          <w:trHeight w:val="162"/>
        </w:trPr>
        <w:tc>
          <w:tcPr>
            <w:tcW w:w="20" w:type="dxa"/>
            <w:vAlign w:val="bottom"/>
          </w:tcPr>
          <w:p>
            <w:pPr>
              <w:spacing w:after="0"/>
              <w:rPr>
                <w:sz w:val="14"/>
                <w:szCs w:val="14"/>
                <w:color w:val="auto"/>
              </w:rPr>
            </w:pPr>
          </w:p>
        </w:tc>
        <w:tc>
          <w:tcPr>
            <w:tcW w:w="6260" w:type="dxa"/>
            <w:vAlign w:val="bottom"/>
            <w:shd w:val="clear" w:color="auto" w:fill="1A6DBB"/>
          </w:tcPr>
          <w:p>
            <w:pPr>
              <w:spacing w:after="0"/>
              <w:rPr>
                <w:sz w:val="14"/>
                <w:szCs w:val="14"/>
                <w:color w:val="auto"/>
              </w:rPr>
            </w:pPr>
          </w:p>
        </w:tc>
        <w:tc>
          <w:tcPr>
            <w:tcW w:w="3180" w:type="dxa"/>
            <w:vAlign w:val="bottom"/>
            <w:shd w:val="clear" w:color="auto" w:fill="1A6DBB"/>
          </w:tcPr>
          <w:p>
            <w:pPr>
              <w:jc w:val="center"/>
              <w:ind w:left="1904"/>
              <w:spacing w:after="0"/>
              <w:rPr>
                <w:sz w:val="20"/>
                <w:szCs w:val="20"/>
                <w:color w:val="auto"/>
              </w:rPr>
            </w:pPr>
            <w:r>
              <w:rPr>
                <w:rFonts w:ascii="Arial" w:cs="Arial" w:eastAsia="Arial" w:hAnsi="Arial"/>
                <w:sz w:val="14"/>
                <w:szCs w:val="14"/>
                <w:color w:val="FFFFFF"/>
              </w:rPr>
              <w:t>Number of Shares</w:t>
            </w:r>
          </w:p>
        </w:tc>
        <w:tc>
          <w:tcPr>
            <w:tcW w:w="1580" w:type="dxa"/>
            <w:vAlign w:val="bottom"/>
            <w:shd w:val="clear" w:color="auto" w:fill="1A6DBB"/>
          </w:tcPr>
          <w:p>
            <w:pPr>
              <w:jc w:val="right"/>
              <w:ind w:right="384"/>
              <w:spacing w:after="0"/>
              <w:rPr>
                <w:sz w:val="20"/>
                <w:szCs w:val="20"/>
                <w:color w:val="auto"/>
              </w:rPr>
            </w:pPr>
            <w:r>
              <w:rPr>
                <w:rFonts w:ascii="Arial" w:cs="Arial" w:eastAsia="Arial" w:hAnsi="Arial"/>
                <w:sz w:val="14"/>
                <w:szCs w:val="14"/>
                <w:color w:val="FFFFFF"/>
              </w:rPr>
              <w:t>Value</w:t>
            </w:r>
          </w:p>
        </w:tc>
      </w:tr>
      <w:tr>
        <w:trPr>
          <w:trHeight w:val="155"/>
        </w:trPr>
        <w:tc>
          <w:tcPr>
            <w:tcW w:w="20" w:type="dxa"/>
            <w:vAlign w:val="bottom"/>
          </w:tcPr>
          <w:p>
            <w:pPr>
              <w:spacing w:after="0"/>
              <w:rPr>
                <w:sz w:val="13"/>
                <w:szCs w:val="13"/>
                <w:color w:val="auto"/>
              </w:rPr>
            </w:pPr>
          </w:p>
        </w:tc>
        <w:tc>
          <w:tcPr>
            <w:tcW w:w="6260" w:type="dxa"/>
            <w:vAlign w:val="bottom"/>
            <w:shd w:val="clear" w:color="auto" w:fill="1A6DBB"/>
          </w:tcPr>
          <w:p>
            <w:pPr>
              <w:spacing w:after="0"/>
              <w:rPr>
                <w:sz w:val="13"/>
                <w:szCs w:val="13"/>
                <w:color w:val="auto"/>
              </w:rPr>
            </w:pPr>
          </w:p>
        </w:tc>
        <w:tc>
          <w:tcPr>
            <w:tcW w:w="3180" w:type="dxa"/>
            <w:vAlign w:val="bottom"/>
            <w:shd w:val="clear" w:color="auto" w:fill="1A6DBB"/>
          </w:tcPr>
          <w:p>
            <w:pPr>
              <w:jc w:val="center"/>
              <w:ind w:left="1904"/>
              <w:spacing w:after="0" w:line="155" w:lineRule="exact"/>
              <w:rPr>
                <w:sz w:val="20"/>
                <w:szCs w:val="20"/>
                <w:color w:val="auto"/>
              </w:rPr>
            </w:pPr>
            <w:r>
              <w:rPr>
                <w:rFonts w:ascii="Arial" w:cs="Arial" w:eastAsia="Arial" w:hAnsi="Arial"/>
                <w:sz w:val="14"/>
                <w:szCs w:val="14"/>
                <w:color w:val="FFFFFF"/>
              </w:rPr>
              <w:t>Acquired on</w:t>
            </w:r>
          </w:p>
        </w:tc>
        <w:tc>
          <w:tcPr>
            <w:tcW w:w="1580" w:type="dxa"/>
            <w:vAlign w:val="bottom"/>
            <w:shd w:val="clear" w:color="auto" w:fill="1A6DBB"/>
          </w:tcPr>
          <w:p>
            <w:pPr>
              <w:jc w:val="right"/>
              <w:ind w:right="184"/>
              <w:spacing w:after="0" w:line="155" w:lineRule="exact"/>
              <w:rPr>
                <w:sz w:val="20"/>
                <w:szCs w:val="20"/>
                <w:color w:val="auto"/>
              </w:rPr>
            </w:pPr>
            <w:r>
              <w:rPr>
                <w:rFonts w:ascii="Arial" w:cs="Arial" w:eastAsia="Arial" w:hAnsi="Arial"/>
                <w:sz w:val="14"/>
                <w:szCs w:val="14"/>
                <w:color w:val="FFFFFF"/>
              </w:rPr>
              <w:t>Realized on</w:t>
            </w:r>
          </w:p>
        </w:tc>
      </w:tr>
      <w:tr>
        <w:trPr>
          <w:trHeight w:val="165"/>
        </w:trPr>
        <w:tc>
          <w:tcPr>
            <w:tcW w:w="20" w:type="dxa"/>
            <w:vAlign w:val="bottom"/>
          </w:tcPr>
          <w:p>
            <w:pPr>
              <w:spacing w:after="0"/>
              <w:rPr>
                <w:sz w:val="14"/>
                <w:szCs w:val="14"/>
                <w:color w:val="auto"/>
              </w:rPr>
            </w:pPr>
          </w:p>
        </w:tc>
        <w:tc>
          <w:tcPr>
            <w:tcW w:w="6260" w:type="dxa"/>
            <w:vAlign w:val="bottom"/>
            <w:shd w:val="clear" w:color="auto" w:fill="1A6DBB"/>
          </w:tcPr>
          <w:p>
            <w:pPr>
              <w:ind w:left="60"/>
              <w:spacing w:after="0"/>
              <w:rPr>
                <w:sz w:val="20"/>
                <w:szCs w:val="20"/>
                <w:color w:val="auto"/>
              </w:rPr>
            </w:pPr>
            <w:r>
              <w:rPr>
                <w:rFonts w:ascii="Arial" w:cs="Arial" w:eastAsia="Arial" w:hAnsi="Arial"/>
                <w:sz w:val="14"/>
                <w:szCs w:val="14"/>
                <w:color w:val="FFFFFF"/>
              </w:rPr>
              <w:t>Name</w:t>
            </w:r>
          </w:p>
        </w:tc>
        <w:tc>
          <w:tcPr>
            <w:tcW w:w="3180" w:type="dxa"/>
            <w:vAlign w:val="bottom"/>
            <w:shd w:val="clear" w:color="auto" w:fill="1A6DBB"/>
          </w:tcPr>
          <w:p>
            <w:pPr>
              <w:jc w:val="center"/>
              <w:ind w:left="1884"/>
              <w:spacing w:after="0" w:line="164" w:lineRule="exact"/>
              <w:rPr>
                <w:sz w:val="20"/>
                <w:szCs w:val="20"/>
                <w:color w:val="auto"/>
              </w:rPr>
            </w:pPr>
            <w:r>
              <w:rPr>
                <w:rFonts w:ascii="Arial" w:cs="Arial" w:eastAsia="Arial" w:hAnsi="Arial"/>
                <w:sz w:val="12"/>
                <w:szCs w:val="12"/>
                <w:color w:val="FFFFFF"/>
              </w:rPr>
              <w:t>Vesting</w:t>
            </w:r>
            <w:r>
              <w:rPr>
                <w:rFonts w:ascii="Arial" w:cs="Arial" w:eastAsia="Arial" w:hAnsi="Arial"/>
                <w:sz w:val="19"/>
                <w:szCs w:val="19"/>
                <w:color w:val="FFFFFF"/>
                <w:vertAlign w:val="superscript"/>
              </w:rPr>
              <w:t>(1)</w:t>
            </w:r>
          </w:p>
        </w:tc>
        <w:tc>
          <w:tcPr>
            <w:tcW w:w="1580" w:type="dxa"/>
            <w:vAlign w:val="bottom"/>
            <w:shd w:val="clear" w:color="auto" w:fill="1A6DBB"/>
          </w:tcPr>
          <w:p>
            <w:pPr>
              <w:jc w:val="right"/>
              <w:ind w:right="164"/>
              <w:spacing w:after="0" w:line="164" w:lineRule="exact"/>
              <w:rPr>
                <w:sz w:val="20"/>
                <w:szCs w:val="20"/>
                <w:color w:val="auto"/>
              </w:rPr>
            </w:pPr>
            <w:r>
              <w:rPr>
                <w:rFonts w:ascii="Arial" w:cs="Arial" w:eastAsia="Arial" w:hAnsi="Arial"/>
                <w:sz w:val="12"/>
                <w:szCs w:val="12"/>
                <w:color w:val="FFFFFF"/>
              </w:rPr>
              <w:t>Vesting</w:t>
            </w:r>
            <w:r>
              <w:rPr>
                <w:rFonts w:ascii="Arial" w:cs="Arial" w:eastAsia="Arial" w:hAnsi="Arial"/>
                <w:sz w:val="19"/>
                <w:szCs w:val="19"/>
                <w:color w:val="FFFFFF"/>
                <w:vertAlign w:val="superscript"/>
              </w:rPr>
              <w:t>(2)(3)</w:t>
            </w:r>
          </w:p>
        </w:tc>
      </w:tr>
      <w:tr>
        <w:trPr>
          <w:trHeight w:val="220"/>
        </w:trPr>
        <w:tc>
          <w:tcPr>
            <w:tcW w:w="20" w:type="dxa"/>
            <w:vAlign w:val="bottom"/>
          </w:tcPr>
          <w:p>
            <w:pPr>
              <w:spacing w:after="0"/>
              <w:rPr>
                <w:sz w:val="19"/>
                <w:szCs w:val="19"/>
                <w:color w:val="auto"/>
              </w:rPr>
            </w:pPr>
          </w:p>
        </w:tc>
        <w:tc>
          <w:tcPr>
            <w:tcW w:w="6260" w:type="dxa"/>
            <w:vAlign w:val="bottom"/>
            <w:shd w:val="clear" w:color="auto" w:fill="E8F0F8"/>
          </w:tcPr>
          <w:p>
            <w:pPr>
              <w:ind w:left="80"/>
              <w:spacing w:after="0"/>
              <w:rPr>
                <w:sz w:val="20"/>
                <w:szCs w:val="20"/>
                <w:color w:val="auto"/>
              </w:rPr>
            </w:pPr>
            <w:r>
              <w:rPr>
                <w:rFonts w:ascii="Arial" w:cs="Arial" w:eastAsia="Arial" w:hAnsi="Arial"/>
                <w:sz w:val="16"/>
                <w:szCs w:val="16"/>
                <w:color w:val="auto"/>
              </w:rPr>
              <w:t>Michel Vounatsos</w:t>
            </w:r>
          </w:p>
        </w:tc>
        <w:tc>
          <w:tcPr>
            <w:tcW w:w="3180" w:type="dxa"/>
            <w:vAlign w:val="bottom"/>
            <w:shd w:val="clear" w:color="auto" w:fill="E8F0F8"/>
          </w:tcPr>
          <w:p>
            <w:pPr>
              <w:jc w:val="right"/>
              <w:ind w:right="124"/>
              <w:spacing w:after="0"/>
              <w:rPr>
                <w:sz w:val="20"/>
                <w:szCs w:val="20"/>
                <w:color w:val="auto"/>
              </w:rPr>
            </w:pPr>
            <w:r>
              <w:rPr>
                <w:rFonts w:ascii="Arial" w:cs="Arial" w:eastAsia="Arial" w:hAnsi="Arial"/>
                <w:sz w:val="16"/>
                <w:szCs w:val="16"/>
                <w:color w:val="auto"/>
              </w:rPr>
              <w:t>16,294</w:t>
            </w:r>
          </w:p>
        </w:tc>
        <w:tc>
          <w:tcPr>
            <w:tcW w:w="1580" w:type="dxa"/>
            <w:vAlign w:val="bottom"/>
            <w:shd w:val="clear" w:color="auto" w:fill="E8F0F8"/>
          </w:tcPr>
          <w:p>
            <w:pPr>
              <w:jc w:val="right"/>
              <w:ind w:right="164"/>
              <w:spacing w:after="0"/>
              <w:rPr>
                <w:sz w:val="20"/>
                <w:szCs w:val="20"/>
                <w:color w:val="auto"/>
              </w:rPr>
            </w:pPr>
            <w:r>
              <w:rPr>
                <w:rFonts w:ascii="Arial" w:cs="Arial" w:eastAsia="Arial" w:hAnsi="Arial"/>
                <w:sz w:val="16"/>
                <w:szCs w:val="16"/>
                <w:color w:val="auto"/>
              </w:rPr>
              <w:t>$ 5,013,149</w:t>
            </w:r>
          </w:p>
        </w:tc>
      </w:tr>
      <w:tr>
        <w:trPr>
          <w:trHeight w:val="239"/>
        </w:trPr>
        <w:tc>
          <w:tcPr>
            <w:tcW w:w="20" w:type="dxa"/>
            <w:vAlign w:val="bottom"/>
          </w:tcPr>
          <w:p>
            <w:pPr>
              <w:spacing w:after="0"/>
              <w:rPr>
                <w:sz w:val="20"/>
                <w:szCs w:val="20"/>
                <w:color w:val="auto"/>
              </w:rPr>
            </w:pPr>
          </w:p>
        </w:tc>
        <w:tc>
          <w:tcPr>
            <w:tcW w:w="6260" w:type="dxa"/>
            <w:vAlign w:val="bottom"/>
            <w:shd w:val="clear" w:color="auto" w:fill="BAD3EA"/>
          </w:tcPr>
          <w:p>
            <w:pPr>
              <w:ind w:left="80"/>
              <w:spacing w:after="0"/>
              <w:rPr>
                <w:sz w:val="20"/>
                <w:szCs w:val="20"/>
                <w:color w:val="auto"/>
              </w:rPr>
            </w:pPr>
            <w:r>
              <w:rPr>
                <w:rFonts w:ascii="Arial" w:cs="Arial" w:eastAsia="Arial" w:hAnsi="Arial"/>
                <w:sz w:val="16"/>
                <w:szCs w:val="16"/>
                <w:color w:val="auto"/>
              </w:rPr>
              <w:t>Jeffrey D. Capello</w:t>
            </w:r>
          </w:p>
        </w:tc>
        <w:tc>
          <w:tcPr>
            <w:tcW w:w="3180" w:type="dxa"/>
            <w:vAlign w:val="bottom"/>
            <w:shd w:val="clear" w:color="auto" w:fill="BAD3EA"/>
          </w:tcPr>
          <w:p>
            <w:pPr>
              <w:jc w:val="right"/>
              <w:ind w:right="124"/>
              <w:spacing w:after="0"/>
              <w:rPr>
                <w:sz w:val="20"/>
                <w:szCs w:val="20"/>
                <w:color w:val="auto"/>
              </w:rPr>
            </w:pPr>
            <w:r>
              <w:rPr>
                <w:rFonts w:ascii="Arial" w:cs="Arial" w:eastAsia="Arial" w:hAnsi="Arial"/>
                <w:sz w:val="16"/>
                <w:szCs w:val="16"/>
                <w:color w:val="auto"/>
              </w:rPr>
              <w:t>—</w:t>
            </w:r>
          </w:p>
        </w:tc>
        <w:tc>
          <w:tcPr>
            <w:tcW w:w="1580" w:type="dxa"/>
            <w:vAlign w:val="bottom"/>
            <w:shd w:val="clear" w:color="auto" w:fill="BAD3EA"/>
          </w:tcPr>
          <w:p>
            <w:pPr>
              <w:jc w:val="right"/>
              <w:ind w:right="164"/>
              <w:spacing w:after="0"/>
              <w:rPr>
                <w:sz w:val="20"/>
                <w:szCs w:val="20"/>
                <w:color w:val="auto"/>
              </w:rPr>
            </w:pPr>
            <w:r>
              <w:rPr>
                <w:rFonts w:ascii="Arial" w:cs="Arial" w:eastAsia="Arial" w:hAnsi="Arial"/>
                <w:sz w:val="16"/>
                <w:szCs w:val="16"/>
                <w:color w:val="auto"/>
              </w:rPr>
              <w:t>—</w:t>
            </w:r>
          </w:p>
        </w:tc>
      </w:tr>
      <w:tr>
        <w:trPr>
          <w:trHeight w:val="220"/>
        </w:trPr>
        <w:tc>
          <w:tcPr>
            <w:tcW w:w="20" w:type="dxa"/>
            <w:vAlign w:val="bottom"/>
          </w:tcPr>
          <w:p>
            <w:pPr>
              <w:spacing w:after="0"/>
              <w:rPr>
                <w:sz w:val="19"/>
                <w:szCs w:val="19"/>
                <w:color w:val="auto"/>
              </w:rPr>
            </w:pPr>
          </w:p>
        </w:tc>
        <w:tc>
          <w:tcPr>
            <w:tcW w:w="6260" w:type="dxa"/>
            <w:vAlign w:val="bottom"/>
            <w:shd w:val="clear" w:color="auto" w:fill="E8F0F8"/>
          </w:tcPr>
          <w:p>
            <w:pPr>
              <w:ind w:left="80"/>
              <w:spacing w:after="0"/>
              <w:rPr>
                <w:sz w:val="20"/>
                <w:szCs w:val="20"/>
                <w:color w:val="auto"/>
              </w:rPr>
            </w:pPr>
            <w:r>
              <w:rPr>
                <w:rFonts w:ascii="Arial" w:cs="Arial" w:eastAsia="Arial" w:hAnsi="Arial"/>
                <w:sz w:val="16"/>
                <w:szCs w:val="16"/>
                <w:color w:val="auto"/>
              </w:rPr>
              <w:t>Michael D. Ehlers</w:t>
            </w:r>
          </w:p>
        </w:tc>
        <w:tc>
          <w:tcPr>
            <w:tcW w:w="3180" w:type="dxa"/>
            <w:vAlign w:val="bottom"/>
            <w:shd w:val="clear" w:color="auto" w:fill="E8F0F8"/>
          </w:tcPr>
          <w:p>
            <w:pPr>
              <w:jc w:val="right"/>
              <w:ind w:right="124"/>
              <w:spacing w:after="0"/>
              <w:rPr>
                <w:sz w:val="20"/>
                <w:szCs w:val="20"/>
                <w:color w:val="auto"/>
              </w:rPr>
            </w:pPr>
            <w:r>
              <w:rPr>
                <w:rFonts w:ascii="Arial" w:cs="Arial" w:eastAsia="Arial" w:hAnsi="Arial"/>
                <w:sz w:val="16"/>
                <w:szCs w:val="16"/>
                <w:color w:val="auto"/>
              </w:rPr>
              <w:t>8,115</w:t>
            </w:r>
          </w:p>
        </w:tc>
        <w:tc>
          <w:tcPr>
            <w:tcW w:w="1580" w:type="dxa"/>
            <w:vAlign w:val="bottom"/>
            <w:shd w:val="clear" w:color="auto" w:fill="E8F0F8"/>
          </w:tcPr>
          <w:p>
            <w:pPr>
              <w:jc w:val="right"/>
              <w:ind w:right="164"/>
              <w:spacing w:after="0"/>
              <w:rPr>
                <w:sz w:val="20"/>
                <w:szCs w:val="20"/>
                <w:color w:val="auto"/>
              </w:rPr>
            </w:pPr>
            <w:r>
              <w:rPr>
                <w:rFonts w:ascii="Arial" w:cs="Arial" w:eastAsia="Arial" w:hAnsi="Arial"/>
                <w:sz w:val="16"/>
                <w:szCs w:val="16"/>
                <w:color w:val="auto"/>
              </w:rPr>
              <w:t>$ 2,471,489</w:t>
            </w:r>
          </w:p>
        </w:tc>
      </w:tr>
      <w:tr>
        <w:trPr>
          <w:trHeight w:val="239"/>
        </w:trPr>
        <w:tc>
          <w:tcPr>
            <w:tcW w:w="20" w:type="dxa"/>
            <w:vAlign w:val="bottom"/>
          </w:tcPr>
          <w:p>
            <w:pPr>
              <w:spacing w:after="0"/>
              <w:rPr>
                <w:sz w:val="20"/>
                <w:szCs w:val="20"/>
                <w:color w:val="auto"/>
              </w:rPr>
            </w:pPr>
          </w:p>
        </w:tc>
        <w:tc>
          <w:tcPr>
            <w:tcW w:w="6260" w:type="dxa"/>
            <w:vAlign w:val="bottom"/>
            <w:shd w:val="clear" w:color="auto" w:fill="BAD3EA"/>
          </w:tcPr>
          <w:p>
            <w:pPr>
              <w:ind w:left="80"/>
              <w:spacing w:after="0"/>
              <w:rPr>
                <w:sz w:val="20"/>
                <w:szCs w:val="20"/>
                <w:color w:val="auto"/>
              </w:rPr>
            </w:pPr>
            <w:r>
              <w:rPr>
                <w:rFonts w:ascii="Arial" w:cs="Arial" w:eastAsia="Arial" w:hAnsi="Arial"/>
                <w:sz w:val="16"/>
                <w:szCs w:val="16"/>
                <w:color w:val="auto"/>
              </w:rPr>
              <w:t>Susan H. Alexander</w:t>
            </w:r>
          </w:p>
        </w:tc>
        <w:tc>
          <w:tcPr>
            <w:tcW w:w="3180" w:type="dxa"/>
            <w:vAlign w:val="bottom"/>
            <w:shd w:val="clear" w:color="auto" w:fill="BAD3EA"/>
          </w:tcPr>
          <w:p>
            <w:pPr>
              <w:jc w:val="right"/>
              <w:ind w:right="124"/>
              <w:spacing w:after="0"/>
              <w:rPr>
                <w:sz w:val="20"/>
                <w:szCs w:val="20"/>
                <w:color w:val="auto"/>
              </w:rPr>
            </w:pPr>
            <w:r>
              <w:rPr>
                <w:rFonts w:ascii="Arial" w:cs="Arial" w:eastAsia="Arial" w:hAnsi="Arial"/>
                <w:sz w:val="16"/>
                <w:szCs w:val="16"/>
                <w:color w:val="auto"/>
              </w:rPr>
              <w:t>9,111</w:t>
            </w:r>
          </w:p>
        </w:tc>
        <w:tc>
          <w:tcPr>
            <w:tcW w:w="1580" w:type="dxa"/>
            <w:vAlign w:val="bottom"/>
            <w:shd w:val="clear" w:color="auto" w:fill="BAD3EA"/>
          </w:tcPr>
          <w:p>
            <w:pPr>
              <w:jc w:val="right"/>
              <w:ind w:right="164"/>
              <w:spacing w:after="0"/>
              <w:rPr>
                <w:sz w:val="20"/>
                <w:szCs w:val="20"/>
                <w:color w:val="auto"/>
              </w:rPr>
            </w:pPr>
            <w:r>
              <w:rPr>
                <w:rFonts w:ascii="Arial" w:cs="Arial" w:eastAsia="Arial" w:hAnsi="Arial"/>
                <w:sz w:val="16"/>
                <w:szCs w:val="16"/>
                <w:color w:val="auto"/>
              </w:rPr>
              <w:t>$ 2,844,100</w:t>
            </w:r>
          </w:p>
        </w:tc>
      </w:tr>
      <w:tr>
        <w:trPr>
          <w:trHeight w:val="223"/>
        </w:trPr>
        <w:tc>
          <w:tcPr>
            <w:tcW w:w="20" w:type="dxa"/>
            <w:vAlign w:val="bottom"/>
          </w:tcPr>
          <w:p>
            <w:pPr>
              <w:spacing w:after="0"/>
              <w:rPr>
                <w:sz w:val="19"/>
                <w:szCs w:val="19"/>
                <w:color w:val="auto"/>
              </w:rPr>
            </w:pPr>
          </w:p>
        </w:tc>
        <w:tc>
          <w:tcPr>
            <w:tcW w:w="6260" w:type="dxa"/>
            <w:vAlign w:val="bottom"/>
            <w:tcBorders>
              <w:bottom w:val="single" w:sz="8" w:color="auto"/>
            </w:tcBorders>
            <w:shd w:val="clear" w:color="auto" w:fill="E8F0F8"/>
          </w:tcPr>
          <w:p>
            <w:pPr>
              <w:ind w:left="80"/>
              <w:spacing w:after="0"/>
              <w:rPr>
                <w:sz w:val="20"/>
                <w:szCs w:val="20"/>
                <w:color w:val="auto"/>
              </w:rPr>
            </w:pPr>
            <w:r>
              <w:rPr>
                <w:rFonts w:ascii="Arial" w:cs="Arial" w:eastAsia="Arial" w:hAnsi="Arial"/>
                <w:sz w:val="16"/>
                <w:szCs w:val="16"/>
                <w:color w:val="auto"/>
              </w:rPr>
              <w:t>Paul F. McKenzie</w:t>
            </w:r>
          </w:p>
        </w:tc>
        <w:tc>
          <w:tcPr>
            <w:tcW w:w="3180" w:type="dxa"/>
            <w:vAlign w:val="bottom"/>
            <w:tcBorders>
              <w:bottom w:val="single" w:sz="8" w:color="auto"/>
            </w:tcBorders>
            <w:shd w:val="clear" w:color="auto" w:fill="E8F0F8"/>
          </w:tcPr>
          <w:p>
            <w:pPr>
              <w:jc w:val="right"/>
              <w:ind w:right="124"/>
              <w:spacing w:after="0"/>
              <w:rPr>
                <w:sz w:val="20"/>
                <w:szCs w:val="20"/>
                <w:color w:val="auto"/>
              </w:rPr>
            </w:pPr>
            <w:r>
              <w:rPr>
                <w:rFonts w:ascii="Arial" w:cs="Arial" w:eastAsia="Arial" w:hAnsi="Arial"/>
                <w:sz w:val="16"/>
                <w:szCs w:val="16"/>
                <w:color w:val="auto"/>
              </w:rPr>
              <w:t>5,419</w:t>
            </w:r>
          </w:p>
        </w:tc>
        <w:tc>
          <w:tcPr>
            <w:tcW w:w="1580" w:type="dxa"/>
            <w:vAlign w:val="bottom"/>
            <w:tcBorders>
              <w:bottom w:val="single" w:sz="8" w:color="auto"/>
            </w:tcBorders>
            <w:shd w:val="clear" w:color="auto" w:fill="E8F0F8"/>
          </w:tcPr>
          <w:p>
            <w:pPr>
              <w:jc w:val="right"/>
              <w:ind w:right="164"/>
              <w:spacing w:after="0"/>
              <w:rPr>
                <w:sz w:val="20"/>
                <w:szCs w:val="20"/>
                <w:color w:val="auto"/>
              </w:rPr>
            </w:pPr>
            <w:r>
              <w:rPr>
                <w:rFonts w:ascii="Arial" w:cs="Arial" w:eastAsia="Arial" w:hAnsi="Arial"/>
                <w:sz w:val="16"/>
                <w:szCs w:val="16"/>
                <w:color w:val="auto"/>
              </w:rPr>
              <w:t>$ 1,672,605</w:t>
            </w:r>
          </w:p>
        </w:tc>
      </w:tr>
      <w:tr>
        <w:trPr>
          <w:trHeight w:val="211"/>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6"/>
                <w:szCs w:val="16"/>
                <w:i w:val="1"/>
                <w:iCs w:val="1"/>
                <w:color w:val="auto"/>
              </w:rPr>
              <w:t>Notes to the 2018 Option Exercises and Stock Vested Table</w:t>
            </w:r>
          </w:p>
        </w:tc>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r>
    </w:tbl>
    <w:p>
      <w:pPr>
        <w:spacing w:after="0" w:line="105" w:lineRule="exact"/>
        <w:rPr>
          <w:sz w:val="20"/>
          <w:szCs w:val="20"/>
          <w:color w:val="auto"/>
        </w:rPr>
      </w:pPr>
    </w:p>
    <w:p>
      <w:pPr>
        <w:ind w:left="420" w:right="180" w:hanging="216"/>
        <w:spacing w:after="0" w:line="258" w:lineRule="auto"/>
        <w:tabs>
          <w:tab w:leader="none" w:pos="42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CSPUs were settled in cash for all of our NEOs. The number of actual shares of our common stock acquired on vesting with respect to MSUs and RSUs, as applicable, after shares were withheld to pay the minimum withholding of taxes was as follows:</w:t>
      </w:r>
    </w:p>
    <w:p>
      <w:pPr>
        <w:spacing w:after="0" w:line="216" w:lineRule="exact"/>
        <w:rPr>
          <w:sz w:val="20"/>
          <w:szCs w:val="20"/>
          <w:color w:val="auto"/>
        </w:rPr>
      </w:pPr>
    </w:p>
    <w:tbl>
      <w:tblPr>
        <w:tblLayout w:type="fixed"/>
        <w:tblInd w:w="1980" w:type="dxa"/>
        <w:tblCellMar>
          <w:top w:w="0" w:type="dxa"/>
          <w:left w:w="0" w:type="dxa"/>
          <w:bottom w:w="0" w:type="dxa"/>
          <w:right w:w="0" w:type="dxa"/>
        </w:tblCellMar>
      </w:tblPr>
      <w:tr>
        <w:trPr>
          <w:trHeight w:val="173"/>
        </w:trPr>
        <w:tc>
          <w:tcPr>
            <w:tcW w:w="6220" w:type="dxa"/>
            <w:vAlign w:val="bottom"/>
            <w:shd w:val="clear" w:color="auto" w:fill="1A6DBB"/>
          </w:tcPr>
          <w:p>
            <w:pPr>
              <w:spacing w:after="0"/>
              <w:rPr>
                <w:sz w:val="15"/>
                <w:szCs w:val="15"/>
                <w:color w:val="auto"/>
              </w:rPr>
            </w:pPr>
          </w:p>
        </w:tc>
        <w:tc>
          <w:tcPr>
            <w:tcW w:w="1260" w:type="dxa"/>
            <w:vAlign w:val="bottom"/>
            <w:shd w:val="clear" w:color="auto" w:fill="1A6DBB"/>
          </w:tcPr>
          <w:p>
            <w:pPr>
              <w:jc w:val="right"/>
              <w:ind w:right="103"/>
              <w:spacing w:after="0"/>
              <w:rPr>
                <w:sz w:val="20"/>
                <w:szCs w:val="20"/>
                <w:color w:val="auto"/>
              </w:rPr>
            </w:pPr>
            <w:r>
              <w:rPr>
                <w:rFonts w:ascii="Arial" w:cs="Arial" w:eastAsia="Arial" w:hAnsi="Arial"/>
                <w:sz w:val="14"/>
                <w:szCs w:val="14"/>
                <w:color w:val="FFFFFF"/>
              </w:rPr>
              <w:t>Net Shares</w:t>
            </w:r>
          </w:p>
        </w:tc>
      </w:tr>
      <w:tr>
        <w:trPr>
          <w:trHeight w:val="178"/>
        </w:trPr>
        <w:tc>
          <w:tcPr>
            <w:tcW w:w="6220" w:type="dxa"/>
            <w:vAlign w:val="bottom"/>
            <w:shd w:val="clear" w:color="auto" w:fill="1A6DBB"/>
          </w:tcPr>
          <w:p>
            <w:pPr>
              <w:spacing w:after="0"/>
              <w:rPr>
                <w:sz w:val="15"/>
                <w:szCs w:val="15"/>
                <w:color w:val="auto"/>
              </w:rPr>
            </w:pPr>
          </w:p>
        </w:tc>
        <w:tc>
          <w:tcPr>
            <w:tcW w:w="1260" w:type="dxa"/>
            <w:vAlign w:val="bottom"/>
            <w:shd w:val="clear" w:color="auto" w:fill="1A6DBB"/>
          </w:tcPr>
          <w:p>
            <w:pPr>
              <w:jc w:val="right"/>
              <w:ind w:right="103"/>
              <w:spacing w:after="0" w:line="179" w:lineRule="exact"/>
              <w:rPr>
                <w:sz w:val="20"/>
                <w:szCs w:val="20"/>
                <w:color w:val="auto"/>
              </w:rPr>
            </w:pPr>
            <w:r>
              <w:rPr>
                <w:rFonts w:ascii="Arial" w:cs="Arial" w:eastAsia="Arial" w:hAnsi="Arial"/>
                <w:sz w:val="12"/>
                <w:szCs w:val="12"/>
                <w:color w:val="FFFFFF"/>
              </w:rPr>
              <w:t>Acquired</w:t>
            </w:r>
            <w:r>
              <w:rPr>
                <w:rFonts w:ascii="Arial" w:cs="Arial" w:eastAsia="Arial" w:hAnsi="Arial"/>
                <w:sz w:val="20"/>
                <w:szCs w:val="20"/>
                <w:color w:val="FFFFFF"/>
                <w:vertAlign w:val="superscript"/>
              </w:rPr>
              <w:t>(4)</w:t>
            </w:r>
          </w:p>
        </w:tc>
      </w:tr>
      <w:tr>
        <w:trPr>
          <w:trHeight w:val="220"/>
        </w:trPr>
        <w:tc>
          <w:tcPr>
            <w:tcW w:w="6220" w:type="dxa"/>
            <w:vAlign w:val="bottom"/>
            <w:shd w:val="clear" w:color="auto" w:fill="E8F0F8"/>
          </w:tcPr>
          <w:p>
            <w:pPr>
              <w:ind w:left="80"/>
              <w:spacing w:after="0"/>
              <w:rPr>
                <w:sz w:val="20"/>
                <w:szCs w:val="20"/>
                <w:color w:val="auto"/>
              </w:rPr>
            </w:pPr>
            <w:r>
              <w:rPr>
                <w:rFonts w:ascii="Arial" w:cs="Arial" w:eastAsia="Arial" w:hAnsi="Arial"/>
                <w:sz w:val="16"/>
                <w:szCs w:val="16"/>
                <w:color w:val="auto"/>
              </w:rPr>
              <w:t>Mr. Vounatsos</w:t>
            </w:r>
          </w:p>
        </w:tc>
        <w:tc>
          <w:tcPr>
            <w:tcW w:w="1260" w:type="dxa"/>
            <w:vAlign w:val="bottom"/>
            <w:shd w:val="clear" w:color="auto" w:fill="E8F0F8"/>
          </w:tcPr>
          <w:p>
            <w:pPr>
              <w:jc w:val="right"/>
              <w:ind w:right="23"/>
              <w:spacing w:after="0"/>
              <w:rPr>
                <w:sz w:val="20"/>
                <w:szCs w:val="20"/>
                <w:color w:val="auto"/>
              </w:rPr>
            </w:pPr>
            <w:r>
              <w:rPr>
                <w:rFonts w:ascii="Arial" w:cs="Arial" w:eastAsia="Arial" w:hAnsi="Arial"/>
                <w:sz w:val="16"/>
                <w:szCs w:val="16"/>
                <w:color w:val="auto"/>
              </w:rPr>
              <w:t>4,414</w:t>
            </w:r>
          </w:p>
        </w:tc>
      </w:tr>
      <w:tr>
        <w:trPr>
          <w:trHeight w:val="239"/>
        </w:trPr>
        <w:tc>
          <w:tcPr>
            <w:tcW w:w="6220" w:type="dxa"/>
            <w:vAlign w:val="bottom"/>
            <w:shd w:val="clear" w:color="auto" w:fill="BAD3EA"/>
          </w:tcPr>
          <w:p>
            <w:pPr>
              <w:ind w:left="80"/>
              <w:spacing w:after="0"/>
              <w:rPr>
                <w:sz w:val="20"/>
                <w:szCs w:val="20"/>
                <w:color w:val="auto"/>
              </w:rPr>
            </w:pPr>
            <w:r>
              <w:rPr>
                <w:rFonts w:ascii="Arial" w:cs="Arial" w:eastAsia="Arial" w:hAnsi="Arial"/>
                <w:sz w:val="16"/>
                <w:szCs w:val="16"/>
                <w:color w:val="auto"/>
              </w:rPr>
              <w:t>Mr. Capello</w:t>
            </w:r>
          </w:p>
        </w:tc>
        <w:tc>
          <w:tcPr>
            <w:tcW w:w="1260" w:type="dxa"/>
            <w:vAlign w:val="bottom"/>
            <w:shd w:val="clear" w:color="auto" w:fill="BAD3EA"/>
          </w:tcPr>
          <w:p>
            <w:pPr>
              <w:jc w:val="right"/>
              <w:ind w:right="23"/>
              <w:spacing w:after="0"/>
              <w:rPr>
                <w:sz w:val="20"/>
                <w:szCs w:val="20"/>
                <w:color w:val="auto"/>
              </w:rPr>
            </w:pPr>
            <w:r>
              <w:rPr>
                <w:rFonts w:ascii="Arial" w:cs="Arial" w:eastAsia="Arial" w:hAnsi="Arial"/>
                <w:sz w:val="16"/>
                <w:szCs w:val="16"/>
                <w:color w:val="auto"/>
              </w:rPr>
              <w:t>—</w:t>
            </w:r>
          </w:p>
        </w:tc>
      </w:tr>
      <w:tr>
        <w:trPr>
          <w:trHeight w:val="220"/>
        </w:trPr>
        <w:tc>
          <w:tcPr>
            <w:tcW w:w="6220" w:type="dxa"/>
            <w:vAlign w:val="bottom"/>
            <w:shd w:val="clear" w:color="auto" w:fill="E8F0F8"/>
          </w:tcPr>
          <w:p>
            <w:pPr>
              <w:ind w:left="80"/>
              <w:spacing w:after="0"/>
              <w:rPr>
                <w:sz w:val="20"/>
                <w:szCs w:val="20"/>
                <w:color w:val="auto"/>
              </w:rPr>
            </w:pPr>
            <w:r>
              <w:rPr>
                <w:rFonts w:ascii="Arial" w:cs="Arial" w:eastAsia="Arial" w:hAnsi="Arial"/>
                <w:sz w:val="16"/>
                <w:szCs w:val="16"/>
                <w:color w:val="auto"/>
              </w:rPr>
              <w:t>Dr. Ehlers</w:t>
            </w:r>
          </w:p>
        </w:tc>
        <w:tc>
          <w:tcPr>
            <w:tcW w:w="1260" w:type="dxa"/>
            <w:vAlign w:val="bottom"/>
            <w:shd w:val="clear" w:color="auto" w:fill="E8F0F8"/>
          </w:tcPr>
          <w:p>
            <w:pPr>
              <w:jc w:val="right"/>
              <w:ind w:right="23"/>
              <w:spacing w:after="0"/>
              <w:rPr>
                <w:sz w:val="20"/>
                <w:szCs w:val="20"/>
                <w:color w:val="auto"/>
              </w:rPr>
            </w:pPr>
            <w:r>
              <w:rPr>
                <w:rFonts w:ascii="Arial" w:cs="Arial" w:eastAsia="Arial" w:hAnsi="Arial"/>
                <w:sz w:val="16"/>
                <w:szCs w:val="16"/>
                <w:color w:val="auto"/>
              </w:rPr>
              <w:t>2,545</w:t>
            </w:r>
          </w:p>
        </w:tc>
      </w:tr>
      <w:tr>
        <w:trPr>
          <w:trHeight w:val="239"/>
        </w:trPr>
        <w:tc>
          <w:tcPr>
            <w:tcW w:w="6220" w:type="dxa"/>
            <w:vAlign w:val="bottom"/>
            <w:shd w:val="clear" w:color="auto" w:fill="BAD3EA"/>
          </w:tcPr>
          <w:p>
            <w:pPr>
              <w:ind w:left="80"/>
              <w:spacing w:after="0"/>
              <w:rPr>
                <w:sz w:val="20"/>
                <w:szCs w:val="20"/>
                <w:color w:val="auto"/>
              </w:rPr>
            </w:pPr>
            <w:r>
              <w:rPr>
                <w:rFonts w:ascii="Arial" w:cs="Arial" w:eastAsia="Arial" w:hAnsi="Arial"/>
                <w:sz w:val="16"/>
                <w:szCs w:val="16"/>
                <w:color w:val="auto"/>
              </w:rPr>
              <w:t>Ms. Alexander</w:t>
            </w:r>
          </w:p>
        </w:tc>
        <w:tc>
          <w:tcPr>
            <w:tcW w:w="1260" w:type="dxa"/>
            <w:vAlign w:val="bottom"/>
            <w:shd w:val="clear" w:color="auto" w:fill="BAD3EA"/>
          </w:tcPr>
          <w:p>
            <w:pPr>
              <w:jc w:val="right"/>
              <w:ind w:right="23"/>
              <w:spacing w:after="0"/>
              <w:rPr>
                <w:sz w:val="20"/>
                <w:szCs w:val="20"/>
                <w:color w:val="auto"/>
              </w:rPr>
            </w:pPr>
            <w:r>
              <w:rPr>
                <w:rFonts w:ascii="Arial" w:cs="Arial" w:eastAsia="Arial" w:hAnsi="Arial"/>
                <w:sz w:val="16"/>
                <w:szCs w:val="16"/>
                <w:color w:val="auto"/>
              </w:rPr>
              <w:t>2,586</w:t>
            </w:r>
          </w:p>
        </w:tc>
      </w:tr>
      <w:tr>
        <w:trPr>
          <w:trHeight w:val="223"/>
        </w:trPr>
        <w:tc>
          <w:tcPr>
            <w:tcW w:w="6220" w:type="dxa"/>
            <w:vAlign w:val="bottom"/>
            <w:tcBorders>
              <w:bottom w:val="single" w:sz="8" w:color="auto"/>
            </w:tcBorders>
            <w:shd w:val="clear" w:color="auto" w:fill="E8F0F8"/>
          </w:tcPr>
          <w:p>
            <w:pPr>
              <w:ind w:left="80"/>
              <w:spacing w:after="0"/>
              <w:rPr>
                <w:sz w:val="20"/>
                <w:szCs w:val="20"/>
                <w:color w:val="auto"/>
              </w:rPr>
            </w:pPr>
            <w:r>
              <w:rPr>
                <w:rFonts w:ascii="Arial" w:cs="Arial" w:eastAsia="Arial" w:hAnsi="Arial"/>
                <w:sz w:val="16"/>
                <w:szCs w:val="16"/>
                <w:color w:val="auto"/>
              </w:rPr>
              <w:t>Dr. McKenzie</w:t>
            </w:r>
          </w:p>
        </w:tc>
        <w:tc>
          <w:tcPr>
            <w:tcW w:w="1260" w:type="dxa"/>
            <w:vAlign w:val="bottom"/>
            <w:tcBorders>
              <w:bottom w:val="single" w:sz="8" w:color="auto"/>
            </w:tcBorders>
            <w:shd w:val="clear" w:color="auto" w:fill="E8F0F8"/>
          </w:tcPr>
          <w:p>
            <w:pPr>
              <w:jc w:val="right"/>
              <w:ind w:right="23"/>
              <w:spacing w:after="0"/>
              <w:rPr>
                <w:sz w:val="20"/>
                <w:szCs w:val="20"/>
                <w:color w:val="auto"/>
              </w:rPr>
            </w:pPr>
            <w:r>
              <w:rPr>
                <w:rFonts w:ascii="Arial" w:cs="Arial" w:eastAsia="Arial" w:hAnsi="Arial"/>
                <w:sz w:val="16"/>
                <w:szCs w:val="16"/>
                <w:color w:val="auto"/>
              </w:rPr>
              <w:t>1,830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85725</wp:posOffset>
            </wp:positionV>
            <wp:extent cx="685800" cy="15430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-71120</wp:posOffset>
            </wp:positionV>
            <wp:extent cx="102870" cy="9461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1"/>
          <w:numId w:val="134"/>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0" w:lineRule="exact"/>
        <w:rPr>
          <w:rFonts w:ascii="Arial" w:cs="Arial" w:eastAsia="Arial" w:hAnsi="Arial"/>
          <w:sz w:val="90"/>
          <w:szCs w:val="90"/>
          <w:color w:val="1A6DBB"/>
        </w:rPr>
      </w:pPr>
    </w:p>
    <w:p>
      <w:pPr>
        <w:spacing w:after="0" w:line="200" w:lineRule="exact"/>
        <w:rPr>
          <w:rFonts w:ascii="Arial" w:cs="Arial" w:eastAsia="Arial" w:hAnsi="Arial"/>
          <w:sz w:val="90"/>
          <w:szCs w:val="90"/>
          <w:color w:val="1A6DBB"/>
        </w:rPr>
      </w:pPr>
    </w:p>
    <w:p>
      <w:pPr>
        <w:spacing w:after="0" w:line="346" w:lineRule="exact"/>
        <w:rPr>
          <w:rFonts w:ascii="Arial" w:cs="Arial" w:eastAsia="Arial" w:hAnsi="Arial"/>
          <w:sz w:val="90"/>
          <w:szCs w:val="90"/>
          <w:color w:val="1A6DBB"/>
        </w:rPr>
      </w:pPr>
    </w:p>
    <w:p>
      <w:pPr>
        <w:ind w:left="420" w:right="160" w:hanging="216"/>
        <w:spacing w:after="0" w:line="243" w:lineRule="auto"/>
        <w:tabs>
          <w:tab w:leader="none" w:pos="42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value realized for MSUs and RSUs are calculated by multiplying the closing price of a share of our common stock on the vesting date by the total number of shares that vested on such date. The value realized for CSPUs is calculated using the 30-day average closing price of the common stock of the Company through the vesting date.</w:t>
      </w:r>
    </w:p>
    <w:p>
      <w:pPr>
        <w:spacing w:after="0" w:line="160" w:lineRule="exact"/>
        <w:rPr>
          <w:rFonts w:ascii="Arial" w:cs="Arial" w:eastAsia="Arial" w:hAnsi="Arial"/>
          <w:sz w:val="14"/>
          <w:szCs w:val="14"/>
          <w:color w:val="auto"/>
        </w:rPr>
      </w:pPr>
    </w:p>
    <w:p>
      <w:pPr>
        <w:ind w:left="420" w:right="80" w:hanging="216"/>
        <w:spacing w:after="0" w:line="241" w:lineRule="auto"/>
        <w:tabs>
          <w:tab w:leader="none" w:pos="42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value realized upon vesting for Dr. McKenzie includes CSPUs with a value of $304,487, the receipt of which was deferred under the SSP, as described below. Terms of the non-qualified deferred compensation plan are described under the heading “2018 Non-Qualified Deferred Compensation” below.</w:t>
      </w:r>
    </w:p>
    <w:p>
      <w:pPr>
        <w:ind w:left="420" w:hanging="216"/>
        <w:spacing w:after="0"/>
        <w:tabs>
          <w:tab w:leader="none" w:pos="42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MSUs and RSUs were settled in shares of our common stock. CSPUs were settled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-816610</wp:posOffset>
            </wp:positionV>
            <wp:extent cx="6997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7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1A6DBB"/>
        </w:rPr>
        <w:t>2018 Non-Qualified Deferred Compensation</w:t>
      </w:r>
    </w:p>
    <w:p>
      <w:pPr>
        <w:spacing w:after="0" w:line="128" w:lineRule="exact"/>
        <w:rPr>
          <w:sz w:val="20"/>
          <w:szCs w:val="20"/>
          <w:color w:val="auto"/>
        </w:rPr>
      </w:pPr>
    </w:p>
    <w:p>
      <w:pPr>
        <w:ind w:left="220"/>
        <w:spacing w:after="0" w:line="247" w:lineRule="auto"/>
        <w:rPr>
          <w:sz w:val="20"/>
          <w:szCs w:val="20"/>
          <w:color w:val="auto"/>
        </w:rPr>
      </w:pPr>
      <w:r>
        <w:rPr>
          <w:rFonts w:ascii="Arial" w:cs="Arial" w:eastAsia="Arial" w:hAnsi="Arial"/>
          <w:sz w:val="16"/>
          <w:szCs w:val="16"/>
          <w:color w:val="auto"/>
        </w:rPr>
        <w:t>The SSP covers our executive officers and other eligible employees in the U.S. whose base salary and annual cash incentives for the year exceed a specified Internal Revenue Services limit ($275,000 in 2018) receive a Company-paid restoration match on the portion of their base salary, annual bonus and cash payments in respect of CSPUs and PSUs, as applicable, that exceeds this limit; the restoration match equals 6% of this excess compensation. The restoration match feature is intended to provide the amount of matching employer contributions that the participant would otherwise have been eligible to receive under our 401(k) plan but for the $275,000 limit imposed by Section 401(a)(17) of the Internal Revenue Code. In addition, eligible employees may make voluntary contributions of up to 80% of their base salary and 100% of their annual bonus and cash payments in respect of CSPUs and PSUs, as applicable, to the SSP, and thereby defer income taxes on such amounts until distribution is made from the SSP. The Company does not match participants’ voluntary contributions to the SSP. The SSP provides for immediate vesting of the restoration match consistent with our immediate vesting of the Company match provided under our 401(k) plan.</w:t>
      </w:r>
    </w:p>
    <w:p>
      <w:pPr>
        <w:spacing w:after="0" w:line="103" w:lineRule="exact"/>
        <w:rPr>
          <w:sz w:val="20"/>
          <w:szCs w:val="20"/>
          <w:color w:val="auto"/>
        </w:rPr>
      </w:pPr>
    </w:p>
    <w:p>
      <w:pPr>
        <w:ind w:left="220" w:right="20"/>
        <w:spacing w:after="0" w:line="250" w:lineRule="auto"/>
        <w:rPr>
          <w:sz w:val="20"/>
          <w:szCs w:val="20"/>
          <w:color w:val="auto"/>
        </w:rPr>
      </w:pPr>
      <w:r>
        <w:rPr>
          <w:rFonts w:ascii="Arial" w:cs="Arial" w:eastAsia="Arial" w:hAnsi="Arial"/>
          <w:sz w:val="16"/>
          <w:szCs w:val="16"/>
          <w:color w:val="auto"/>
        </w:rPr>
        <w:t>Notional SSP accounts are maintained for each participant. Accounts include employee and employer contributions and reflect the performance of notional investments selected by the employee or a default investment if the employee does not make a selection. These notional investment options</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include the mutual funds offered under our 401(k) plan as well as a fixed rate option which earns a rate of return determined each year by the Company’s retirement committee. For contributions to the SSP fixed rate option in 2018, this rate of return was set at 5%. Contributions to the fixed rate option continue to earn interest at the rate of return that was in effect during the year of contribution. The excess of the interest rate paid on the fixed rate option above 120% of the applicable federal long-term rate (compounded quarterly) earned by our NEOs during 2018 is shown in the Summary Compensation Table. We fund the SSP liabilities through corporate-owned life insurance (COLI), which we purchase with the written consent of SSP participants, and investments in mutual funds. We believe that the COLI policies and mutual funds will be sufficient to cover plan liabilities through the projected payout date so the plan will not require direct funding by the Company. Upon enrollment in the SSP, a participant must elect when and how distributions will be made from the participant’s account. Distributions can be made upon termination of the participant’s employment, either in a lump sum or up to 15 annual installments, or at a specified future date while the participant is still employed (an “in-service” distribution), either in a lump sum or up to 5 annual installments. Further, upon enrollment, a participant must also elect a distribution method upon death or a change in control of the Company, which can either be a lump sum payment or, if different, the method selected for payment upon termination of employment.</w:t>
      </w:r>
    </w:p>
    <w:p>
      <w:pPr>
        <w:spacing w:after="0" w:line="625" w:lineRule="exact"/>
        <w:rPr>
          <w:sz w:val="20"/>
          <w:szCs w:val="20"/>
          <w:color w:val="auto"/>
        </w:rPr>
      </w:pPr>
    </w:p>
    <w:p>
      <w:pPr>
        <w:sectPr>
          <w:pgSz w:w="11900" w:h="16838" w:orient="portrait"/>
          <w:cols w:equalWidth="0" w:num="2">
            <w:col w:w="5500" w:space="320"/>
            <w:col w:w="5420"/>
          </w:cols>
          <w:pgMar w:left="240" w:top="459" w:right="419" w:bottom="1440" w:gutter="0" w:footer="0" w:header="0"/>
          <w:type w:val="continuous"/>
        </w:sectPr>
      </w:pPr>
    </w:p>
    <w:p>
      <w:pPr>
        <w:spacing w:after="0" w:line="179" w:lineRule="exact"/>
        <w:rPr>
          <w:sz w:val="20"/>
          <w:szCs w:val="20"/>
          <w:color w:val="auto"/>
        </w:rPr>
      </w:pPr>
    </w:p>
    <w:p>
      <w:pPr>
        <w:ind w:left="200" w:right="40"/>
        <w:spacing w:after="0" w:line="253" w:lineRule="auto"/>
        <w:rPr>
          <w:sz w:val="20"/>
          <w:szCs w:val="20"/>
          <w:color w:val="auto"/>
        </w:rPr>
      </w:pPr>
      <w:r>
        <w:rPr>
          <w:rFonts w:ascii="Arial" w:cs="Arial" w:eastAsia="Arial" w:hAnsi="Arial"/>
          <w:sz w:val="16"/>
          <w:szCs w:val="16"/>
          <w:color w:val="auto"/>
        </w:rPr>
        <w:t>The following table shows a summary of all contributions to, earnings on and distributions received from the SSP for each of our NEOs for the year ended December 31, 2018. The account balances as of year-end include all contributions and interest amounts earned by our NEOs through the end of 2018 plus the SSP contributions that the Company made in early 2019 based on earnings in the last quarter of 2018.</w:t>
      </w:r>
    </w:p>
    <w:p>
      <w:pPr>
        <w:spacing w:after="0" w:line="105" w:lineRule="exact"/>
        <w:rPr>
          <w:sz w:val="20"/>
          <w:szCs w:val="20"/>
          <w:color w:val="auto"/>
        </w:rPr>
      </w:pPr>
    </w:p>
    <w:tbl>
      <w:tblPr>
        <w:tblLayout w:type="fixed"/>
        <w:tblInd w:w="220" w:type="dxa"/>
        <w:tblCellMar>
          <w:top w:w="0" w:type="dxa"/>
          <w:left w:w="0" w:type="dxa"/>
          <w:bottom w:w="0" w:type="dxa"/>
          <w:right w:w="0" w:type="dxa"/>
        </w:tblCellMar>
      </w:tblPr>
      <w:tr>
        <w:trPr>
          <w:trHeight w:val="180"/>
        </w:trPr>
        <w:tc>
          <w:tcPr>
            <w:tcW w:w="4860" w:type="dxa"/>
            <w:vAlign w:val="bottom"/>
            <w:shd w:val="clear" w:color="auto" w:fill="1A6DBB"/>
          </w:tcPr>
          <w:p>
            <w:pPr>
              <w:spacing w:after="0"/>
              <w:rPr>
                <w:sz w:val="15"/>
                <w:szCs w:val="15"/>
                <w:color w:val="auto"/>
              </w:rPr>
            </w:pPr>
          </w:p>
        </w:tc>
        <w:tc>
          <w:tcPr>
            <w:tcW w:w="460" w:type="dxa"/>
            <w:vAlign w:val="bottom"/>
            <w:shd w:val="clear" w:color="auto" w:fill="1A6DBB"/>
          </w:tcPr>
          <w:p>
            <w:pPr>
              <w:spacing w:after="0"/>
              <w:rPr>
                <w:sz w:val="15"/>
                <w:szCs w:val="15"/>
                <w:color w:val="auto"/>
              </w:rPr>
            </w:pPr>
          </w:p>
        </w:tc>
        <w:tc>
          <w:tcPr>
            <w:tcW w:w="980" w:type="dxa"/>
            <w:vAlign w:val="bottom"/>
            <w:shd w:val="clear" w:color="auto" w:fill="1A6DBB"/>
          </w:tcPr>
          <w:p>
            <w:pPr>
              <w:spacing w:after="0"/>
              <w:rPr>
                <w:sz w:val="15"/>
                <w:szCs w:val="15"/>
                <w:color w:val="auto"/>
              </w:rPr>
            </w:pPr>
          </w:p>
        </w:tc>
        <w:tc>
          <w:tcPr>
            <w:tcW w:w="320" w:type="dxa"/>
            <w:vAlign w:val="bottom"/>
            <w:shd w:val="clear" w:color="auto" w:fill="1A6DBB"/>
          </w:tcPr>
          <w:p>
            <w:pPr>
              <w:spacing w:after="0"/>
              <w:rPr>
                <w:sz w:val="15"/>
                <w:szCs w:val="15"/>
                <w:color w:val="auto"/>
              </w:rPr>
            </w:pPr>
          </w:p>
        </w:tc>
        <w:tc>
          <w:tcPr>
            <w:tcW w:w="960" w:type="dxa"/>
            <w:vAlign w:val="bottom"/>
            <w:shd w:val="clear" w:color="auto" w:fill="1A6DBB"/>
          </w:tcPr>
          <w:p>
            <w:pPr>
              <w:spacing w:after="0"/>
              <w:rPr>
                <w:sz w:val="15"/>
                <w:szCs w:val="15"/>
                <w:color w:val="auto"/>
              </w:rPr>
            </w:pPr>
          </w:p>
        </w:tc>
        <w:tc>
          <w:tcPr>
            <w:tcW w:w="1180" w:type="dxa"/>
            <w:vAlign w:val="bottom"/>
            <w:gridSpan w:val="2"/>
            <w:shd w:val="clear" w:color="auto" w:fill="1A6DBB"/>
          </w:tcPr>
          <w:p>
            <w:pPr>
              <w:ind w:left="240"/>
              <w:spacing w:after="0"/>
              <w:rPr>
                <w:sz w:val="20"/>
                <w:szCs w:val="20"/>
                <w:color w:val="auto"/>
              </w:rPr>
            </w:pPr>
            <w:r>
              <w:rPr>
                <w:rFonts w:ascii="Arial" w:cs="Arial" w:eastAsia="Arial" w:hAnsi="Arial"/>
                <w:sz w:val="14"/>
                <w:szCs w:val="14"/>
                <w:color w:val="FFFFFF"/>
              </w:rPr>
              <w:t>Aggregate</w:t>
            </w:r>
          </w:p>
        </w:tc>
        <w:tc>
          <w:tcPr>
            <w:tcW w:w="1160" w:type="dxa"/>
            <w:vAlign w:val="bottom"/>
            <w:shd w:val="clear" w:color="auto" w:fill="1A6DBB"/>
          </w:tcPr>
          <w:p>
            <w:pPr>
              <w:spacing w:after="0"/>
              <w:rPr>
                <w:sz w:val="15"/>
                <w:szCs w:val="15"/>
                <w:color w:val="auto"/>
              </w:rPr>
            </w:pPr>
          </w:p>
        </w:tc>
        <w:tc>
          <w:tcPr>
            <w:tcW w:w="1100" w:type="dxa"/>
            <w:vAlign w:val="bottom"/>
            <w:gridSpan w:val="2"/>
            <w:vMerge w:val="restart"/>
            <w:shd w:val="clear" w:color="auto" w:fill="1A6DBB"/>
          </w:tcPr>
          <w:p>
            <w:pPr>
              <w:jc w:val="center"/>
              <w:spacing w:after="0"/>
              <w:rPr>
                <w:sz w:val="20"/>
                <w:szCs w:val="20"/>
                <w:color w:val="auto"/>
              </w:rPr>
            </w:pPr>
            <w:r>
              <w:rPr>
                <w:rFonts w:ascii="Arial" w:cs="Arial" w:eastAsia="Arial" w:hAnsi="Arial"/>
                <w:sz w:val="14"/>
                <w:szCs w:val="14"/>
                <w:color w:val="FFFFFF"/>
              </w:rPr>
              <w:t>Aggregate</w:t>
            </w:r>
          </w:p>
        </w:tc>
        <w:tc>
          <w:tcPr>
            <w:tcW w:w="0" w:type="dxa"/>
            <w:vAlign w:val="bottom"/>
          </w:tcPr>
          <w:p>
            <w:pPr>
              <w:spacing w:after="0"/>
              <w:rPr>
                <w:sz w:val="1"/>
                <w:szCs w:val="1"/>
                <w:color w:val="auto"/>
              </w:rPr>
            </w:pPr>
          </w:p>
        </w:tc>
      </w:tr>
      <w:tr>
        <w:trPr>
          <w:trHeight w:val="149"/>
        </w:trPr>
        <w:tc>
          <w:tcPr>
            <w:tcW w:w="4860" w:type="dxa"/>
            <w:vAlign w:val="bottom"/>
            <w:shd w:val="clear" w:color="auto" w:fill="1A6DBB"/>
          </w:tcPr>
          <w:p>
            <w:pPr>
              <w:spacing w:after="0"/>
              <w:rPr>
                <w:sz w:val="12"/>
                <w:szCs w:val="12"/>
                <w:color w:val="auto"/>
              </w:rPr>
            </w:pPr>
          </w:p>
        </w:tc>
        <w:tc>
          <w:tcPr>
            <w:tcW w:w="460" w:type="dxa"/>
            <w:vAlign w:val="bottom"/>
            <w:shd w:val="clear" w:color="auto" w:fill="1A6DBB"/>
          </w:tcPr>
          <w:p>
            <w:pPr>
              <w:spacing w:after="0"/>
              <w:rPr>
                <w:sz w:val="12"/>
                <w:szCs w:val="12"/>
                <w:color w:val="auto"/>
              </w:rPr>
            </w:pPr>
          </w:p>
        </w:tc>
        <w:tc>
          <w:tcPr>
            <w:tcW w:w="980" w:type="dxa"/>
            <w:vAlign w:val="bottom"/>
            <w:shd w:val="clear" w:color="auto" w:fill="1A6DBB"/>
          </w:tcPr>
          <w:p>
            <w:pPr>
              <w:jc w:val="right"/>
              <w:ind w:right="263"/>
              <w:spacing w:after="0" w:line="149" w:lineRule="exact"/>
              <w:rPr>
                <w:sz w:val="20"/>
                <w:szCs w:val="20"/>
                <w:color w:val="auto"/>
              </w:rPr>
            </w:pPr>
            <w:r>
              <w:rPr>
                <w:rFonts w:ascii="Arial" w:cs="Arial" w:eastAsia="Arial" w:hAnsi="Arial"/>
                <w:sz w:val="14"/>
                <w:szCs w:val="14"/>
                <w:color w:val="FFFFFF"/>
              </w:rPr>
              <w:t>Executive</w:t>
            </w:r>
          </w:p>
        </w:tc>
        <w:tc>
          <w:tcPr>
            <w:tcW w:w="320" w:type="dxa"/>
            <w:vAlign w:val="bottom"/>
            <w:shd w:val="clear" w:color="auto" w:fill="1A6DBB"/>
          </w:tcPr>
          <w:p>
            <w:pPr>
              <w:spacing w:after="0"/>
              <w:rPr>
                <w:sz w:val="12"/>
                <w:szCs w:val="12"/>
                <w:color w:val="auto"/>
              </w:rPr>
            </w:pPr>
          </w:p>
        </w:tc>
        <w:tc>
          <w:tcPr>
            <w:tcW w:w="960" w:type="dxa"/>
            <w:vAlign w:val="bottom"/>
            <w:shd w:val="clear" w:color="auto" w:fill="1A6DBB"/>
          </w:tcPr>
          <w:p>
            <w:pPr>
              <w:jc w:val="right"/>
              <w:ind w:right="263"/>
              <w:spacing w:after="0" w:line="149" w:lineRule="exact"/>
              <w:rPr>
                <w:sz w:val="20"/>
                <w:szCs w:val="20"/>
                <w:color w:val="auto"/>
              </w:rPr>
            </w:pPr>
            <w:r>
              <w:rPr>
                <w:rFonts w:ascii="Arial" w:cs="Arial" w:eastAsia="Arial" w:hAnsi="Arial"/>
                <w:sz w:val="14"/>
                <w:szCs w:val="14"/>
                <w:color w:val="FFFFFF"/>
              </w:rPr>
              <w:t>Company</w:t>
            </w:r>
          </w:p>
        </w:tc>
        <w:tc>
          <w:tcPr>
            <w:tcW w:w="1180" w:type="dxa"/>
            <w:vAlign w:val="bottom"/>
            <w:gridSpan w:val="2"/>
            <w:shd w:val="clear" w:color="auto" w:fill="1A6DBB"/>
          </w:tcPr>
          <w:p>
            <w:pPr>
              <w:jc w:val="center"/>
              <w:spacing w:after="0" w:line="149" w:lineRule="exact"/>
              <w:rPr>
                <w:sz w:val="20"/>
                <w:szCs w:val="20"/>
                <w:color w:val="auto"/>
              </w:rPr>
            </w:pPr>
            <w:r>
              <w:rPr>
                <w:rFonts w:ascii="Arial" w:cs="Arial" w:eastAsia="Arial" w:hAnsi="Arial"/>
                <w:sz w:val="14"/>
                <w:szCs w:val="14"/>
                <w:color w:val="FFFFFF"/>
              </w:rPr>
              <w:t>Earnings</w:t>
            </w:r>
          </w:p>
        </w:tc>
        <w:tc>
          <w:tcPr>
            <w:tcW w:w="1160" w:type="dxa"/>
            <w:vAlign w:val="bottom"/>
            <w:shd w:val="clear" w:color="auto" w:fill="1A6DBB"/>
          </w:tcPr>
          <w:p>
            <w:pPr>
              <w:jc w:val="center"/>
              <w:spacing w:after="0" w:line="149" w:lineRule="exact"/>
              <w:rPr>
                <w:sz w:val="20"/>
                <w:szCs w:val="20"/>
                <w:color w:val="auto"/>
              </w:rPr>
            </w:pPr>
            <w:r>
              <w:rPr>
                <w:rFonts w:ascii="Arial" w:cs="Arial" w:eastAsia="Arial" w:hAnsi="Arial"/>
                <w:sz w:val="14"/>
                <w:szCs w:val="14"/>
                <w:color w:val="FFFFFF"/>
              </w:rPr>
              <w:t>Aggregate</w:t>
            </w:r>
          </w:p>
        </w:tc>
        <w:tc>
          <w:tcPr>
            <w:tcW w:w="1100" w:type="dxa"/>
            <w:vAlign w:val="bottom"/>
            <w:gridSpan w:val="2"/>
            <w:vMerge w:val="continue"/>
            <w:shd w:val="clear" w:color="auto" w:fill="1A6DBB"/>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60" w:type="dxa"/>
            <w:vAlign w:val="bottom"/>
            <w:shd w:val="clear" w:color="auto" w:fill="1A6DBB"/>
          </w:tcPr>
          <w:p>
            <w:pPr>
              <w:spacing w:after="0"/>
              <w:rPr>
                <w:sz w:val="14"/>
                <w:szCs w:val="14"/>
                <w:color w:val="auto"/>
              </w:rPr>
            </w:pPr>
          </w:p>
        </w:tc>
        <w:tc>
          <w:tcPr>
            <w:tcW w:w="1440" w:type="dxa"/>
            <w:vAlign w:val="bottom"/>
            <w:gridSpan w:val="2"/>
            <w:shd w:val="clear" w:color="auto" w:fill="1A6DBB"/>
          </w:tcPr>
          <w:p>
            <w:pPr>
              <w:ind w:left="360"/>
              <w:spacing w:after="0"/>
              <w:rPr>
                <w:sz w:val="20"/>
                <w:szCs w:val="20"/>
                <w:color w:val="auto"/>
              </w:rPr>
            </w:pPr>
            <w:r>
              <w:rPr>
                <w:rFonts w:ascii="Arial" w:cs="Arial" w:eastAsia="Arial" w:hAnsi="Arial"/>
                <w:sz w:val="14"/>
                <w:szCs w:val="14"/>
                <w:color w:val="FFFFFF"/>
              </w:rPr>
              <w:t>Contributions</w:t>
            </w:r>
          </w:p>
        </w:tc>
        <w:tc>
          <w:tcPr>
            <w:tcW w:w="1280" w:type="dxa"/>
            <w:vAlign w:val="bottom"/>
            <w:gridSpan w:val="2"/>
            <w:shd w:val="clear" w:color="auto" w:fill="1A6DBB"/>
          </w:tcPr>
          <w:p>
            <w:pPr>
              <w:ind w:left="200"/>
              <w:spacing w:after="0"/>
              <w:rPr>
                <w:sz w:val="20"/>
                <w:szCs w:val="20"/>
                <w:color w:val="auto"/>
              </w:rPr>
            </w:pPr>
            <w:r>
              <w:rPr>
                <w:rFonts w:ascii="Arial" w:cs="Arial" w:eastAsia="Arial" w:hAnsi="Arial"/>
                <w:sz w:val="14"/>
                <w:szCs w:val="14"/>
                <w:color w:val="FFFFFF"/>
              </w:rPr>
              <w:t>Contributions</w:t>
            </w:r>
          </w:p>
        </w:tc>
        <w:tc>
          <w:tcPr>
            <w:tcW w:w="320" w:type="dxa"/>
            <w:vAlign w:val="bottom"/>
            <w:shd w:val="clear" w:color="auto" w:fill="1A6DBB"/>
          </w:tcPr>
          <w:p>
            <w:pPr>
              <w:spacing w:after="0"/>
              <w:rPr>
                <w:sz w:val="14"/>
                <w:szCs w:val="14"/>
                <w:color w:val="auto"/>
              </w:rPr>
            </w:pPr>
          </w:p>
        </w:tc>
        <w:tc>
          <w:tcPr>
            <w:tcW w:w="860" w:type="dxa"/>
            <w:vAlign w:val="bottom"/>
            <w:shd w:val="clear" w:color="auto" w:fill="1A6DBB"/>
          </w:tcPr>
          <w:p>
            <w:pPr>
              <w:jc w:val="center"/>
              <w:ind w:right="284"/>
              <w:spacing w:after="0"/>
              <w:rPr>
                <w:sz w:val="20"/>
                <w:szCs w:val="20"/>
                <w:color w:val="auto"/>
              </w:rPr>
            </w:pPr>
            <w:r>
              <w:rPr>
                <w:rFonts w:ascii="Arial" w:cs="Arial" w:eastAsia="Arial" w:hAnsi="Arial"/>
                <w:sz w:val="14"/>
                <w:szCs w:val="14"/>
                <w:color w:val="FFFFFF"/>
              </w:rPr>
              <w:t>in Last</w:t>
            </w:r>
          </w:p>
        </w:tc>
        <w:tc>
          <w:tcPr>
            <w:tcW w:w="1160" w:type="dxa"/>
            <w:vAlign w:val="bottom"/>
            <w:shd w:val="clear" w:color="auto" w:fill="1A6DBB"/>
          </w:tcPr>
          <w:p>
            <w:pPr>
              <w:jc w:val="center"/>
              <w:ind w:left="3"/>
              <w:spacing w:after="0"/>
              <w:rPr>
                <w:sz w:val="20"/>
                <w:szCs w:val="20"/>
                <w:color w:val="auto"/>
              </w:rPr>
            </w:pPr>
            <w:r>
              <w:rPr>
                <w:rFonts w:ascii="Arial" w:cs="Arial" w:eastAsia="Arial" w:hAnsi="Arial"/>
                <w:sz w:val="14"/>
                <w:szCs w:val="14"/>
                <w:color w:val="FFFFFF"/>
              </w:rPr>
              <w:t>Distributions</w:t>
            </w:r>
          </w:p>
        </w:tc>
        <w:tc>
          <w:tcPr>
            <w:tcW w:w="1100" w:type="dxa"/>
            <w:vAlign w:val="bottom"/>
            <w:gridSpan w:val="2"/>
            <w:shd w:val="clear" w:color="auto" w:fill="1A6DBB"/>
          </w:tcPr>
          <w:p>
            <w:pPr>
              <w:jc w:val="center"/>
              <w:spacing w:after="0"/>
              <w:rPr>
                <w:sz w:val="20"/>
                <w:szCs w:val="20"/>
                <w:color w:val="auto"/>
              </w:rPr>
            </w:pPr>
            <w:r>
              <w:rPr>
                <w:rFonts w:ascii="Arial" w:cs="Arial" w:eastAsia="Arial" w:hAnsi="Arial"/>
                <w:sz w:val="14"/>
                <w:szCs w:val="14"/>
                <w:color w:val="FFFFFF"/>
              </w:rPr>
              <w:t>Balance at</w:t>
            </w:r>
          </w:p>
        </w:tc>
        <w:tc>
          <w:tcPr>
            <w:tcW w:w="0" w:type="dxa"/>
            <w:vAlign w:val="bottom"/>
          </w:tcPr>
          <w:p>
            <w:pPr>
              <w:spacing w:after="0"/>
              <w:rPr>
                <w:sz w:val="1"/>
                <w:szCs w:val="1"/>
                <w:color w:val="auto"/>
              </w:rPr>
            </w:pPr>
          </w:p>
        </w:tc>
      </w:tr>
      <w:tr>
        <w:trPr>
          <w:trHeight w:val="155"/>
        </w:trPr>
        <w:tc>
          <w:tcPr>
            <w:tcW w:w="4860" w:type="dxa"/>
            <w:vAlign w:val="bottom"/>
            <w:shd w:val="clear" w:color="auto" w:fill="1A6DBB"/>
          </w:tcPr>
          <w:p>
            <w:pPr>
              <w:spacing w:after="0"/>
              <w:rPr>
                <w:sz w:val="13"/>
                <w:szCs w:val="13"/>
                <w:color w:val="auto"/>
              </w:rPr>
            </w:pPr>
          </w:p>
        </w:tc>
        <w:tc>
          <w:tcPr>
            <w:tcW w:w="1440" w:type="dxa"/>
            <w:vAlign w:val="bottom"/>
            <w:gridSpan w:val="2"/>
            <w:shd w:val="clear" w:color="auto" w:fill="1A6DBB"/>
          </w:tcPr>
          <w:p>
            <w:pPr>
              <w:ind w:left="360"/>
              <w:spacing w:after="0" w:line="155" w:lineRule="exact"/>
              <w:rPr>
                <w:sz w:val="20"/>
                <w:szCs w:val="20"/>
                <w:color w:val="auto"/>
              </w:rPr>
            </w:pPr>
            <w:r>
              <w:rPr>
                <w:rFonts w:ascii="Arial" w:cs="Arial" w:eastAsia="Arial" w:hAnsi="Arial"/>
                <w:sz w:val="14"/>
                <w:szCs w:val="14"/>
                <w:color w:val="FFFFFF"/>
              </w:rPr>
              <w:t>in Last Fiscal</w:t>
            </w:r>
          </w:p>
        </w:tc>
        <w:tc>
          <w:tcPr>
            <w:tcW w:w="1280" w:type="dxa"/>
            <w:vAlign w:val="bottom"/>
            <w:gridSpan w:val="2"/>
            <w:shd w:val="clear" w:color="auto" w:fill="1A6DBB"/>
          </w:tcPr>
          <w:p>
            <w:pPr>
              <w:ind w:left="220"/>
              <w:spacing w:after="0" w:line="155" w:lineRule="exact"/>
              <w:rPr>
                <w:sz w:val="20"/>
                <w:szCs w:val="20"/>
                <w:color w:val="auto"/>
              </w:rPr>
            </w:pPr>
            <w:r>
              <w:rPr>
                <w:rFonts w:ascii="Arial" w:cs="Arial" w:eastAsia="Arial" w:hAnsi="Arial"/>
                <w:sz w:val="14"/>
                <w:szCs w:val="14"/>
                <w:color w:val="FFFFFF"/>
              </w:rPr>
              <w:t>in Last Fiscal</w:t>
            </w:r>
          </w:p>
        </w:tc>
        <w:tc>
          <w:tcPr>
            <w:tcW w:w="320" w:type="dxa"/>
            <w:vAlign w:val="bottom"/>
            <w:shd w:val="clear" w:color="auto" w:fill="1A6DBB"/>
          </w:tcPr>
          <w:p>
            <w:pPr>
              <w:spacing w:after="0"/>
              <w:rPr>
                <w:sz w:val="13"/>
                <w:szCs w:val="13"/>
                <w:color w:val="auto"/>
              </w:rPr>
            </w:pPr>
          </w:p>
        </w:tc>
        <w:tc>
          <w:tcPr>
            <w:tcW w:w="860" w:type="dxa"/>
            <w:vAlign w:val="bottom"/>
            <w:shd w:val="clear" w:color="auto" w:fill="1A6DBB"/>
          </w:tcPr>
          <w:p>
            <w:pPr>
              <w:jc w:val="center"/>
              <w:ind w:right="284"/>
              <w:spacing w:after="0" w:line="155" w:lineRule="exact"/>
              <w:rPr>
                <w:sz w:val="20"/>
                <w:szCs w:val="20"/>
                <w:color w:val="auto"/>
              </w:rPr>
            </w:pPr>
            <w:r>
              <w:rPr>
                <w:rFonts w:ascii="Arial" w:cs="Arial" w:eastAsia="Arial" w:hAnsi="Arial"/>
                <w:sz w:val="14"/>
                <w:szCs w:val="14"/>
                <w:color w:val="FFFFFF"/>
              </w:rPr>
              <w:t>Fiscal</w:t>
            </w:r>
          </w:p>
        </w:tc>
        <w:tc>
          <w:tcPr>
            <w:tcW w:w="1160" w:type="dxa"/>
            <w:vAlign w:val="bottom"/>
            <w:shd w:val="clear" w:color="auto" w:fill="1A6DBB"/>
          </w:tcPr>
          <w:p>
            <w:pPr>
              <w:jc w:val="center"/>
              <w:spacing w:after="0" w:line="155" w:lineRule="exact"/>
              <w:rPr>
                <w:sz w:val="20"/>
                <w:szCs w:val="20"/>
                <w:color w:val="auto"/>
              </w:rPr>
            </w:pPr>
            <w:r>
              <w:rPr>
                <w:rFonts w:ascii="Arial" w:cs="Arial" w:eastAsia="Arial" w:hAnsi="Arial"/>
                <w:sz w:val="14"/>
                <w:szCs w:val="14"/>
                <w:color w:val="FFFFFF"/>
              </w:rPr>
              <w:t>in Last</w:t>
            </w:r>
          </w:p>
        </w:tc>
        <w:tc>
          <w:tcPr>
            <w:tcW w:w="1100" w:type="dxa"/>
            <w:vAlign w:val="bottom"/>
            <w:gridSpan w:val="2"/>
            <w:shd w:val="clear" w:color="auto" w:fill="1A6DBB"/>
          </w:tcPr>
          <w:p>
            <w:pPr>
              <w:jc w:val="center"/>
              <w:spacing w:after="0" w:line="155" w:lineRule="exact"/>
              <w:rPr>
                <w:sz w:val="20"/>
                <w:szCs w:val="20"/>
                <w:color w:val="auto"/>
              </w:rPr>
            </w:pPr>
            <w:r>
              <w:rPr>
                <w:rFonts w:ascii="Arial" w:cs="Arial" w:eastAsia="Arial" w:hAnsi="Arial"/>
                <w:sz w:val="14"/>
                <w:szCs w:val="14"/>
                <w:color w:val="FFFFFF"/>
              </w:rPr>
              <w:t>Last Fiscal</w:t>
            </w:r>
          </w:p>
        </w:tc>
        <w:tc>
          <w:tcPr>
            <w:tcW w:w="0" w:type="dxa"/>
            <w:vAlign w:val="bottom"/>
          </w:tcPr>
          <w:p>
            <w:pPr>
              <w:spacing w:after="0"/>
              <w:rPr>
                <w:sz w:val="1"/>
                <w:szCs w:val="1"/>
                <w:color w:val="auto"/>
              </w:rPr>
            </w:pPr>
          </w:p>
        </w:tc>
      </w:tr>
      <w:tr>
        <w:trPr>
          <w:trHeight w:val="178"/>
        </w:trPr>
        <w:tc>
          <w:tcPr>
            <w:tcW w:w="4860" w:type="dxa"/>
            <w:vAlign w:val="bottom"/>
            <w:shd w:val="clear" w:color="auto" w:fill="1A6DBB"/>
          </w:tcPr>
          <w:p>
            <w:pPr>
              <w:ind w:left="60"/>
              <w:spacing w:after="0"/>
              <w:rPr>
                <w:sz w:val="20"/>
                <w:szCs w:val="20"/>
                <w:color w:val="auto"/>
              </w:rPr>
            </w:pPr>
            <w:r>
              <w:rPr>
                <w:rFonts w:ascii="Arial" w:cs="Arial" w:eastAsia="Arial" w:hAnsi="Arial"/>
                <w:sz w:val="14"/>
                <w:szCs w:val="14"/>
                <w:color w:val="FFFFFF"/>
              </w:rPr>
              <w:t>Name</w:t>
            </w:r>
          </w:p>
        </w:tc>
        <w:tc>
          <w:tcPr>
            <w:tcW w:w="460" w:type="dxa"/>
            <w:vAlign w:val="bottom"/>
            <w:shd w:val="clear" w:color="auto" w:fill="1A6DBB"/>
          </w:tcPr>
          <w:p>
            <w:pPr>
              <w:spacing w:after="0"/>
              <w:rPr>
                <w:sz w:val="15"/>
                <w:szCs w:val="15"/>
                <w:color w:val="auto"/>
              </w:rPr>
            </w:pPr>
          </w:p>
        </w:tc>
        <w:tc>
          <w:tcPr>
            <w:tcW w:w="980" w:type="dxa"/>
            <w:vAlign w:val="bottom"/>
            <w:shd w:val="clear" w:color="auto" w:fill="1A6DBB"/>
          </w:tcPr>
          <w:p>
            <w:pPr>
              <w:jc w:val="right"/>
              <w:ind w:right="363"/>
              <w:spacing w:after="0" w:line="179" w:lineRule="exact"/>
              <w:rPr>
                <w:sz w:val="20"/>
                <w:szCs w:val="20"/>
                <w:color w:val="auto"/>
              </w:rPr>
            </w:pPr>
            <w:r>
              <w:rPr>
                <w:rFonts w:ascii="Arial" w:cs="Arial" w:eastAsia="Arial" w:hAnsi="Arial"/>
                <w:sz w:val="12"/>
                <w:szCs w:val="12"/>
                <w:color w:val="FFFFFF"/>
              </w:rPr>
              <w:t>Year</w:t>
            </w:r>
            <w:r>
              <w:rPr>
                <w:rFonts w:ascii="Arial" w:cs="Arial" w:eastAsia="Arial" w:hAnsi="Arial"/>
                <w:sz w:val="20"/>
                <w:szCs w:val="20"/>
                <w:color w:val="FFFFFF"/>
                <w:vertAlign w:val="superscript"/>
              </w:rPr>
              <w:t>(1)</w:t>
            </w:r>
          </w:p>
        </w:tc>
        <w:tc>
          <w:tcPr>
            <w:tcW w:w="320" w:type="dxa"/>
            <w:vAlign w:val="bottom"/>
            <w:shd w:val="clear" w:color="auto" w:fill="1A6DBB"/>
          </w:tcPr>
          <w:p>
            <w:pPr>
              <w:spacing w:after="0"/>
              <w:rPr>
                <w:sz w:val="15"/>
                <w:szCs w:val="15"/>
                <w:color w:val="auto"/>
              </w:rPr>
            </w:pPr>
          </w:p>
        </w:tc>
        <w:tc>
          <w:tcPr>
            <w:tcW w:w="960" w:type="dxa"/>
            <w:vAlign w:val="bottom"/>
            <w:shd w:val="clear" w:color="auto" w:fill="1A6DBB"/>
          </w:tcPr>
          <w:p>
            <w:pPr>
              <w:jc w:val="right"/>
              <w:ind w:right="343"/>
              <w:spacing w:after="0" w:line="179" w:lineRule="exact"/>
              <w:rPr>
                <w:sz w:val="20"/>
                <w:szCs w:val="20"/>
                <w:color w:val="auto"/>
              </w:rPr>
            </w:pPr>
            <w:r>
              <w:rPr>
                <w:rFonts w:ascii="Arial" w:cs="Arial" w:eastAsia="Arial" w:hAnsi="Arial"/>
                <w:sz w:val="12"/>
                <w:szCs w:val="12"/>
                <w:color w:val="FFFFFF"/>
              </w:rPr>
              <w:t>Year</w:t>
            </w:r>
            <w:r>
              <w:rPr>
                <w:rFonts w:ascii="Arial" w:cs="Arial" w:eastAsia="Arial" w:hAnsi="Arial"/>
                <w:sz w:val="20"/>
                <w:szCs w:val="20"/>
                <w:color w:val="FFFFFF"/>
                <w:vertAlign w:val="superscript"/>
              </w:rPr>
              <w:t>(2)</w:t>
            </w:r>
          </w:p>
        </w:tc>
        <w:tc>
          <w:tcPr>
            <w:tcW w:w="320" w:type="dxa"/>
            <w:vAlign w:val="bottom"/>
            <w:shd w:val="clear" w:color="auto" w:fill="1A6DBB"/>
          </w:tcPr>
          <w:p>
            <w:pPr>
              <w:spacing w:after="0"/>
              <w:rPr>
                <w:sz w:val="15"/>
                <w:szCs w:val="15"/>
                <w:color w:val="auto"/>
              </w:rPr>
            </w:pPr>
          </w:p>
        </w:tc>
        <w:tc>
          <w:tcPr>
            <w:tcW w:w="860" w:type="dxa"/>
            <w:vAlign w:val="bottom"/>
            <w:shd w:val="clear" w:color="auto" w:fill="1A6DBB"/>
          </w:tcPr>
          <w:p>
            <w:pPr>
              <w:jc w:val="center"/>
              <w:ind w:right="304"/>
              <w:spacing w:after="0" w:line="179" w:lineRule="exact"/>
              <w:rPr>
                <w:sz w:val="20"/>
                <w:szCs w:val="20"/>
                <w:color w:val="auto"/>
              </w:rPr>
            </w:pPr>
            <w:r>
              <w:rPr>
                <w:rFonts w:ascii="Arial" w:cs="Arial" w:eastAsia="Arial" w:hAnsi="Arial"/>
                <w:sz w:val="12"/>
                <w:szCs w:val="12"/>
                <w:color w:val="FFFFFF"/>
              </w:rPr>
              <w:t>Year</w:t>
            </w:r>
            <w:r>
              <w:rPr>
                <w:rFonts w:ascii="Arial" w:cs="Arial" w:eastAsia="Arial" w:hAnsi="Arial"/>
                <w:sz w:val="20"/>
                <w:szCs w:val="20"/>
                <w:color w:val="FFFFFF"/>
                <w:vertAlign w:val="superscript"/>
              </w:rPr>
              <w:t>(3)</w:t>
            </w:r>
          </w:p>
        </w:tc>
        <w:tc>
          <w:tcPr>
            <w:tcW w:w="1160" w:type="dxa"/>
            <w:vAlign w:val="bottom"/>
            <w:shd w:val="clear" w:color="auto" w:fill="1A6DBB"/>
          </w:tcPr>
          <w:p>
            <w:pPr>
              <w:jc w:val="center"/>
              <w:ind w:left="3"/>
              <w:spacing w:after="0"/>
              <w:rPr>
                <w:sz w:val="20"/>
                <w:szCs w:val="20"/>
                <w:color w:val="auto"/>
              </w:rPr>
            </w:pPr>
            <w:r>
              <w:rPr>
                <w:rFonts w:ascii="Arial" w:cs="Arial" w:eastAsia="Arial" w:hAnsi="Arial"/>
                <w:sz w:val="14"/>
                <w:szCs w:val="14"/>
                <w:color w:val="FFFFFF"/>
              </w:rPr>
              <w:t>Fiscal Year</w:t>
            </w:r>
          </w:p>
        </w:tc>
        <w:tc>
          <w:tcPr>
            <w:tcW w:w="1100" w:type="dxa"/>
            <w:vAlign w:val="bottom"/>
            <w:gridSpan w:val="2"/>
            <w:shd w:val="clear" w:color="auto" w:fill="1A6DBB"/>
          </w:tcPr>
          <w:p>
            <w:pPr>
              <w:jc w:val="center"/>
              <w:spacing w:after="0" w:line="179" w:lineRule="exact"/>
              <w:rPr>
                <w:sz w:val="20"/>
                <w:szCs w:val="20"/>
                <w:color w:val="auto"/>
              </w:rPr>
            </w:pPr>
            <w:r>
              <w:rPr>
                <w:rFonts w:ascii="Arial" w:cs="Arial" w:eastAsia="Arial" w:hAnsi="Arial"/>
                <w:sz w:val="12"/>
                <w:szCs w:val="12"/>
                <w:color w:val="FFFFFF"/>
              </w:rPr>
              <w:t>Year-End</w:t>
            </w:r>
            <w:r>
              <w:rPr>
                <w:rFonts w:ascii="Arial" w:cs="Arial" w:eastAsia="Arial" w:hAnsi="Arial"/>
                <w:sz w:val="20"/>
                <w:szCs w:val="20"/>
                <w:color w:val="FFFFFF"/>
                <w:vertAlign w:val="superscript"/>
              </w:rPr>
              <w:t>(4)</w:t>
            </w:r>
          </w:p>
        </w:tc>
        <w:tc>
          <w:tcPr>
            <w:tcW w:w="0" w:type="dxa"/>
            <w:vAlign w:val="bottom"/>
          </w:tcPr>
          <w:p>
            <w:pPr>
              <w:spacing w:after="0"/>
              <w:rPr>
                <w:sz w:val="1"/>
                <w:szCs w:val="1"/>
                <w:color w:val="auto"/>
              </w:rPr>
            </w:pPr>
          </w:p>
        </w:tc>
      </w:tr>
      <w:tr>
        <w:trPr>
          <w:trHeight w:val="220"/>
        </w:trPr>
        <w:tc>
          <w:tcPr>
            <w:tcW w:w="4860" w:type="dxa"/>
            <w:vAlign w:val="bottom"/>
            <w:shd w:val="clear" w:color="auto" w:fill="E8F0F8"/>
          </w:tcPr>
          <w:p>
            <w:pPr>
              <w:ind w:left="80"/>
              <w:spacing w:after="0"/>
              <w:rPr>
                <w:sz w:val="20"/>
                <w:szCs w:val="20"/>
                <w:color w:val="auto"/>
              </w:rPr>
            </w:pPr>
            <w:r>
              <w:rPr>
                <w:rFonts w:ascii="Arial" w:cs="Arial" w:eastAsia="Arial" w:hAnsi="Arial"/>
                <w:sz w:val="16"/>
                <w:szCs w:val="16"/>
                <w:color w:val="auto"/>
              </w:rPr>
              <w:t>Michel Vounatsos</w:t>
            </w:r>
          </w:p>
        </w:tc>
        <w:tc>
          <w:tcPr>
            <w:tcW w:w="460" w:type="dxa"/>
            <w:vAlign w:val="bottom"/>
            <w:shd w:val="clear" w:color="auto" w:fill="E8F0F8"/>
          </w:tcPr>
          <w:p>
            <w:pPr>
              <w:ind w:left="36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E8F0F8"/>
          </w:tcPr>
          <w:p>
            <w:pPr>
              <w:jc w:val="right"/>
              <w:ind w:right="143"/>
              <w:spacing w:after="0"/>
              <w:rPr>
                <w:sz w:val="20"/>
                <w:szCs w:val="20"/>
                <w:color w:val="auto"/>
              </w:rPr>
            </w:pPr>
            <w:r>
              <w:rPr>
                <w:rFonts w:ascii="Arial" w:cs="Arial" w:eastAsia="Arial" w:hAnsi="Arial"/>
                <w:sz w:val="16"/>
                <w:szCs w:val="16"/>
                <w:color w:val="auto"/>
              </w:rPr>
              <w:t>3,071,852</w:t>
            </w:r>
          </w:p>
        </w:tc>
        <w:tc>
          <w:tcPr>
            <w:tcW w:w="320" w:type="dxa"/>
            <w:vAlign w:val="bottom"/>
            <w:shd w:val="clear" w:color="auto" w:fill="E8F0F8"/>
          </w:tcPr>
          <w:p>
            <w:pPr>
              <w:ind w:lef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E8F0F8"/>
          </w:tcPr>
          <w:p>
            <w:pPr>
              <w:jc w:val="right"/>
              <w:ind w:right="143"/>
              <w:spacing w:after="0"/>
              <w:rPr>
                <w:sz w:val="20"/>
                <w:szCs w:val="20"/>
                <w:color w:val="auto"/>
              </w:rPr>
            </w:pPr>
            <w:r>
              <w:rPr>
                <w:rFonts w:ascii="Arial" w:cs="Arial" w:eastAsia="Arial" w:hAnsi="Arial"/>
                <w:sz w:val="16"/>
                <w:szCs w:val="16"/>
                <w:color w:val="auto"/>
              </w:rPr>
              <w:t>387,134</w:t>
            </w:r>
          </w:p>
        </w:tc>
        <w:tc>
          <w:tcPr>
            <w:tcW w:w="320" w:type="dxa"/>
            <w:vAlign w:val="bottom"/>
            <w:shd w:val="clear" w:color="auto" w:fill="E8F0F8"/>
          </w:tcPr>
          <w:p>
            <w:pPr>
              <w:ind w:left="22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E8F0F8"/>
          </w:tcPr>
          <w:p>
            <w:pPr>
              <w:jc w:val="right"/>
              <w:ind w:right="184"/>
              <w:spacing w:after="0"/>
              <w:rPr>
                <w:sz w:val="20"/>
                <w:szCs w:val="20"/>
                <w:color w:val="auto"/>
              </w:rPr>
            </w:pPr>
            <w:r>
              <w:rPr>
                <w:rFonts w:ascii="Arial" w:cs="Arial" w:eastAsia="Arial" w:hAnsi="Arial"/>
                <w:sz w:val="16"/>
                <w:szCs w:val="16"/>
                <w:color w:val="auto"/>
              </w:rPr>
              <w:t>205,737</w:t>
            </w:r>
          </w:p>
        </w:tc>
        <w:tc>
          <w:tcPr>
            <w:tcW w:w="1160" w:type="dxa"/>
            <w:vAlign w:val="bottom"/>
            <w:shd w:val="clear" w:color="auto" w:fill="E8F0F8"/>
          </w:tcPr>
          <w:p>
            <w:pPr>
              <w:jc w:val="center"/>
              <w:ind w:left="3"/>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E8F0F8"/>
          </w:tcPr>
          <w:p>
            <w:pPr>
              <w:jc w:val="right"/>
              <w:ind w:right="39"/>
              <w:spacing w:after="0"/>
              <w:rPr>
                <w:sz w:val="20"/>
                <w:szCs w:val="20"/>
                <w:color w:val="auto"/>
              </w:rPr>
            </w:pPr>
            <w:r>
              <w:rPr>
                <w:rFonts w:ascii="Arial" w:cs="Arial" w:eastAsia="Arial" w:hAnsi="Arial"/>
                <w:sz w:val="16"/>
                <w:szCs w:val="16"/>
                <w:color w:val="auto"/>
              </w:rPr>
              <w:t>5,160,044</w:t>
            </w:r>
          </w:p>
        </w:tc>
        <w:tc>
          <w:tcPr>
            <w:tcW w:w="0" w:type="dxa"/>
            <w:vAlign w:val="bottom"/>
          </w:tcPr>
          <w:p>
            <w:pPr>
              <w:spacing w:after="0"/>
              <w:rPr>
                <w:sz w:val="1"/>
                <w:szCs w:val="1"/>
                <w:color w:val="auto"/>
              </w:rPr>
            </w:pPr>
          </w:p>
        </w:tc>
      </w:tr>
      <w:tr>
        <w:trPr>
          <w:trHeight w:val="239"/>
        </w:trPr>
        <w:tc>
          <w:tcPr>
            <w:tcW w:w="4860" w:type="dxa"/>
            <w:vAlign w:val="bottom"/>
            <w:shd w:val="clear" w:color="auto" w:fill="BAD3EA"/>
          </w:tcPr>
          <w:p>
            <w:pPr>
              <w:ind w:left="80"/>
              <w:spacing w:after="0"/>
              <w:rPr>
                <w:sz w:val="20"/>
                <w:szCs w:val="20"/>
                <w:color w:val="auto"/>
              </w:rPr>
            </w:pPr>
            <w:r>
              <w:rPr>
                <w:rFonts w:ascii="Arial" w:cs="Arial" w:eastAsia="Arial" w:hAnsi="Arial"/>
                <w:sz w:val="16"/>
                <w:szCs w:val="16"/>
                <w:color w:val="auto"/>
              </w:rPr>
              <w:t>Jeffrey D. Capello</w:t>
            </w:r>
          </w:p>
        </w:tc>
        <w:tc>
          <w:tcPr>
            <w:tcW w:w="460" w:type="dxa"/>
            <w:vAlign w:val="bottom"/>
            <w:shd w:val="clear" w:color="auto" w:fill="BAD3EA"/>
          </w:tcPr>
          <w:p>
            <w:pPr>
              <w:spacing w:after="0"/>
              <w:rPr>
                <w:sz w:val="20"/>
                <w:szCs w:val="20"/>
                <w:color w:val="auto"/>
              </w:rPr>
            </w:pPr>
          </w:p>
        </w:tc>
        <w:tc>
          <w:tcPr>
            <w:tcW w:w="980" w:type="dxa"/>
            <w:vAlign w:val="bottom"/>
            <w:shd w:val="clear" w:color="auto" w:fill="BAD3EA"/>
          </w:tcPr>
          <w:p>
            <w:pPr>
              <w:jc w:val="right"/>
              <w:ind w:right="443"/>
              <w:spacing w:after="0"/>
              <w:rPr>
                <w:sz w:val="20"/>
                <w:szCs w:val="20"/>
                <w:color w:val="auto"/>
              </w:rPr>
            </w:pPr>
            <w:r>
              <w:rPr>
                <w:rFonts w:ascii="Arial" w:cs="Arial" w:eastAsia="Arial" w:hAnsi="Arial"/>
                <w:sz w:val="16"/>
                <w:szCs w:val="16"/>
                <w:color w:val="auto"/>
              </w:rPr>
              <w:t>—</w:t>
            </w:r>
          </w:p>
        </w:tc>
        <w:tc>
          <w:tcPr>
            <w:tcW w:w="320" w:type="dxa"/>
            <w:vAlign w:val="bottom"/>
            <w:shd w:val="clear" w:color="auto" w:fill="BAD3EA"/>
          </w:tcPr>
          <w:p>
            <w:pPr>
              <w:ind w:lef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BAD3EA"/>
          </w:tcPr>
          <w:p>
            <w:pPr>
              <w:jc w:val="right"/>
              <w:ind w:right="143"/>
              <w:spacing w:after="0"/>
              <w:rPr>
                <w:sz w:val="20"/>
                <w:szCs w:val="20"/>
                <w:color w:val="auto"/>
              </w:rPr>
            </w:pPr>
            <w:r>
              <w:rPr>
                <w:rFonts w:ascii="Arial" w:cs="Arial" w:eastAsia="Arial" w:hAnsi="Arial"/>
                <w:sz w:val="16"/>
                <w:szCs w:val="16"/>
                <w:color w:val="auto"/>
              </w:rPr>
              <w:t>28,500</w:t>
            </w:r>
          </w:p>
        </w:tc>
        <w:tc>
          <w:tcPr>
            <w:tcW w:w="320" w:type="dxa"/>
            <w:vAlign w:val="bottom"/>
            <w:shd w:val="clear" w:color="auto" w:fill="BAD3EA"/>
          </w:tcPr>
          <w:p>
            <w:pPr>
              <w:ind w:left="22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BAD3EA"/>
          </w:tcPr>
          <w:p>
            <w:pPr>
              <w:jc w:val="right"/>
              <w:ind w:right="184"/>
              <w:spacing w:after="0"/>
              <w:rPr>
                <w:sz w:val="20"/>
                <w:szCs w:val="20"/>
                <w:color w:val="auto"/>
              </w:rPr>
            </w:pPr>
            <w:r>
              <w:rPr>
                <w:rFonts w:ascii="Arial" w:cs="Arial" w:eastAsia="Arial" w:hAnsi="Arial"/>
                <w:sz w:val="16"/>
                <w:szCs w:val="16"/>
                <w:color w:val="auto"/>
              </w:rPr>
              <w:t>60</w:t>
            </w:r>
          </w:p>
        </w:tc>
        <w:tc>
          <w:tcPr>
            <w:tcW w:w="1160" w:type="dxa"/>
            <w:vAlign w:val="bottom"/>
            <w:shd w:val="clear" w:color="auto" w:fill="BAD3EA"/>
          </w:tcPr>
          <w:p>
            <w:pPr>
              <w:jc w:val="center"/>
              <w:ind w:left="3"/>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BAD3EA"/>
          </w:tcPr>
          <w:p>
            <w:pPr>
              <w:jc w:val="right"/>
              <w:ind w:right="39"/>
              <w:spacing w:after="0"/>
              <w:rPr>
                <w:sz w:val="20"/>
                <w:szCs w:val="20"/>
                <w:color w:val="auto"/>
              </w:rPr>
            </w:pPr>
            <w:r>
              <w:rPr>
                <w:rFonts w:ascii="Arial" w:cs="Arial" w:eastAsia="Arial" w:hAnsi="Arial"/>
                <w:sz w:val="16"/>
                <w:szCs w:val="16"/>
                <w:color w:val="auto"/>
              </w:rPr>
              <w:t>28,560</w:t>
            </w:r>
          </w:p>
        </w:tc>
        <w:tc>
          <w:tcPr>
            <w:tcW w:w="0" w:type="dxa"/>
            <w:vAlign w:val="bottom"/>
          </w:tcPr>
          <w:p>
            <w:pPr>
              <w:spacing w:after="0"/>
              <w:rPr>
                <w:sz w:val="1"/>
                <w:szCs w:val="1"/>
                <w:color w:val="auto"/>
              </w:rPr>
            </w:pPr>
          </w:p>
        </w:tc>
      </w:tr>
      <w:tr>
        <w:trPr>
          <w:trHeight w:val="220"/>
        </w:trPr>
        <w:tc>
          <w:tcPr>
            <w:tcW w:w="4860" w:type="dxa"/>
            <w:vAlign w:val="bottom"/>
            <w:shd w:val="clear" w:color="auto" w:fill="E8F0F8"/>
          </w:tcPr>
          <w:p>
            <w:pPr>
              <w:ind w:left="80"/>
              <w:spacing w:after="0"/>
              <w:rPr>
                <w:sz w:val="20"/>
                <w:szCs w:val="20"/>
                <w:color w:val="auto"/>
              </w:rPr>
            </w:pPr>
            <w:r>
              <w:rPr>
                <w:rFonts w:ascii="Arial" w:cs="Arial" w:eastAsia="Arial" w:hAnsi="Arial"/>
                <w:sz w:val="16"/>
                <w:szCs w:val="16"/>
                <w:color w:val="auto"/>
              </w:rPr>
              <w:t>Michael D. Ehlers</w:t>
            </w:r>
          </w:p>
        </w:tc>
        <w:tc>
          <w:tcPr>
            <w:tcW w:w="460" w:type="dxa"/>
            <w:vAlign w:val="bottom"/>
            <w:shd w:val="clear" w:color="auto" w:fill="E8F0F8"/>
          </w:tcPr>
          <w:p>
            <w:pPr>
              <w:ind w:left="36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E8F0F8"/>
          </w:tcPr>
          <w:p>
            <w:pPr>
              <w:jc w:val="right"/>
              <w:ind w:right="143"/>
              <w:spacing w:after="0"/>
              <w:rPr>
                <w:sz w:val="20"/>
                <w:szCs w:val="20"/>
                <w:color w:val="auto"/>
              </w:rPr>
            </w:pPr>
            <w:r>
              <w:rPr>
                <w:rFonts w:ascii="Arial" w:cs="Arial" w:eastAsia="Arial" w:hAnsi="Arial"/>
                <w:sz w:val="16"/>
                <w:szCs w:val="16"/>
                <w:color w:val="auto"/>
              </w:rPr>
              <w:t>552,463</w:t>
            </w:r>
          </w:p>
        </w:tc>
        <w:tc>
          <w:tcPr>
            <w:tcW w:w="320" w:type="dxa"/>
            <w:vAlign w:val="bottom"/>
            <w:shd w:val="clear" w:color="auto" w:fill="E8F0F8"/>
          </w:tcPr>
          <w:p>
            <w:pPr>
              <w:ind w:lef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E8F0F8"/>
          </w:tcPr>
          <w:p>
            <w:pPr>
              <w:jc w:val="right"/>
              <w:ind w:right="143"/>
              <w:spacing w:after="0"/>
              <w:rPr>
                <w:sz w:val="20"/>
                <w:szCs w:val="20"/>
                <w:color w:val="auto"/>
              </w:rPr>
            </w:pPr>
            <w:r>
              <w:rPr>
                <w:rFonts w:ascii="Arial" w:cs="Arial" w:eastAsia="Arial" w:hAnsi="Arial"/>
                <w:sz w:val="16"/>
                <w:szCs w:val="16"/>
                <w:color w:val="auto"/>
              </w:rPr>
              <w:t>168,428</w:t>
            </w:r>
          </w:p>
        </w:tc>
        <w:tc>
          <w:tcPr>
            <w:tcW w:w="320" w:type="dxa"/>
            <w:vAlign w:val="bottom"/>
            <w:shd w:val="clear" w:color="auto" w:fill="E8F0F8"/>
          </w:tcPr>
          <w:p>
            <w:pPr>
              <w:ind w:left="22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E8F0F8"/>
          </w:tcPr>
          <w:p>
            <w:pPr>
              <w:jc w:val="right"/>
              <w:ind w:right="144"/>
              <w:spacing w:after="0"/>
              <w:rPr>
                <w:sz w:val="20"/>
                <w:szCs w:val="20"/>
                <w:color w:val="auto"/>
              </w:rPr>
            </w:pPr>
            <w:r>
              <w:rPr>
                <w:rFonts w:ascii="Arial" w:cs="Arial" w:eastAsia="Arial" w:hAnsi="Arial"/>
                <w:sz w:val="16"/>
                <w:szCs w:val="16"/>
                <w:color w:val="auto"/>
              </w:rPr>
              <w:t>(80,992)</w:t>
            </w:r>
          </w:p>
        </w:tc>
        <w:tc>
          <w:tcPr>
            <w:tcW w:w="1160" w:type="dxa"/>
            <w:vAlign w:val="bottom"/>
            <w:shd w:val="clear" w:color="auto" w:fill="E8F0F8"/>
          </w:tcPr>
          <w:p>
            <w:pPr>
              <w:jc w:val="center"/>
              <w:ind w:left="3"/>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E8F0F8"/>
          </w:tcPr>
          <w:p>
            <w:pPr>
              <w:jc w:val="right"/>
              <w:ind w:right="39"/>
              <w:spacing w:after="0"/>
              <w:rPr>
                <w:sz w:val="20"/>
                <w:szCs w:val="20"/>
                <w:color w:val="auto"/>
              </w:rPr>
            </w:pPr>
            <w:r>
              <w:rPr>
                <w:rFonts w:ascii="Arial" w:cs="Arial" w:eastAsia="Arial" w:hAnsi="Arial"/>
                <w:sz w:val="16"/>
                <w:szCs w:val="16"/>
                <w:color w:val="auto"/>
              </w:rPr>
              <w:t>1,270,192</w:t>
            </w:r>
          </w:p>
        </w:tc>
        <w:tc>
          <w:tcPr>
            <w:tcW w:w="0" w:type="dxa"/>
            <w:vAlign w:val="bottom"/>
          </w:tcPr>
          <w:p>
            <w:pPr>
              <w:spacing w:after="0"/>
              <w:rPr>
                <w:sz w:val="1"/>
                <w:szCs w:val="1"/>
                <w:color w:val="auto"/>
              </w:rPr>
            </w:pPr>
          </w:p>
        </w:tc>
      </w:tr>
      <w:tr>
        <w:trPr>
          <w:trHeight w:val="239"/>
        </w:trPr>
        <w:tc>
          <w:tcPr>
            <w:tcW w:w="4860" w:type="dxa"/>
            <w:vAlign w:val="bottom"/>
            <w:shd w:val="clear" w:color="auto" w:fill="BAD3EA"/>
          </w:tcPr>
          <w:p>
            <w:pPr>
              <w:ind w:left="80"/>
              <w:spacing w:after="0"/>
              <w:rPr>
                <w:sz w:val="20"/>
                <w:szCs w:val="20"/>
                <w:color w:val="auto"/>
              </w:rPr>
            </w:pPr>
            <w:r>
              <w:rPr>
                <w:rFonts w:ascii="Arial" w:cs="Arial" w:eastAsia="Arial" w:hAnsi="Arial"/>
                <w:sz w:val="16"/>
                <w:szCs w:val="16"/>
                <w:color w:val="auto"/>
              </w:rPr>
              <w:t>Susan H. Alexander</w:t>
            </w:r>
          </w:p>
        </w:tc>
        <w:tc>
          <w:tcPr>
            <w:tcW w:w="460" w:type="dxa"/>
            <w:vAlign w:val="bottom"/>
            <w:shd w:val="clear" w:color="auto" w:fill="BAD3EA"/>
          </w:tcPr>
          <w:p>
            <w:pPr>
              <w:ind w:left="36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BAD3EA"/>
          </w:tcPr>
          <w:p>
            <w:pPr>
              <w:jc w:val="right"/>
              <w:ind w:right="143"/>
              <w:spacing w:after="0"/>
              <w:rPr>
                <w:sz w:val="20"/>
                <w:szCs w:val="20"/>
                <w:color w:val="auto"/>
              </w:rPr>
            </w:pPr>
            <w:r>
              <w:rPr>
                <w:rFonts w:ascii="Arial" w:cs="Arial" w:eastAsia="Arial" w:hAnsi="Arial"/>
                <w:sz w:val="16"/>
                <w:szCs w:val="16"/>
                <w:color w:val="auto"/>
              </w:rPr>
              <w:t>826,451</w:t>
            </w:r>
          </w:p>
        </w:tc>
        <w:tc>
          <w:tcPr>
            <w:tcW w:w="320" w:type="dxa"/>
            <w:vAlign w:val="bottom"/>
            <w:shd w:val="clear" w:color="auto" w:fill="BAD3EA"/>
          </w:tcPr>
          <w:p>
            <w:pPr>
              <w:ind w:lef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BAD3EA"/>
          </w:tcPr>
          <w:p>
            <w:pPr>
              <w:jc w:val="right"/>
              <w:ind w:right="143"/>
              <w:spacing w:after="0"/>
              <w:rPr>
                <w:sz w:val="20"/>
                <w:szCs w:val="20"/>
                <w:color w:val="auto"/>
              </w:rPr>
            </w:pPr>
            <w:r>
              <w:rPr>
                <w:rFonts w:ascii="Arial" w:cs="Arial" w:eastAsia="Arial" w:hAnsi="Arial"/>
                <w:sz w:val="16"/>
                <w:szCs w:val="16"/>
                <w:color w:val="auto"/>
              </w:rPr>
              <w:t>176,553</w:t>
            </w:r>
          </w:p>
        </w:tc>
        <w:tc>
          <w:tcPr>
            <w:tcW w:w="320" w:type="dxa"/>
            <w:vAlign w:val="bottom"/>
            <w:shd w:val="clear" w:color="auto" w:fill="BAD3EA"/>
          </w:tcPr>
          <w:p>
            <w:pPr>
              <w:ind w:left="22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BAD3EA"/>
          </w:tcPr>
          <w:p>
            <w:pPr>
              <w:jc w:val="right"/>
              <w:ind w:right="184"/>
              <w:spacing w:after="0"/>
              <w:rPr>
                <w:sz w:val="20"/>
                <w:szCs w:val="20"/>
                <w:color w:val="auto"/>
              </w:rPr>
            </w:pPr>
            <w:r>
              <w:rPr>
                <w:rFonts w:ascii="Arial" w:cs="Arial" w:eastAsia="Arial" w:hAnsi="Arial"/>
                <w:sz w:val="16"/>
                <w:szCs w:val="16"/>
                <w:color w:val="auto"/>
              </w:rPr>
              <w:t>392,167</w:t>
            </w:r>
          </w:p>
        </w:tc>
        <w:tc>
          <w:tcPr>
            <w:tcW w:w="1160" w:type="dxa"/>
            <w:vAlign w:val="bottom"/>
            <w:shd w:val="clear" w:color="auto" w:fill="BAD3EA"/>
          </w:tcPr>
          <w:p>
            <w:pPr>
              <w:jc w:val="center"/>
              <w:ind w:left="3"/>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BAD3EA"/>
          </w:tcPr>
          <w:p>
            <w:pPr>
              <w:jc w:val="right"/>
              <w:ind w:right="39"/>
              <w:spacing w:after="0"/>
              <w:rPr>
                <w:sz w:val="20"/>
                <w:szCs w:val="20"/>
                <w:color w:val="auto"/>
              </w:rPr>
            </w:pPr>
            <w:r>
              <w:rPr>
                <w:rFonts w:ascii="Arial" w:cs="Arial" w:eastAsia="Arial" w:hAnsi="Arial"/>
                <w:sz w:val="16"/>
                <w:szCs w:val="16"/>
                <w:color w:val="auto"/>
              </w:rPr>
              <w:t>7,259,032</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auto"/>
            </w:tcBorders>
            <w:shd w:val="clear" w:color="auto" w:fill="E8F0F8"/>
          </w:tcPr>
          <w:p>
            <w:pPr>
              <w:ind w:left="80"/>
              <w:spacing w:after="0"/>
              <w:rPr>
                <w:sz w:val="20"/>
                <w:szCs w:val="20"/>
                <w:color w:val="auto"/>
              </w:rPr>
            </w:pPr>
            <w:r>
              <w:rPr>
                <w:rFonts w:ascii="Arial" w:cs="Arial" w:eastAsia="Arial" w:hAnsi="Arial"/>
                <w:sz w:val="16"/>
                <w:szCs w:val="16"/>
                <w:color w:val="auto"/>
              </w:rPr>
              <w:t>Paul F. McKenzie</w:t>
            </w:r>
          </w:p>
        </w:tc>
        <w:tc>
          <w:tcPr>
            <w:tcW w:w="460" w:type="dxa"/>
            <w:vAlign w:val="bottom"/>
            <w:tcBorders>
              <w:bottom w:val="single" w:sz="8" w:color="auto"/>
            </w:tcBorders>
            <w:shd w:val="clear" w:color="auto" w:fill="E8F0F8"/>
          </w:tcPr>
          <w:p>
            <w:pPr>
              <w:ind w:left="3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E8F0F8"/>
          </w:tcPr>
          <w:p>
            <w:pPr>
              <w:jc w:val="right"/>
              <w:ind w:right="143"/>
              <w:spacing w:after="0"/>
              <w:rPr>
                <w:sz w:val="20"/>
                <w:szCs w:val="20"/>
                <w:color w:val="auto"/>
              </w:rPr>
            </w:pPr>
            <w:r>
              <w:rPr>
                <w:rFonts w:ascii="Arial" w:cs="Arial" w:eastAsia="Arial" w:hAnsi="Arial"/>
                <w:sz w:val="16"/>
                <w:szCs w:val="16"/>
                <w:color w:val="auto"/>
              </w:rPr>
              <w:t>860,425</w:t>
            </w:r>
          </w:p>
        </w:tc>
        <w:tc>
          <w:tcPr>
            <w:tcW w:w="320" w:type="dxa"/>
            <w:vAlign w:val="bottom"/>
            <w:tcBorders>
              <w:bottom w:val="single" w:sz="8" w:color="auto"/>
            </w:tcBorders>
            <w:shd w:val="clear" w:color="auto" w:fill="E8F0F8"/>
          </w:tcPr>
          <w:p>
            <w:pPr>
              <w:ind w:left="2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E8F0F8"/>
          </w:tcPr>
          <w:p>
            <w:pPr>
              <w:jc w:val="right"/>
              <w:ind w:right="143"/>
              <w:spacing w:after="0"/>
              <w:rPr>
                <w:sz w:val="20"/>
                <w:szCs w:val="20"/>
                <w:color w:val="auto"/>
              </w:rPr>
            </w:pPr>
            <w:r>
              <w:rPr>
                <w:rFonts w:ascii="Arial" w:cs="Arial" w:eastAsia="Arial" w:hAnsi="Arial"/>
                <w:sz w:val="16"/>
                <w:szCs w:val="16"/>
                <w:color w:val="auto"/>
              </w:rPr>
              <w:t>118,612</w:t>
            </w:r>
          </w:p>
        </w:tc>
        <w:tc>
          <w:tcPr>
            <w:tcW w:w="320" w:type="dxa"/>
            <w:vAlign w:val="bottom"/>
            <w:tcBorders>
              <w:bottom w:val="single" w:sz="8" w:color="auto"/>
            </w:tcBorders>
            <w:shd w:val="clear" w:color="auto" w:fill="E8F0F8"/>
          </w:tcPr>
          <w:p>
            <w:pPr>
              <w:ind w:left="2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E8F0F8"/>
          </w:tcPr>
          <w:p>
            <w:pPr>
              <w:jc w:val="right"/>
              <w:ind w:right="184"/>
              <w:spacing w:after="0"/>
              <w:rPr>
                <w:sz w:val="20"/>
                <w:szCs w:val="20"/>
                <w:color w:val="auto"/>
              </w:rPr>
            </w:pPr>
            <w:r>
              <w:rPr>
                <w:rFonts w:ascii="Arial" w:cs="Arial" w:eastAsia="Arial" w:hAnsi="Arial"/>
                <w:sz w:val="16"/>
                <w:szCs w:val="16"/>
                <w:color w:val="auto"/>
              </w:rPr>
              <w:t>2,629</w:t>
            </w:r>
          </w:p>
        </w:tc>
        <w:tc>
          <w:tcPr>
            <w:tcW w:w="1160" w:type="dxa"/>
            <w:vAlign w:val="bottom"/>
            <w:tcBorders>
              <w:bottom w:val="single" w:sz="8" w:color="auto"/>
            </w:tcBorders>
            <w:shd w:val="clear" w:color="auto" w:fill="E8F0F8"/>
          </w:tcPr>
          <w:p>
            <w:pPr>
              <w:jc w:val="center"/>
              <w:ind w:left="3"/>
              <w:spacing w:after="0"/>
              <w:rPr>
                <w:sz w:val="20"/>
                <w:szCs w:val="20"/>
                <w:color w:val="auto"/>
              </w:rPr>
            </w:pPr>
            <w:r>
              <w:rPr>
                <w:rFonts w:ascii="Arial" w:cs="Arial" w:eastAsia="Arial" w:hAnsi="Arial"/>
                <w:sz w:val="16"/>
                <w:szCs w:val="16"/>
                <w:color w:val="auto"/>
                <w:w w:val="99"/>
              </w:rPr>
              <w:t>—</w:t>
            </w:r>
          </w:p>
        </w:tc>
        <w:tc>
          <w:tcPr>
            <w:tcW w:w="24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E8F0F8"/>
          </w:tcPr>
          <w:p>
            <w:pPr>
              <w:jc w:val="right"/>
              <w:ind w:right="39"/>
              <w:spacing w:after="0"/>
              <w:rPr>
                <w:sz w:val="20"/>
                <w:szCs w:val="20"/>
                <w:color w:val="auto"/>
              </w:rPr>
            </w:pPr>
            <w:r>
              <w:rPr>
                <w:rFonts w:ascii="Arial" w:cs="Arial" w:eastAsia="Arial" w:hAnsi="Arial"/>
                <w:sz w:val="16"/>
                <w:szCs w:val="16"/>
                <w:color w:val="auto"/>
              </w:rPr>
              <w:t>1,320,342</w:t>
            </w:r>
          </w:p>
        </w:tc>
        <w:tc>
          <w:tcPr>
            <w:tcW w:w="0" w:type="dxa"/>
            <w:vAlign w:val="bottom"/>
          </w:tcPr>
          <w:p>
            <w:pPr>
              <w:spacing w:after="0"/>
              <w:rPr>
                <w:sz w:val="1"/>
                <w:szCs w:val="1"/>
                <w:color w:val="auto"/>
              </w:rPr>
            </w:pPr>
          </w:p>
        </w:tc>
      </w:tr>
      <w:tr>
        <w:trPr>
          <w:trHeight w:val="318"/>
        </w:trPr>
        <w:tc>
          <w:tcPr>
            <w:tcW w:w="4860" w:type="dxa"/>
            <w:vAlign w:val="bottom"/>
          </w:tcPr>
          <w:p>
            <w:pPr>
              <w:ind w:left="140"/>
              <w:spacing w:after="0"/>
              <w:rPr>
                <w:sz w:val="20"/>
                <w:szCs w:val="20"/>
                <w:color w:val="auto"/>
              </w:rPr>
            </w:pPr>
            <w:r>
              <w:rPr>
                <w:rFonts w:ascii="Arial" w:cs="Arial" w:eastAsia="Arial" w:hAnsi="Arial"/>
                <w:sz w:val="12"/>
                <w:szCs w:val="12"/>
                <w:color w:val="1A6DBB"/>
              </w:rPr>
              <w:t>57</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-114935</wp:posOffset>
            </wp:positionV>
            <wp:extent cx="685800" cy="15430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0" cy="154305"/>
                    </a:xfrm>
                    <a:prstGeom prst="rect">
                      <a:avLst/>
                    </a:prstGeom>
                    <a:noFill/>
                  </pic:spPr>
                </pic:pic>
              </a:graphicData>
            </a:graphic>
          </wp:anchor>
        </w:drawing>
        <w:drawing>
          <wp:anchor simplePos="0" relativeHeight="251657728" behindDoc="1" locked="0" layoutInCell="0" allowOverlap="1">
            <wp:simplePos x="0" y="0"/>
            <wp:positionH relativeFrom="column">
              <wp:posOffset>7028815</wp:posOffset>
            </wp:positionH>
            <wp:positionV relativeFrom="paragraph">
              <wp:posOffset>-64135</wp:posOffset>
            </wp:positionV>
            <wp:extent cx="102870" cy="946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135"/>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Notes to the 2018 Non-Qualified Deferred Compensation Table</w:t>
      </w:r>
    </w:p>
    <w:p>
      <w:pPr>
        <w:spacing w:after="0" w:line="137" w:lineRule="exact"/>
        <w:rPr>
          <w:sz w:val="20"/>
          <w:szCs w:val="20"/>
          <w:color w:val="auto"/>
        </w:rPr>
      </w:pPr>
    </w:p>
    <w:p>
      <w:pPr>
        <w:ind w:left="420" w:right="380" w:hanging="216"/>
        <w:spacing w:after="0" w:line="241" w:lineRule="auto"/>
        <w:tabs>
          <w:tab w:leader="none" w:pos="42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The amounts in this column are also included, in part, in columns (c), (e) and/or (f) of the Summary Compensation Table and represent deferral of salary, deferral of payments under our 2018 annual bonus plan and deferral of CSPU payments, respectively.</w:t>
      </w:r>
    </w:p>
    <w:p>
      <w:pPr>
        <w:ind w:left="420" w:hanging="216"/>
        <w:spacing w:after="0"/>
        <w:tabs>
          <w:tab w:leader="none" w:pos="42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The amounts in this column are also included in column (h) of the Summary Compensation Table for 2018 as Company contributions to the SSP.</w:t>
      </w:r>
    </w:p>
    <w:p>
      <w:pPr>
        <w:spacing w:after="0" w:line="1" w:lineRule="exact"/>
        <w:rPr>
          <w:rFonts w:ascii="Arial" w:cs="Arial" w:eastAsia="Arial" w:hAnsi="Arial"/>
          <w:sz w:val="14"/>
          <w:szCs w:val="14"/>
          <w:color w:val="auto"/>
        </w:rPr>
      </w:pPr>
    </w:p>
    <w:p>
      <w:pPr>
        <w:ind w:left="420" w:right="640" w:hanging="216"/>
        <w:spacing w:after="0" w:line="241" w:lineRule="auto"/>
        <w:tabs>
          <w:tab w:leader="none" w:pos="42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Earnings in excess of 120% of the applicable federal long-term rate are reported in column (g) of the Summary Compensation Table for 2018 for Mr. Vounatsos ($80,663), Dr. Ehlers ($5,258), Ms. Alexander ($188,056) and Dr. McKenzie ($12,367).</w:t>
      </w:r>
    </w:p>
    <w:p>
      <w:pPr>
        <w:ind w:left="420" w:right="280" w:hanging="216"/>
        <w:spacing w:after="0" w:line="258" w:lineRule="auto"/>
        <w:tabs>
          <w:tab w:leader="none" w:pos="42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The following table lists the compensation deferrals during 2018 and 2017 by the NEOs, as reported, where applicable, in the proxy statement for our 2018 and 2017 Annual Meetings of Stockholders:</w:t>
      </w:r>
    </w:p>
    <w:p>
      <w:pPr>
        <w:spacing w:after="0" w:line="216" w:lineRule="exact"/>
        <w:rPr>
          <w:sz w:val="20"/>
          <w:szCs w:val="20"/>
          <w:color w:val="auto"/>
        </w:rPr>
      </w:pPr>
    </w:p>
    <w:tbl>
      <w:tblPr>
        <w:tblLayout w:type="fixed"/>
        <w:tblInd w:w="1980" w:type="dxa"/>
        <w:tblCellMar>
          <w:top w:w="0" w:type="dxa"/>
          <w:left w:w="0" w:type="dxa"/>
          <w:bottom w:w="0" w:type="dxa"/>
          <w:right w:w="0" w:type="dxa"/>
        </w:tblCellMar>
      </w:tblPr>
      <w:tr>
        <w:trPr>
          <w:trHeight w:val="180"/>
        </w:trPr>
        <w:tc>
          <w:tcPr>
            <w:tcW w:w="4840" w:type="dxa"/>
            <w:vAlign w:val="bottom"/>
            <w:shd w:val="clear" w:color="auto" w:fill="1A6DBB"/>
          </w:tcPr>
          <w:p>
            <w:pPr>
              <w:spacing w:after="0"/>
              <w:rPr>
                <w:sz w:val="15"/>
                <w:szCs w:val="15"/>
                <w:color w:val="auto"/>
              </w:rPr>
            </w:pPr>
          </w:p>
        </w:tc>
        <w:tc>
          <w:tcPr>
            <w:tcW w:w="600" w:type="dxa"/>
            <w:vAlign w:val="bottom"/>
            <w:shd w:val="clear" w:color="auto" w:fill="1A6DBB"/>
          </w:tcPr>
          <w:p>
            <w:pPr>
              <w:spacing w:after="0"/>
              <w:rPr>
                <w:sz w:val="15"/>
                <w:szCs w:val="15"/>
                <w:color w:val="auto"/>
              </w:rPr>
            </w:pPr>
          </w:p>
        </w:tc>
        <w:tc>
          <w:tcPr>
            <w:tcW w:w="2040" w:type="dxa"/>
            <w:vAlign w:val="bottom"/>
            <w:gridSpan w:val="2"/>
            <w:shd w:val="clear" w:color="auto" w:fill="1A6DBB"/>
          </w:tcPr>
          <w:p>
            <w:pPr>
              <w:jc w:val="center"/>
              <w:ind w:right="80"/>
              <w:spacing w:after="0"/>
              <w:rPr>
                <w:sz w:val="20"/>
                <w:szCs w:val="20"/>
                <w:color w:val="auto"/>
              </w:rPr>
            </w:pPr>
            <w:r>
              <w:rPr>
                <w:rFonts w:ascii="Arial" w:cs="Arial" w:eastAsia="Arial" w:hAnsi="Arial"/>
                <w:sz w:val="14"/>
                <w:szCs w:val="14"/>
                <w:color w:val="FFFFFF"/>
              </w:rPr>
              <w:t>Amounts Previously</w:t>
            </w:r>
          </w:p>
        </w:tc>
      </w:tr>
      <w:tr>
        <w:trPr>
          <w:trHeight w:val="172"/>
        </w:trPr>
        <w:tc>
          <w:tcPr>
            <w:tcW w:w="4840" w:type="dxa"/>
            <w:vAlign w:val="bottom"/>
            <w:shd w:val="clear" w:color="auto" w:fill="1A6DBB"/>
          </w:tcPr>
          <w:p>
            <w:pPr>
              <w:spacing w:after="0"/>
              <w:rPr>
                <w:sz w:val="14"/>
                <w:szCs w:val="14"/>
                <w:color w:val="auto"/>
              </w:rPr>
            </w:pPr>
          </w:p>
        </w:tc>
        <w:tc>
          <w:tcPr>
            <w:tcW w:w="600" w:type="dxa"/>
            <w:vAlign w:val="bottom"/>
            <w:shd w:val="clear" w:color="auto" w:fill="1A6DBB"/>
          </w:tcPr>
          <w:p>
            <w:pPr>
              <w:spacing w:after="0"/>
              <w:rPr>
                <w:sz w:val="14"/>
                <w:szCs w:val="14"/>
                <w:color w:val="auto"/>
              </w:rPr>
            </w:pPr>
          </w:p>
        </w:tc>
        <w:tc>
          <w:tcPr>
            <w:tcW w:w="2040" w:type="dxa"/>
            <w:vAlign w:val="bottom"/>
            <w:gridSpan w:val="2"/>
            <w:shd w:val="clear" w:color="auto" w:fill="1A6DBB"/>
          </w:tcPr>
          <w:p>
            <w:pPr>
              <w:jc w:val="center"/>
              <w:ind w:right="80"/>
              <w:spacing w:after="0"/>
              <w:rPr>
                <w:sz w:val="20"/>
                <w:szCs w:val="20"/>
                <w:color w:val="auto"/>
              </w:rPr>
            </w:pPr>
            <w:r>
              <w:rPr>
                <w:rFonts w:ascii="Arial" w:cs="Arial" w:eastAsia="Arial" w:hAnsi="Arial"/>
                <w:sz w:val="14"/>
                <w:szCs w:val="14"/>
                <w:color w:val="FFFFFF"/>
              </w:rPr>
              <w:t>Reported as Deferred</w:t>
            </w:r>
          </w:p>
        </w:tc>
      </w:tr>
      <w:tr>
        <w:trPr>
          <w:trHeight w:val="161"/>
        </w:trPr>
        <w:tc>
          <w:tcPr>
            <w:tcW w:w="4840" w:type="dxa"/>
            <w:vAlign w:val="bottom"/>
            <w:shd w:val="clear" w:color="auto" w:fill="1A6DBB"/>
          </w:tcPr>
          <w:p>
            <w:pPr>
              <w:ind w:left="80"/>
              <w:spacing w:after="0"/>
              <w:rPr>
                <w:sz w:val="20"/>
                <w:szCs w:val="20"/>
                <w:color w:val="auto"/>
              </w:rPr>
            </w:pPr>
            <w:r>
              <w:rPr>
                <w:rFonts w:ascii="Arial" w:cs="Arial" w:eastAsia="Arial" w:hAnsi="Arial"/>
                <w:sz w:val="14"/>
                <w:szCs w:val="14"/>
                <w:color w:val="FFFFFF"/>
              </w:rPr>
              <w:t>Name</w:t>
            </w:r>
          </w:p>
        </w:tc>
        <w:tc>
          <w:tcPr>
            <w:tcW w:w="600" w:type="dxa"/>
            <w:vAlign w:val="bottom"/>
            <w:shd w:val="clear" w:color="auto" w:fill="1A6DBB"/>
          </w:tcPr>
          <w:p>
            <w:pPr>
              <w:spacing w:after="0"/>
              <w:rPr>
                <w:sz w:val="13"/>
                <w:szCs w:val="13"/>
                <w:color w:val="auto"/>
              </w:rPr>
            </w:pPr>
          </w:p>
        </w:tc>
        <w:tc>
          <w:tcPr>
            <w:tcW w:w="1000" w:type="dxa"/>
            <w:vAlign w:val="bottom"/>
            <w:shd w:val="clear" w:color="auto" w:fill="1A6DBB"/>
          </w:tcPr>
          <w:p>
            <w:pPr>
              <w:jc w:val="right"/>
              <w:ind w:right="442"/>
              <w:spacing w:after="0"/>
              <w:rPr>
                <w:sz w:val="20"/>
                <w:szCs w:val="20"/>
                <w:color w:val="auto"/>
              </w:rPr>
            </w:pPr>
            <w:r>
              <w:rPr>
                <w:rFonts w:ascii="Arial" w:cs="Arial" w:eastAsia="Arial" w:hAnsi="Arial"/>
                <w:sz w:val="14"/>
                <w:szCs w:val="14"/>
                <w:color w:val="FFFFFF"/>
              </w:rPr>
              <w:t>2017</w:t>
            </w:r>
          </w:p>
        </w:tc>
        <w:tc>
          <w:tcPr>
            <w:tcW w:w="1040" w:type="dxa"/>
            <w:vAlign w:val="bottom"/>
            <w:shd w:val="clear" w:color="auto" w:fill="1A6DBB"/>
          </w:tcPr>
          <w:p>
            <w:pPr>
              <w:jc w:val="center"/>
              <w:ind w:left="160"/>
              <w:spacing w:after="0"/>
              <w:rPr>
                <w:sz w:val="20"/>
                <w:szCs w:val="20"/>
                <w:color w:val="auto"/>
              </w:rPr>
            </w:pPr>
            <w:r>
              <w:rPr>
                <w:rFonts w:ascii="Arial" w:cs="Arial" w:eastAsia="Arial" w:hAnsi="Arial"/>
                <w:sz w:val="14"/>
                <w:szCs w:val="14"/>
                <w:color w:val="FFFFFF"/>
              </w:rPr>
              <w:t>2016</w:t>
            </w:r>
          </w:p>
        </w:tc>
      </w:tr>
      <w:tr>
        <w:trPr>
          <w:trHeight w:val="220"/>
        </w:trPr>
        <w:tc>
          <w:tcPr>
            <w:tcW w:w="4840" w:type="dxa"/>
            <w:vAlign w:val="bottom"/>
            <w:shd w:val="clear" w:color="auto" w:fill="E8F0F8"/>
          </w:tcPr>
          <w:p>
            <w:pPr>
              <w:ind w:left="80"/>
              <w:spacing w:after="0"/>
              <w:rPr>
                <w:sz w:val="20"/>
                <w:szCs w:val="20"/>
                <w:color w:val="auto"/>
              </w:rPr>
            </w:pPr>
            <w:r>
              <w:rPr>
                <w:rFonts w:ascii="Arial" w:cs="Arial" w:eastAsia="Arial" w:hAnsi="Arial"/>
                <w:sz w:val="16"/>
                <w:szCs w:val="16"/>
                <w:color w:val="auto"/>
              </w:rPr>
              <w:t>Mr. Vounatsos</w:t>
            </w:r>
          </w:p>
        </w:tc>
        <w:tc>
          <w:tcPr>
            <w:tcW w:w="60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8F0F8"/>
          </w:tcPr>
          <w:p>
            <w:pPr>
              <w:jc w:val="right"/>
              <w:ind w:right="202"/>
              <w:spacing w:after="0"/>
              <w:rPr>
                <w:sz w:val="20"/>
                <w:szCs w:val="20"/>
                <w:color w:val="auto"/>
              </w:rPr>
            </w:pPr>
            <w:r>
              <w:rPr>
                <w:rFonts w:ascii="Arial" w:cs="Arial" w:eastAsia="Arial" w:hAnsi="Arial"/>
                <w:sz w:val="16"/>
                <w:szCs w:val="16"/>
                <w:color w:val="auto"/>
                <w:w w:val="98"/>
              </w:rPr>
              <w:t>1,025,867</w:t>
            </w:r>
          </w:p>
        </w:tc>
        <w:tc>
          <w:tcPr>
            <w:tcW w:w="1040" w:type="dxa"/>
            <w:vAlign w:val="bottom"/>
            <w:shd w:val="clear" w:color="auto" w:fill="E8F0F8"/>
          </w:tcPr>
          <w:p>
            <w:pPr>
              <w:jc w:val="center"/>
              <w:ind w:left="160"/>
              <w:spacing w:after="0"/>
              <w:rPr>
                <w:sz w:val="20"/>
                <w:szCs w:val="20"/>
                <w:color w:val="auto"/>
              </w:rPr>
            </w:pPr>
            <w:r>
              <w:rPr>
                <w:rFonts w:ascii="Arial" w:cs="Arial" w:eastAsia="Arial" w:hAnsi="Arial"/>
                <w:sz w:val="16"/>
                <w:szCs w:val="16"/>
                <w:color w:val="auto"/>
              </w:rPr>
              <w:t>$300,000</w:t>
            </w:r>
          </w:p>
        </w:tc>
      </w:tr>
      <w:tr>
        <w:trPr>
          <w:trHeight w:val="239"/>
        </w:trPr>
        <w:tc>
          <w:tcPr>
            <w:tcW w:w="4840" w:type="dxa"/>
            <w:vAlign w:val="bottom"/>
            <w:shd w:val="clear" w:color="auto" w:fill="BAD3EA"/>
          </w:tcPr>
          <w:p>
            <w:pPr>
              <w:ind w:left="80"/>
              <w:spacing w:after="0"/>
              <w:rPr>
                <w:sz w:val="20"/>
                <w:szCs w:val="20"/>
                <w:color w:val="auto"/>
              </w:rPr>
            </w:pPr>
            <w:r>
              <w:rPr>
                <w:rFonts w:ascii="Arial" w:cs="Arial" w:eastAsia="Arial" w:hAnsi="Arial"/>
                <w:sz w:val="16"/>
                <w:szCs w:val="16"/>
                <w:color w:val="auto"/>
              </w:rPr>
              <w:t>Mr. Capello</w:t>
            </w:r>
          </w:p>
        </w:tc>
        <w:tc>
          <w:tcPr>
            <w:tcW w:w="600" w:type="dxa"/>
            <w:vAlign w:val="bottom"/>
            <w:shd w:val="clear" w:color="auto" w:fill="BAD3EA"/>
          </w:tcPr>
          <w:p>
            <w:pPr>
              <w:spacing w:after="0"/>
              <w:rPr>
                <w:sz w:val="20"/>
                <w:szCs w:val="20"/>
                <w:color w:val="auto"/>
              </w:rPr>
            </w:pPr>
          </w:p>
        </w:tc>
        <w:tc>
          <w:tcPr>
            <w:tcW w:w="1000" w:type="dxa"/>
            <w:vAlign w:val="bottom"/>
            <w:shd w:val="clear" w:color="auto" w:fill="BAD3EA"/>
          </w:tcPr>
          <w:p>
            <w:pPr>
              <w:jc w:val="right"/>
              <w:ind w:right="482"/>
              <w:spacing w:after="0"/>
              <w:rPr>
                <w:sz w:val="20"/>
                <w:szCs w:val="20"/>
                <w:color w:val="auto"/>
              </w:rPr>
            </w:pPr>
            <w:r>
              <w:rPr>
                <w:rFonts w:ascii="Arial" w:cs="Arial" w:eastAsia="Arial" w:hAnsi="Arial"/>
                <w:sz w:val="16"/>
                <w:szCs w:val="16"/>
                <w:color w:val="auto"/>
              </w:rPr>
              <w:t>—</w:t>
            </w:r>
          </w:p>
        </w:tc>
        <w:tc>
          <w:tcPr>
            <w:tcW w:w="1040" w:type="dxa"/>
            <w:vAlign w:val="bottom"/>
            <w:shd w:val="clear" w:color="auto" w:fill="BAD3EA"/>
          </w:tcPr>
          <w:p>
            <w:pPr>
              <w:ind w:left="600"/>
              <w:spacing w:after="0"/>
              <w:rPr>
                <w:sz w:val="20"/>
                <w:szCs w:val="20"/>
                <w:color w:val="auto"/>
              </w:rPr>
            </w:pPr>
            <w:r>
              <w:rPr>
                <w:rFonts w:ascii="Arial" w:cs="Arial" w:eastAsia="Arial" w:hAnsi="Arial"/>
                <w:sz w:val="16"/>
                <w:szCs w:val="16"/>
                <w:color w:val="auto"/>
              </w:rPr>
              <w:t>—</w:t>
            </w:r>
          </w:p>
        </w:tc>
      </w:tr>
      <w:tr>
        <w:trPr>
          <w:trHeight w:val="220"/>
        </w:trPr>
        <w:tc>
          <w:tcPr>
            <w:tcW w:w="4840" w:type="dxa"/>
            <w:vAlign w:val="bottom"/>
            <w:shd w:val="clear" w:color="auto" w:fill="E8F0F8"/>
          </w:tcPr>
          <w:p>
            <w:pPr>
              <w:ind w:left="80"/>
              <w:spacing w:after="0"/>
              <w:rPr>
                <w:sz w:val="20"/>
                <w:szCs w:val="20"/>
                <w:color w:val="auto"/>
              </w:rPr>
            </w:pPr>
            <w:r>
              <w:rPr>
                <w:rFonts w:ascii="Arial" w:cs="Arial" w:eastAsia="Arial" w:hAnsi="Arial"/>
                <w:sz w:val="16"/>
                <w:szCs w:val="16"/>
                <w:color w:val="auto"/>
              </w:rPr>
              <w:t>Dr. Ehlers</w:t>
            </w:r>
          </w:p>
        </w:tc>
        <w:tc>
          <w:tcPr>
            <w:tcW w:w="60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8F0F8"/>
          </w:tcPr>
          <w:p>
            <w:pPr>
              <w:jc w:val="right"/>
              <w:ind w:right="202"/>
              <w:spacing w:after="0"/>
              <w:rPr>
                <w:sz w:val="20"/>
                <w:szCs w:val="20"/>
                <w:color w:val="auto"/>
              </w:rPr>
            </w:pPr>
            <w:r>
              <w:rPr>
                <w:rFonts w:ascii="Arial" w:cs="Arial" w:eastAsia="Arial" w:hAnsi="Arial"/>
                <w:sz w:val="16"/>
                <w:szCs w:val="16"/>
                <w:color w:val="auto"/>
              </w:rPr>
              <w:t>365,160</w:t>
            </w:r>
          </w:p>
        </w:tc>
        <w:tc>
          <w:tcPr>
            <w:tcW w:w="1040" w:type="dxa"/>
            <w:vAlign w:val="bottom"/>
            <w:shd w:val="clear" w:color="auto" w:fill="E8F0F8"/>
          </w:tcPr>
          <w:p>
            <w:pPr>
              <w:jc w:val="center"/>
              <w:ind w:left="160"/>
              <w:spacing w:after="0"/>
              <w:rPr>
                <w:sz w:val="20"/>
                <w:szCs w:val="20"/>
                <w:color w:val="auto"/>
              </w:rPr>
            </w:pPr>
            <w:r>
              <w:rPr>
                <w:rFonts w:ascii="Arial" w:cs="Arial" w:eastAsia="Arial" w:hAnsi="Arial"/>
                <w:sz w:val="16"/>
                <w:szCs w:val="16"/>
                <w:color w:val="auto"/>
              </w:rPr>
              <w:t>$116,250</w:t>
            </w:r>
          </w:p>
        </w:tc>
      </w:tr>
      <w:tr>
        <w:trPr>
          <w:trHeight w:val="239"/>
        </w:trPr>
        <w:tc>
          <w:tcPr>
            <w:tcW w:w="4840" w:type="dxa"/>
            <w:vAlign w:val="bottom"/>
            <w:shd w:val="clear" w:color="auto" w:fill="BAD3EA"/>
          </w:tcPr>
          <w:p>
            <w:pPr>
              <w:ind w:left="80"/>
              <w:spacing w:after="0"/>
              <w:rPr>
                <w:sz w:val="20"/>
                <w:szCs w:val="20"/>
                <w:color w:val="auto"/>
              </w:rPr>
            </w:pPr>
            <w:r>
              <w:rPr>
                <w:rFonts w:ascii="Arial" w:cs="Arial" w:eastAsia="Arial" w:hAnsi="Arial"/>
                <w:sz w:val="16"/>
                <w:szCs w:val="16"/>
                <w:color w:val="auto"/>
              </w:rPr>
              <w:t>Ms. Alexander</w:t>
            </w:r>
          </w:p>
        </w:tc>
        <w:tc>
          <w:tcPr>
            <w:tcW w:w="600" w:type="dxa"/>
            <w:vAlign w:val="bottom"/>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BAD3EA"/>
          </w:tcPr>
          <w:p>
            <w:pPr>
              <w:jc w:val="right"/>
              <w:ind w:right="202"/>
              <w:spacing w:after="0"/>
              <w:rPr>
                <w:sz w:val="20"/>
                <w:szCs w:val="20"/>
                <w:color w:val="auto"/>
              </w:rPr>
            </w:pPr>
            <w:r>
              <w:rPr>
                <w:rFonts w:ascii="Arial" w:cs="Arial" w:eastAsia="Arial" w:hAnsi="Arial"/>
                <w:sz w:val="16"/>
                <w:szCs w:val="16"/>
                <w:color w:val="auto"/>
              </w:rPr>
              <w:t>573,897</w:t>
            </w:r>
          </w:p>
        </w:tc>
        <w:tc>
          <w:tcPr>
            <w:tcW w:w="1040" w:type="dxa"/>
            <w:vAlign w:val="bottom"/>
            <w:shd w:val="clear" w:color="auto" w:fill="BAD3EA"/>
          </w:tcPr>
          <w:p>
            <w:pPr>
              <w:jc w:val="center"/>
              <w:ind w:left="160"/>
              <w:spacing w:after="0"/>
              <w:rPr>
                <w:sz w:val="20"/>
                <w:szCs w:val="20"/>
                <w:color w:val="auto"/>
              </w:rPr>
            </w:pPr>
            <w:r>
              <w:rPr>
                <w:rFonts w:ascii="Arial" w:cs="Arial" w:eastAsia="Arial" w:hAnsi="Arial"/>
                <w:sz w:val="16"/>
                <w:szCs w:val="16"/>
                <w:color w:val="auto"/>
              </w:rPr>
              <w:t>$259,816</w:t>
            </w:r>
          </w:p>
        </w:tc>
      </w:tr>
      <w:tr>
        <w:trPr>
          <w:trHeight w:val="223"/>
        </w:trPr>
        <w:tc>
          <w:tcPr>
            <w:tcW w:w="4840" w:type="dxa"/>
            <w:vAlign w:val="bottom"/>
            <w:tcBorders>
              <w:bottom w:val="single" w:sz="8" w:color="auto"/>
            </w:tcBorders>
            <w:shd w:val="clear" w:color="auto" w:fill="E8F0F8"/>
          </w:tcPr>
          <w:p>
            <w:pPr>
              <w:ind w:left="80"/>
              <w:spacing w:after="0"/>
              <w:rPr>
                <w:sz w:val="20"/>
                <w:szCs w:val="20"/>
                <w:color w:val="auto"/>
              </w:rPr>
            </w:pPr>
            <w:r>
              <w:rPr>
                <w:rFonts w:ascii="Arial" w:cs="Arial" w:eastAsia="Arial" w:hAnsi="Arial"/>
                <w:sz w:val="16"/>
                <w:szCs w:val="16"/>
                <w:color w:val="auto"/>
              </w:rPr>
              <w:t>Dr. McKenzie</w:t>
            </w:r>
          </w:p>
        </w:tc>
        <w:tc>
          <w:tcPr>
            <w:tcW w:w="60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8F0F8"/>
          </w:tcPr>
          <w:p>
            <w:pPr>
              <w:jc w:val="right"/>
              <w:ind w:right="202"/>
              <w:spacing w:after="0"/>
              <w:rPr>
                <w:sz w:val="20"/>
                <w:szCs w:val="20"/>
                <w:color w:val="auto"/>
              </w:rPr>
            </w:pPr>
            <w:r>
              <w:rPr>
                <w:rFonts w:ascii="Arial" w:cs="Arial" w:eastAsia="Arial" w:hAnsi="Arial"/>
                <w:sz w:val="16"/>
                <w:szCs w:val="16"/>
                <w:color w:val="auto"/>
              </w:rPr>
              <w:t>221,128</w:t>
            </w:r>
          </w:p>
        </w:tc>
        <w:tc>
          <w:tcPr>
            <w:tcW w:w="1040" w:type="dxa"/>
            <w:vAlign w:val="bottom"/>
            <w:tcBorders>
              <w:bottom w:val="single" w:sz="8" w:color="auto"/>
            </w:tcBorders>
            <w:shd w:val="clear" w:color="auto" w:fill="E8F0F8"/>
          </w:tcPr>
          <w:p>
            <w:pPr>
              <w:ind w:left="60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-848360</wp:posOffset>
            </wp:positionV>
            <wp:extent cx="135509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106" w:lineRule="exact"/>
        <w:rPr>
          <w:sz w:val="20"/>
          <w:szCs w:val="20"/>
          <w:color w:val="auto"/>
        </w:rPr>
      </w:pPr>
    </w:p>
    <w:p>
      <w:pPr>
        <w:ind w:left="420" w:right="480"/>
        <w:spacing w:after="0" w:line="258" w:lineRule="auto"/>
        <w:rPr>
          <w:sz w:val="20"/>
          <w:szCs w:val="20"/>
          <w:color w:val="auto"/>
        </w:rPr>
      </w:pPr>
      <w:r>
        <w:rPr>
          <w:rFonts w:ascii="Arial" w:cs="Arial" w:eastAsia="Arial" w:hAnsi="Arial"/>
          <w:sz w:val="14"/>
          <w:szCs w:val="14"/>
          <w:color w:val="auto"/>
        </w:rPr>
        <w:t>This column also includes Company contributions and compensation earned and deferred in prior years, which was disclosed in our prior proxy statements where applicable, together with earnings on these amounts.</w:t>
      </w:r>
    </w:p>
    <w:p>
      <w:pPr>
        <w:sectPr>
          <w:pgSz w:w="11900" w:h="16838" w:orient="portrait"/>
          <w:cols w:equalWidth="0" w:num="1">
            <w:col w:w="11180"/>
          </w:cols>
          <w:pgMar w:left="240" w:top="459" w:right="479" w:bottom="1440" w:gutter="0" w:footer="0" w:header="0"/>
        </w:sectPr>
      </w:pPr>
    </w:p>
    <w:p>
      <w:pPr>
        <w:spacing w:after="0" w:line="24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1A6DBB"/>
        </w:rPr>
        <w:t>Potential Payments Upon Termination or Change in Control</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1A6DBB"/>
        </w:rPr>
        <w:t>Executive Severance Policy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427F3D"/>
        </w:rPr>
        <w:t>Definition of Key Terms Relating to our Executive Severance Policy</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executive severance policy and benefits refer to certain key terms.</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These terms are defined in our 2017 Omnibus Equity Plan.</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427F3D"/>
        </w:rPr>
        <w:t>Executive Vice President Arrangements</w:t>
      </w:r>
    </w:p>
    <w:p>
      <w:pPr>
        <w:spacing w:after="0" w:line="89" w:lineRule="exact"/>
        <w:rPr>
          <w:sz w:val="20"/>
          <w:szCs w:val="20"/>
          <w:color w:val="auto"/>
        </w:rPr>
      </w:pPr>
    </w:p>
    <w:p>
      <w:pPr>
        <w:ind w:left="200" w:right="300"/>
        <w:spacing w:after="0" w:line="253" w:lineRule="auto"/>
        <w:rPr>
          <w:sz w:val="20"/>
          <w:szCs w:val="20"/>
          <w:color w:val="auto"/>
        </w:rPr>
      </w:pPr>
      <w:r>
        <w:rPr>
          <w:rFonts w:ascii="Arial" w:cs="Arial" w:eastAsia="Arial" w:hAnsi="Arial"/>
          <w:sz w:val="16"/>
          <w:szCs w:val="16"/>
          <w:color w:val="auto"/>
        </w:rPr>
        <w:t>Each of our NEOs, other than Mr. Vounatsos, were covered by our executive severance policy in 2018 under which they were eligible to receive the following benefits if certain events occurred during 2018:</w:t>
      </w:r>
    </w:p>
    <w:p>
      <w:pPr>
        <w:spacing w:after="0" w:line="107" w:lineRule="exact"/>
        <w:rPr>
          <w:sz w:val="20"/>
          <w:szCs w:val="20"/>
          <w:color w:val="auto"/>
        </w:rPr>
      </w:pPr>
    </w:p>
    <w:p>
      <w:pPr>
        <w:ind w:left="460" w:right="40" w:hanging="256"/>
        <w:spacing w:after="0" w:line="246" w:lineRule="auto"/>
        <w:tabs>
          <w:tab w:leader="none" w:pos="460" w:val="left"/>
        </w:tabs>
        <w:numPr>
          <w:ilvl w:val="0"/>
          <w:numId w:val="137"/>
        </w:numPr>
        <w:rPr>
          <w:rFonts w:ascii="Arial" w:cs="Arial" w:eastAsia="Arial" w:hAnsi="Arial"/>
          <w:sz w:val="16"/>
          <w:szCs w:val="16"/>
          <w:color w:val="1A6DBB"/>
        </w:rPr>
      </w:pPr>
      <w:r>
        <w:rPr>
          <w:rFonts w:ascii="Arial" w:cs="Arial" w:eastAsia="Arial" w:hAnsi="Arial"/>
          <w:sz w:val="16"/>
          <w:szCs w:val="16"/>
          <w:color w:val="auto"/>
        </w:rPr>
        <w:t>In the event of a termination of employment other than for cause and other than by reason of the executive’s death or disability, the NEO would be entitled to receive a lump sum severance payment equal to a minimum of 12 months of such NEO’s then base salary and target bonus, with an additional 2 months of base salary and target bonus for each full year of service to a maximum benefit of 21 months of base salary and target bonus. We refer to the number of months of severance a NEO is entitled to receive as the “severance period.”</w:t>
      </w:r>
    </w:p>
    <w:p>
      <w:pPr>
        <w:spacing w:after="0" w:line="3" w:lineRule="exact"/>
        <w:rPr>
          <w:rFonts w:ascii="Arial" w:cs="Arial" w:eastAsia="Arial" w:hAnsi="Arial"/>
          <w:sz w:val="16"/>
          <w:szCs w:val="16"/>
          <w:color w:val="1A6DBB"/>
        </w:rPr>
      </w:pPr>
    </w:p>
    <w:p>
      <w:pPr>
        <w:ind w:left="460" w:hanging="256"/>
        <w:spacing w:after="0" w:line="251" w:lineRule="auto"/>
        <w:tabs>
          <w:tab w:leader="none" w:pos="460" w:val="left"/>
        </w:tabs>
        <w:numPr>
          <w:ilvl w:val="0"/>
          <w:numId w:val="137"/>
        </w:numPr>
        <w:rPr>
          <w:rFonts w:ascii="Arial" w:cs="Arial" w:eastAsia="Arial" w:hAnsi="Arial"/>
          <w:sz w:val="16"/>
          <w:szCs w:val="16"/>
          <w:color w:val="1A6DBB"/>
        </w:rPr>
      </w:pPr>
      <w:r>
        <w:rPr>
          <w:rFonts w:ascii="Arial" w:cs="Arial" w:eastAsia="Arial" w:hAnsi="Arial"/>
          <w:sz w:val="16"/>
          <w:szCs w:val="16"/>
          <w:color w:val="auto"/>
        </w:rPr>
        <w:t>If, within two years following a corporate transaction or a corporate change in control, the NEO experiences a termination of employment other than for cause and other than by reason of death or disability or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342265</wp:posOffset>
            </wp:positionV>
            <wp:extent cx="685800" cy="15430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ind w:left="260"/>
        <w:spacing w:after="0" w:line="251" w:lineRule="auto"/>
        <w:rPr>
          <w:sz w:val="20"/>
          <w:szCs w:val="20"/>
          <w:color w:val="auto"/>
        </w:rPr>
      </w:pPr>
      <w:r>
        <w:rPr>
          <w:rFonts w:ascii="Arial" w:cs="Arial" w:eastAsia="Arial" w:hAnsi="Arial"/>
          <w:sz w:val="16"/>
          <w:szCs w:val="16"/>
          <w:color w:val="auto"/>
        </w:rPr>
        <w:t>an involuntary employment action, the NEO would be entitled to a lump sum severance payment equal to two times the NEO’s then-annual base salary plus target annual bonus. These payments are in lieu of any payment in the preceding paragraph.</w:t>
      </w:r>
    </w:p>
    <w:p>
      <w:pPr>
        <w:spacing w:after="0" w:line="9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payment of these severance benefits is conditioned upon execution of an irrevocable release in favor of the Company.</w:t>
      </w:r>
    </w:p>
    <w:p>
      <w:pPr>
        <w:spacing w:after="0" w:line="88" w:lineRule="exact"/>
        <w:rPr>
          <w:sz w:val="20"/>
          <w:szCs w:val="20"/>
          <w:color w:val="auto"/>
        </w:rPr>
      </w:pPr>
    </w:p>
    <w:p>
      <w:pPr>
        <w:ind w:right="600"/>
        <w:spacing w:after="0" w:line="253" w:lineRule="auto"/>
        <w:rPr>
          <w:sz w:val="20"/>
          <w:szCs w:val="20"/>
          <w:color w:val="auto"/>
        </w:rPr>
      </w:pPr>
      <w:r>
        <w:rPr>
          <w:rFonts w:ascii="Arial" w:cs="Arial" w:eastAsia="Arial" w:hAnsi="Arial"/>
          <w:sz w:val="16"/>
          <w:szCs w:val="16"/>
          <w:color w:val="auto"/>
        </w:rPr>
        <w:t>The executive severance policy does not pay severance upon a termination for cause, voluntary resignation, retirement or death or disability.</w:t>
      </w:r>
    </w:p>
    <w:p>
      <w:pPr>
        <w:spacing w:after="0" w:line="93"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In any case where severance is payable under our executive severance policy, our NEOs would also receive continuation of medical, dental and vision insurance benefits until the earlier of the last date of the severance period or the date the executive becomes eligible to participate in another employer’s medical, dental and vision insurance plans. NEOs would also be provided up to 12 months of executive-level outplacement services at our cost.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427F3D"/>
        </w:rPr>
        <w:t>Annual Bonus Plan</w:t>
      </w:r>
    </w:p>
    <w:p>
      <w:pPr>
        <w:spacing w:after="0" w:line="102"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Our annual bonus plan provides for a prorated target bonus payment upon a termination of employment due to the death or disability of the participant. As our annual bonus plan provides for payment of a full bonus to any participant remaining employed on the last day of the plan year, annual bonus amounts are not included in the Potential Post- Termination Payments Table below.</w:t>
      </w:r>
    </w:p>
    <w:p>
      <w:pPr>
        <w:spacing w:after="0" w:line="200" w:lineRule="exact"/>
        <w:rPr>
          <w:sz w:val="20"/>
          <w:szCs w:val="20"/>
          <w:color w:val="auto"/>
        </w:rPr>
      </w:pPr>
    </w:p>
    <w:p>
      <w:pPr>
        <w:sectPr>
          <w:pgSz w:w="11900" w:h="16838" w:orient="portrait"/>
          <w:cols w:equalWidth="0" w:num="2">
            <w:col w:w="5420" w:space="400"/>
            <w:col w:w="5360"/>
          </w:cols>
          <w:pgMar w:left="240" w:top="459" w:right="479" w:bottom="1440" w:gutter="0" w:footer="0" w:header="0"/>
          <w:type w:val="continuous"/>
        </w:sectPr>
      </w:pPr>
    </w:p>
    <w:p>
      <w:pPr>
        <w:spacing w:after="0" w:line="114"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-71120</wp:posOffset>
            </wp:positionV>
            <wp:extent cx="102870" cy="946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7" w:lineRule="exact"/>
        <w:rPr>
          <w:sz w:val="20"/>
          <w:szCs w:val="20"/>
          <w:color w:val="auto"/>
        </w:rPr>
      </w:pPr>
    </w:p>
    <w:p>
      <w:pPr>
        <w:ind w:left="460"/>
        <w:spacing w:after="0"/>
        <w:rPr>
          <w:sz w:val="20"/>
          <w:szCs w:val="20"/>
          <w:color w:val="auto"/>
        </w:rPr>
      </w:pPr>
      <w:r>
        <w:rPr>
          <w:rFonts w:ascii="Arial" w:cs="Arial" w:eastAsia="Arial" w:hAnsi="Arial"/>
          <w:sz w:val="88"/>
          <w:szCs w:val="88"/>
          <w:color w:val="1A6DBB"/>
        </w:rPr>
        <w:t xml:space="preserve">5 </w:t>
      </w:r>
      <w:r>
        <w:rPr>
          <w:rFonts w:ascii="Arial" w:cs="Arial" w:eastAsia="Arial" w:hAnsi="Arial"/>
          <w:sz w:val="40"/>
          <w:szCs w:val="40"/>
          <w:color w:val="1A6DBB"/>
        </w:rPr>
        <w:t>Executive Compensation Matters</w:t>
      </w:r>
      <w:r>
        <w:rPr>
          <w:rFonts w:ascii="Arial" w:cs="Arial" w:eastAsia="Arial" w:hAnsi="Arial"/>
          <w:sz w:val="88"/>
          <w:szCs w:val="88"/>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65"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427F3D"/>
        </w:rPr>
        <w:t>Mr. Vounatsos’ Arrangements</w:t>
      </w:r>
    </w:p>
    <w:p>
      <w:pPr>
        <w:spacing w:after="0" w:line="102" w:lineRule="exact"/>
        <w:rPr>
          <w:sz w:val="20"/>
          <w:szCs w:val="20"/>
          <w:color w:val="auto"/>
        </w:rPr>
      </w:pPr>
    </w:p>
    <w:p>
      <w:pPr>
        <w:ind w:left="220"/>
        <w:spacing w:after="0" w:line="251" w:lineRule="auto"/>
        <w:rPr>
          <w:sz w:val="20"/>
          <w:szCs w:val="20"/>
          <w:color w:val="auto"/>
        </w:rPr>
      </w:pPr>
      <w:r>
        <w:rPr>
          <w:rFonts w:ascii="Arial" w:cs="Arial" w:eastAsia="Arial" w:hAnsi="Arial"/>
          <w:sz w:val="16"/>
          <w:szCs w:val="16"/>
          <w:color w:val="auto"/>
        </w:rPr>
        <w:t>We entered into an employment agreement with Mr. Vounatsos effective January 6, 2017, with an initial term ending on December 31, 2019, at which time the term automatically extends for additional 12-month periods until the agreement is otherwise terminated in accordance with its terms.</w:t>
      </w:r>
    </w:p>
    <w:p>
      <w:pPr>
        <w:spacing w:after="0" w:line="95" w:lineRule="exact"/>
        <w:rPr>
          <w:sz w:val="20"/>
          <w:szCs w:val="20"/>
          <w:color w:val="auto"/>
        </w:rPr>
      </w:pPr>
    </w:p>
    <w:p>
      <w:pPr>
        <w:ind w:left="220"/>
        <w:spacing w:after="0" w:line="246" w:lineRule="auto"/>
        <w:rPr>
          <w:sz w:val="20"/>
          <w:szCs w:val="20"/>
          <w:color w:val="auto"/>
        </w:rPr>
      </w:pPr>
      <w:r>
        <w:rPr>
          <w:rFonts w:ascii="Arial" w:cs="Arial" w:eastAsia="Arial" w:hAnsi="Arial"/>
          <w:sz w:val="16"/>
          <w:szCs w:val="16"/>
          <w:color w:val="auto"/>
        </w:rPr>
        <w:t>Under Mr. Vounatsos’ employment agreement, if his employment is terminated by the Company without cause or if he terminates his employment for good reason (referred to in his employment agreement as an involuntary employment action), then he would be entitled to a lump sum payment of cash severance in the amount of one and one-half times his annual base salary and target annual bonus. If, however, such termination of employment occurs within two years following a corporate transaction or a corporate change in control (CIC), then he would be entitled to a lump sum payment of cash severance in the amount of two times his annual base salary and target annual bonus. Mr. Vounatsos would also receive continuation of medical, dental and vision benefits until the earlier of 18 months (24 months if within 2 years of a CIC) following the date his employment terminates or the date upon which he becomes eligible to receive substantially comparable benefits through another employer. In addition, he would be entitled to receive a pro rata portion of his annual cash bonus for the year that such termination occurs based on actual performance or, in the event the termination occurs within two years following a CIC, his target annual bonus. Mr. Vounatsos would also be provided executive-level outplacement services for a</w:t>
      </w:r>
    </w:p>
    <w:p>
      <w:pPr>
        <w:spacing w:after="0" w:line="9" w:lineRule="exact"/>
        <w:rPr>
          <w:sz w:val="20"/>
          <w:szCs w:val="20"/>
          <w:color w:val="auto"/>
        </w:rPr>
      </w:pPr>
    </w:p>
    <w:p>
      <w:pPr>
        <w:ind w:left="220" w:right="120"/>
        <w:spacing w:after="0" w:line="253" w:lineRule="auto"/>
        <w:rPr>
          <w:sz w:val="20"/>
          <w:szCs w:val="20"/>
          <w:color w:val="auto"/>
        </w:rPr>
      </w:pPr>
      <w:r>
        <w:rPr>
          <w:rFonts w:ascii="Arial" w:cs="Arial" w:eastAsia="Arial" w:hAnsi="Arial"/>
          <w:sz w:val="16"/>
          <w:szCs w:val="16"/>
          <w:color w:val="auto"/>
        </w:rPr>
        <w:t>12-month period following the termination date at our cost. The payment of Mr. Vounatsos’ severance benefits is conditioned upon execution of general release in favor of the Company.</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427F3D"/>
        </w:rPr>
        <w:t>Excise Tax Provisions</w:t>
      </w:r>
    </w:p>
    <w:p>
      <w:pPr>
        <w:spacing w:after="0" w:line="89" w:lineRule="exact"/>
        <w:rPr>
          <w:sz w:val="20"/>
          <w:szCs w:val="20"/>
          <w:color w:val="auto"/>
        </w:rPr>
      </w:pPr>
    </w:p>
    <w:p>
      <w:pPr>
        <w:ind w:left="220" w:right="20"/>
        <w:spacing w:after="0" w:line="248" w:lineRule="auto"/>
        <w:rPr>
          <w:sz w:val="20"/>
          <w:szCs w:val="20"/>
          <w:color w:val="auto"/>
        </w:rPr>
      </w:pPr>
      <w:r>
        <w:rPr>
          <w:rFonts w:ascii="Arial" w:cs="Arial" w:eastAsia="Arial" w:hAnsi="Arial"/>
          <w:sz w:val="16"/>
          <w:szCs w:val="16"/>
          <w:color w:val="auto"/>
        </w:rPr>
        <w:t>Before June 2009 we maintained an excise tax gross-up policy for all of our executives, including certain of our NEOs. Under this policy, if payments to these executive officers in the event of a corporate transaction or corporate change in control were subject to the excise tax under Internal Revenue Code Section 4999, we would pay the executive officer an additional amount that equals the amount of the excise tax, plus the income and other payroll taxes arising from our payment of the excise tax amount (280G tax gross-up), so that the executive officer realized the full intended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310515</wp:posOffset>
            </wp:positionV>
            <wp:extent cx="685800" cy="15430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In June 2009 we changed our excise tax gross-up policy so that newly-hired executives are not eligible for any 280G tax gross-up but may elect to have severance payments reduced to an amount that will not be subject to excise tax. Consistent with this policy, as Ms. Alexander was already eligible for this benefit prior to June 2009, she remains eligible for a 280G tax gross up. No other NEO is eligible for this benefit.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427F3D"/>
        </w:rPr>
        <w:t>Awards Under Equity Plans</w:t>
      </w:r>
    </w:p>
    <w:p>
      <w:pPr>
        <w:spacing w:after="0" w:line="102"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Under the provisions of our 2008 Omnibus Equity Plan and our 2017 Omnibus Equity Plan, unless otherwise determined by our C&amp;MD Committee at the time of grant, awards will vest or become exercisable in full immediately prior to an involuntary employment action that occurs within two years following a corporate change in control (i.e., upon a “double trigger”).</w:t>
      </w:r>
    </w:p>
    <w:p>
      <w:pPr>
        <w:spacing w:after="0" w:line="97"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In the event of a corporate transaction, we can either cause the surviving corporation to assume all equity awards or accelerate their vesting and exercisability immediately before the corporate transaction. If the equity awards are assumed and an executive officer’s employment is terminated in an involuntary employment action within two years following the corporate transaction, the equity awards that are assumed will become fully vested and, if applicable, exercisable. Under our equity plans, any assumed awards that become vested will remain exercisable through the earlier of 12 months from the termination date or the original option expiration date.</w:t>
      </w:r>
    </w:p>
    <w:p>
      <w:pPr>
        <w:spacing w:after="0" w:line="98"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If the holder of an equity award retires, which is defined under our equity plans as leaving the employment of Biogen after reaching age 55 with 10 consecutive years of service, each then outstanding time-based equity award or earned performance-based equity award not yet vested or exercisable will become immediately vested or exercisable upon such termination at a rate of 50% of the shares unvested at the time of retirement plus an additional 10% of the shares for each full year of service beyond 10 years of service (and performance-based awards would remain eligible to vest based on actual performance). Options vested under these provisions remain exercisable for 36 months from retirement or until the original option expiration date, if sooner. Upon a termination of employment due to death or disability, all unvested time-based equity awards and earned performance-based equity awards vest in full and all unearned performance-based equity awards remain eligible to vest based on actual performance.</w:t>
      </w:r>
    </w:p>
    <w:p>
      <w:pPr>
        <w:spacing w:after="0" w:line="200"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120"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-71120</wp:posOffset>
            </wp:positionV>
            <wp:extent cx="102870" cy="9461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138"/>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1A6DBB"/>
        </w:rPr>
        <w:t>Potential Post-Termination Payments Table</w:t>
      </w:r>
    </w:p>
    <w:p>
      <w:pPr>
        <w:spacing w:after="0" w:line="133" w:lineRule="exact"/>
        <w:rPr>
          <w:sz w:val="20"/>
          <w:szCs w:val="20"/>
          <w:color w:val="auto"/>
        </w:rPr>
      </w:pPr>
    </w:p>
    <w:p>
      <w:pPr>
        <w:ind w:left="200" w:right="100"/>
        <w:spacing w:after="0" w:line="253" w:lineRule="auto"/>
        <w:rPr>
          <w:sz w:val="20"/>
          <w:szCs w:val="20"/>
          <w:color w:val="auto"/>
        </w:rPr>
      </w:pPr>
      <w:r>
        <w:rPr>
          <w:rFonts w:ascii="Arial" w:cs="Arial" w:eastAsia="Arial" w:hAnsi="Arial"/>
          <w:sz w:val="16"/>
          <w:szCs w:val="16"/>
          <w:color w:val="auto"/>
        </w:rPr>
        <w:t>The following table summarizes the potential payments to each NEO under various termination events. The table assumes that the event occurred on December 31, 2018, for all NEOs. The calculations use the closing price of our common stock as reported by Nasdaq on December 31, 2018, which was $300.92 per share.</w:t>
      </w:r>
    </w:p>
    <w:p>
      <w:pPr>
        <w:spacing w:after="0" w:line="105" w:lineRule="exact"/>
        <w:rPr>
          <w:sz w:val="20"/>
          <w:szCs w:val="20"/>
          <w:color w:val="auto"/>
        </w:rPr>
      </w:pPr>
    </w:p>
    <w:tbl>
      <w:tblPr>
        <w:tblLayout w:type="fixed"/>
        <w:tblInd w:w="220" w:type="dxa"/>
        <w:tblCellMar>
          <w:top w:w="0" w:type="dxa"/>
          <w:left w:w="0" w:type="dxa"/>
          <w:bottom w:w="0" w:type="dxa"/>
          <w:right w:w="0" w:type="dxa"/>
        </w:tblCellMar>
      </w:tblPr>
      <w:tr>
        <w:trPr>
          <w:trHeight w:val="180"/>
        </w:trPr>
        <w:tc>
          <w:tcPr>
            <w:tcW w:w="4260" w:type="dxa"/>
            <w:vAlign w:val="bottom"/>
            <w:shd w:val="clear" w:color="auto" w:fill="1A6DBB"/>
          </w:tcPr>
          <w:p>
            <w:pPr>
              <w:spacing w:after="0"/>
              <w:rPr>
                <w:sz w:val="15"/>
                <w:szCs w:val="15"/>
                <w:color w:val="auto"/>
              </w:rPr>
            </w:pPr>
          </w:p>
        </w:tc>
        <w:tc>
          <w:tcPr>
            <w:tcW w:w="380" w:type="dxa"/>
            <w:vAlign w:val="bottom"/>
            <w:shd w:val="clear" w:color="auto" w:fill="1A6DBB"/>
          </w:tcPr>
          <w:p>
            <w:pPr>
              <w:spacing w:after="0"/>
              <w:rPr>
                <w:sz w:val="15"/>
                <w:szCs w:val="15"/>
                <w:color w:val="auto"/>
              </w:rPr>
            </w:pPr>
          </w:p>
        </w:tc>
        <w:tc>
          <w:tcPr>
            <w:tcW w:w="500" w:type="dxa"/>
            <w:vAlign w:val="bottom"/>
            <w:shd w:val="clear" w:color="auto" w:fill="1A6DBB"/>
          </w:tcPr>
          <w:p>
            <w:pPr>
              <w:spacing w:after="0"/>
              <w:rPr>
                <w:sz w:val="15"/>
                <w:szCs w:val="15"/>
                <w:color w:val="auto"/>
              </w:rPr>
            </w:pPr>
          </w:p>
        </w:tc>
        <w:tc>
          <w:tcPr>
            <w:tcW w:w="1080" w:type="dxa"/>
            <w:vAlign w:val="bottom"/>
            <w:shd w:val="clear" w:color="auto" w:fill="1A6DBB"/>
          </w:tcPr>
          <w:p>
            <w:pPr>
              <w:spacing w:after="0"/>
              <w:rPr>
                <w:sz w:val="15"/>
                <w:szCs w:val="15"/>
                <w:color w:val="auto"/>
              </w:rPr>
            </w:pPr>
          </w:p>
        </w:tc>
        <w:tc>
          <w:tcPr>
            <w:tcW w:w="2520" w:type="dxa"/>
            <w:vAlign w:val="bottom"/>
            <w:gridSpan w:val="2"/>
            <w:shd w:val="clear" w:color="auto" w:fill="1A6DBB"/>
          </w:tcPr>
          <w:p>
            <w:pPr>
              <w:jc w:val="center"/>
              <w:ind w:left="85"/>
              <w:spacing w:after="0"/>
              <w:rPr>
                <w:sz w:val="20"/>
                <w:szCs w:val="20"/>
                <w:color w:val="auto"/>
              </w:rPr>
            </w:pPr>
            <w:r>
              <w:rPr>
                <w:rFonts w:ascii="Arial" w:cs="Arial" w:eastAsia="Arial" w:hAnsi="Arial"/>
                <w:sz w:val="14"/>
                <w:szCs w:val="14"/>
                <w:color w:val="FFFFFF"/>
              </w:rPr>
              <w:t>Qualifying</w:t>
            </w:r>
          </w:p>
        </w:tc>
        <w:tc>
          <w:tcPr>
            <w:tcW w:w="880" w:type="dxa"/>
            <w:vAlign w:val="bottom"/>
            <w:shd w:val="clear" w:color="auto" w:fill="1A6DBB"/>
          </w:tcPr>
          <w:p>
            <w:pPr>
              <w:spacing w:after="0"/>
              <w:rPr>
                <w:sz w:val="15"/>
                <w:szCs w:val="15"/>
                <w:color w:val="auto"/>
              </w:rPr>
            </w:pPr>
          </w:p>
        </w:tc>
        <w:tc>
          <w:tcPr>
            <w:tcW w:w="1400" w:type="dxa"/>
            <w:vAlign w:val="bottom"/>
            <w:shd w:val="clear" w:color="auto" w:fill="1A6DBB"/>
          </w:tcPr>
          <w:p>
            <w:pPr>
              <w:jc w:val="center"/>
              <w:ind w:right="644"/>
              <w:spacing w:after="0"/>
              <w:rPr>
                <w:sz w:val="20"/>
                <w:szCs w:val="20"/>
                <w:color w:val="auto"/>
              </w:rPr>
            </w:pPr>
            <w:r>
              <w:rPr>
                <w:rFonts w:ascii="Arial" w:cs="Arial" w:eastAsia="Arial" w:hAnsi="Arial"/>
                <w:sz w:val="14"/>
                <w:szCs w:val="14"/>
                <w:color w:val="FFFFFF"/>
              </w:rPr>
              <w:t>Qualifying</w:t>
            </w:r>
          </w:p>
        </w:tc>
        <w:tc>
          <w:tcPr>
            <w:tcW w:w="0" w:type="dxa"/>
            <w:vAlign w:val="bottom"/>
          </w:tcPr>
          <w:p>
            <w:pPr>
              <w:spacing w:after="0"/>
              <w:rPr>
                <w:sz w:val="1"/>
                <w:szCs w:val="1"/>
                <w:color w:val="auto"/>
              </w:rPr>
            </w:pPr>
          </w:p>
        </w:tc>
      </w:tr>
      <w:tr>
        <w:trPr>
          <w:trHeight w:val="162"/>
        </w:trPr>
        <w:tc>
          <w:tcPr>
            <w:tcW w:w="4260" w:type="dxa"/>
            <w:vAlign w:val="bottom"/>
            <w:shd w:val="clear" w:color="auto" w:fill="1A6DBB"/>
          </w:tcPr>
          <w:p>
            <w:pPr>
              <w:spacing w:after="0"/>
              <w:rPr>
                <w:sz w:val="14"/>
                <w:szCs w:val="14"/>
                <w:color w:val="auto"/>
              </w:rPr>
            </w:pPr>
          </w:p>
        </w:tc>
        <w:tc>
          <w:tcPr>
            <w:tcW w:w="380" w:type="dxa"/>
            <w:vAlign w:val="bottom"/>
            <w:shd w:val="clear" w:color="auto" w:fill="1A6DBB"/>
          </w:tcPr>
          <w:p>
            <w:pPr>
              <w:spacing w:after="0"/>
              <w:rPr>
                <w:sz w:val="14"/>
                <w:szCs w:val="14"/>
                <w:color w:val="auto"/>
              </w:rPr>
            </w:pPr>
          </w:p>
        </w:tc>
        <w:tc>
          <w:tcPr>
            <w:tcW w:w="500" w:type="dxa"/>
            <w:vAlign w:val="bottom"/>
            <w:shd w:val="clear" w:color="auto" w:fill="1A6DBB"/>
          </w:tcPr>
          <w:p>
            <w:pPr>
              <w:spacing w:after="0"/>
              <w:rPr>
                <w:sz w:val="14"/>
                <w:szCs w:val="14"/>
                <w:color w:val="auto"/>
              </w:rPr>
            </w:pPr>
          </w:p>
        </w:tc>
        <w:tc>
          <w:tcPr>
            <w:tcW w:w="1080" w:type="dxa"/>
            <w:vAlign w:val="bottom"/>
            <w:shd w:val="clear" w:color="auto" w:fill="1A6DBB"/>
          </w:tcPr>
          <w:p>
            <w:pPr>
              <w:spacing w:after="0"/>
              <w:rPr>
                <w:sz w:val="14"/>
                <w:szCs w:val="14"/>
                <w:color w:val="auto"/>
              </w:rPr>
            </w:pPr>
          </w:p>
        </w:tc>
        <w:tc>
          <w:tcPr>
            <w:tcW w:w="2520" w:type="dxa"/>
            <w:vAlign w:val="bottom"/>
            <w:gridSpan w:val="2"/>
            <w:shd w:val="clear" w:color="auto" w:fill="1A6DBB"/>
          </w:tcPr>
          <w:p>
            <w:pPr>
              <w:jc w:val="center"/>
              <w:ind w:left="85"/>
              <w:spacing w:after="0"/>
              <w:rPr>
                <w:sz w:val="20"/>
                <w:szCs w:val="20"/>
                <w:color w:val="auto"/>
              </w:rPr>
            </w:pPr>
            <w:r>
              <w:rPr>
                <w:rFonts w:ascii="Arial" w:cs="Arial" w:eastAsia="Arial" w:hAnsi="Arial"/>
                <w:sz w:val="14"/>
                <w:szCs w:val="14"/>
                <w:color w:val="FFFFFF"/>
              </w:rPr>
              <w:t>Termination of</w:t>
            </w:r>
          </w:p>
        </w:tc>
        <w:tc>
          <w:tcPr>
            <w:tcW w:w="2280" w:type="dxa"/>
            <w:vAlign w:val="bottom"/>
            <w:gridSpan w:val="2"/>
            <w:shd w:val="clear" w:color="auto" w:fill="1A6DBB"/>
          </w:tcPr>
          <w:p>
            <w:pPr>
              <w:ind w:left="780"/>
              <w:spacing w:after="0"/>
              <w:rPr>
                <w:sz w:val="20"/>
                <w:szCs w:val="20"/>
                <w:color w:val="auto"/>
              </w:rPr>
            </w:pPr>
            <w:r>
              <w:rPr>
                <w:rFonts w:ascii="Arial" w:cs="Arial" w:eastAsia="Arial" w:hAnsi="Arial"/>
                <w:sz w:val="14"/>
                <w:szCs w:val="14"/>
                <w:color w:val="FFFFFF"/>
              </w:rPr>
              <w:t>Termination of</w:t>
            </w:r>
          </w:p>
        </w:tc>
        <w:tc>
          <w:tcPr>
            <w:tcW w:w="0" w:type="dxa"/>
            <w:vAlign w:val="bottom"/>
          </w:tcPr>
          <w:p>
            <w:pPr>
              <w:spacing w:after="0"/>
              <w:rPr>
                <w:sz w:val="1"/>
                <w:szCs w:val="1"/>
                <w:color w:val="auto"/>
              </w:rPr>
            </w:pPr>
          </w:p>
        </w:tc>
      </w:tr>
      <w:tr>
        <w:trPr>
          <w:trHeight w:val="162"/>
        </w:trPr>
        <w:tc>
          <w:tcPr>
            <w:tcW w:w="4260" w:type="dxa"/>
            <w:vAlign w:val="bottom"/>
            <w:shd w:val="clear" w:color="auto" w:fill="1A6DBB"/>
          </w:tcPr>
          <w:p>
            <w:pPr>
              <w:spacing w:after="0"/>
              <w:rPr>
                <w:sz w:val="14"/>
                <w:szCs w:val="14"/>
                <w:color w:val="auto"/>
              </w:rPr>
            </w:pPr>
          </w:p>
        </w:tc>
        <w:tc>
          <w:tcPr>
            <w:tcW w:w="380" w:type="dxa"/>
            <w:vAlign w:val="bottom"/>
            <w:shd w:val="clear" w:color="auto" w:fill="1A6DBB"/>
          </w:tcPr>
          <w:p>
            <w:pPr>
              <w:spacing w:after="0"/>
              <w:rPr>
                <w:sz w:val="14"/>
                <w:szCs w:val="14"/>
                <w:color w:val="auto"/>
              </w:rPr>
            </w:pPr>
          </w:p>
        </w:tc>
        <w:tc>
          <w:tcPr>
            <w:tcW w:w="500" w:type="dxa"/>
            <w:vAlign w:val="bottom"/>
            <w:shd w:val="clear" w:color="auto" w:fill="1A6DBB"/>
          </w:tcPr>
          <w:p>
            <w:pPr>
              <w:spacing w:after="0"/>
              <w:rPr>
                <w:sz w:val="14"/>
                <w:szCs w:val="14"/>
                <w:color w:val="auto"/>
              </w:rPr>
            </w:pPr>
          </w:p>
        </w:tc>
        <w:tc>
          <w:tcPr>
            <w:tcW w:w="1080" w:type="dxa"/>
            <w:vAlign w:val="bottom"/>
            <w:shd w:val="clear" w:color="auto" w:fill="1A6DBB"/>
          </w:tcPr>
          <w:p>
            <w:pPr>
              <w:spacing w:after="0"/>
              <w:rPr>
                <w:sz w:val="14"/>
                <w:szCs w:val="14"/>
                <w:color w:val="auto"/>
              </w:rPr>
            </w:pPr>
          </w:p>
        </w:tc>
        <w:tc>
          <w:tcPr>
            <w:tcW w:w="2520" w:type="dxa"/>
            <w:vAlign w:val="bottom"/>
            <w:gridSpan w:val="2"/>
            <w:shd w:val="clear" w:color="auto" w:fill="1A6DBB"/>
          </w:tcPr>
          <w:p>
            <w:pPr>
              <w:ind w:left="940"/>
              <w:spacing w:after="0"/>
              <w:rPr>
                <w:sz w:val="20"/>
                <w:szCs w:val="20"/>
                <w:color w:val="auto"/>
              </w:rPr>
            </w:pPr>
            <w:r>
              <w:rPr>
                <w:rFonts w:ascii="Arial" w:cs="Arial" w:eastAsia="Arial" w:hAnsi="Arial"/>
                <w:sz w:val="14"/>
                <w:szCs w:val="14"/>
                <w:color w:val="FFFFFF"/>
              </w:rPr>
              <w:t>Employment</w:t>
            </w:r>
          </w:p>
        </w:tc>
        <w:tc>
          <w:tcPr>
            <w:tcW w:w="2280" w:type="dxa"/>
            <w:vAlign w:val="bottom"/>
            <w:gridSpan w:val="2"/>
            <w:shd w:val="clear" w:color="auto" w:fill="1A6DBB"/>
          </w:tcPr>
          <w:p>
            <w:pPr>
              <w:jc w:val="center"/>
              <w:ind w:left="84"/>
              <w:spacing w:after="0"/>
              <w:rPr>
                <w:sz w:val="20"/>
                <w:szCs w:val="20"/>
                <w:color w:val="auto"/>
              </w:rPr>
            </w:pPr>
            <w:r>
              <w:rPr>
                <w:rFonts w:ascii="Arial" w:cs="Arial" w:eastAsia="Arial" w:hAnsi="Arial"/>
                <w:sz w:val="14"/>
                <w:szCs w:val="14"/>
                <w:color w:val="FFFFFF"/>
              </w:rPr>
              <w:t>Employment</w:t>
            </w:r>
          </w:p>
        </w:tc>
        <w:tc>
          <w:tcPr>
            <w:tcW w:w="0" w:type="dxa"/>
            <w:vAlign w:val="bottom"/>
          </w:tcPr>
          <w:p>
            <w:pPr>
              <w:spacing w:after="0"/>
              <w:rPr>
                <w:sz w:val="1"/>
                <w:szCs w:val="1"/>
                <w:color w:val="auto"/>
              </w:rPr>
            </w:pPr>
          </w:p>
        </w:tc>
      </w:tr>
      <w:tr>
        <w:trPr>
          <w:trHeight w:val="162"/>
        </w:trPr>
        <w:tc>
          <w:tcPr>
            <w:tcW w:w="4260" w:type="dxa"/>
            <w:vAlign w:val="bottom"/>
            <w:shd w:val="clear" w:color="auto" w:fill="1A6DBB"/>
          </w:tcPr>
          <w:p>
            <w:pPr>
              <w:spacing w:after="0"/>
              <w:rPr>
                <w:sz w:val="14"/>
                <w:szCs w:val="14"/>
                <w:color w:val="auto"/>
              </w:rPr>
            </w:pPr>
          </w:p>
        </w:tc>
        <w:tc>
          <w:tcPr>
            <w:tcW w:w="380" w:type="dxa"/>
            <w:vAlign w:val="bottom"/>
            <w:shd w:val="clear" w:color="auto" w:fill="1A6DBB"/>
          </w:tcPr>
          <w:p>
            <w:pPr>
              <w:spacing w:after="0"/>
              <w:rPr>
                <w:sz w:val="14"/>
                <w:szCs w:val="14"/>
                <w:color w:val="auto"/>
              </w:rPr>
            </w:pPr>
          </w:p>
        </w:tc>
        <w:tc>
          <w:tcPr>
            <w:tcW w:w="500" w:type="dxa"/>
            <w:vAlign w:val="bottom"/>
            <w:shd w:val="clear" w:color="auto" w:fill="1A6DBB"/>
          </w:tcPr>
          <w:p>
            <w:pPr>
              <w:spacing w:after="0"/>
              <w:rPr>
                <w:sz w:val="14"/>
                <w:szCs w:val="14"/>
                <w:color w:val="auto"/>
              </w:rPr>
            </w:pPr>
          </w:p>
        </w:tc>
        <w:tc>
          <w:tcPr>
            <w:tcW w:w="1080" w:type="dxa"/>
            <w:vAlign w:val="bottom"/>
            <w:shd w:val="clear" w:color="auto" w:fill="1A6DBB"/>
          </w:tcPr>
          <w:p>
            <w:pPr>
              <w:spacing w:after="0"/>
              <w:rPr>
                <w:sz w:val="14"/>
                <w:szCs w:val="14"/>
                <w:color w:val="auto"/>
              </w:rPr>
            </w:pPr>
          </w:p>
        </w:tc>
        <w:tc>
          <w:tcPr>
            <w:tcW w:w="2520" w:type="dxa"/>
            <w:vAlign w:val="bottom"/>
            <w:gridSpan w:val="2"/>
            <w:shd w:val="clear" w:color="auto" w:fill="1A6DBB"/>
          </w:tcPr>
          <w:p>
            <w:pPr>
              <w:jc w:val="center"/>
              <w:ind w:left="85"/>
              <w:spacing w:after="0"/>
              <w:rPr>
                <w:sz w:val="20"/>
                <w:szCs w:val="20"/>
                <w:color w:val="auto"/>
              </w:rPr>
            </w:pPr>
            <w:r>
              <w:rPr>
                <w:rFonts w:ascii="Arial" w:cs="Arial" w:eastAsia="Arial" w:hAnsi="Arial"/>
                <w:sz w:val="14"/>
                <w:szCs w:val="14"/>
                <w:color w:val="FFFFFF"/>
              </w:rPr>
              <w:t>Not Following</w:t>
            </w:r>
          </w:p>
        </w:tc>
        <w:tc>
          <w:tcPr>
            <w:tcW w:w="880" w:type="dxa"/>
            <w:vAlign w:val="bottom"/>
            <w:shd w:val="clear" w:color="auto" w:fill="1A6DBB"/>
          </w:tcPr>
          <w:p>
            <w:pPr>
              <w:spacing w:after="0"/>
              <w:rPr>
                <w:sz w:val="14"/>
                <w:szCs w:val="14"/>
                <w:color w:val="auto"/>
              </w:rPr>
            </w:pPr>
          </w:p>
        </w:tc>
        <w:tc>
          <w:tcPr>
            <w:tcW w:w="1400" w:type="dxa"/>
            <w:vAlign w:val="bottom"/>
            <w:shd w:val="clear" w:color="auto" w:fill="1A6DBB"/>
          </w:tcPr>
          <w:p>
            <w:pPr>
              <w:jc w:val="center"/>
              <w:ind w:right="644"/>
              <w:spacing w:after="0"/>
              <w:rPr>
                <w:sz w:val="20"/>
                <w:szCs w:val="20"/>
                <w:color w:val="auto"/>
              </w:rPr>
            </w:pPr>
            <w:r>
              <w:rPr>
                <w:rFonts w:ascii="Arial" w:cs="Arial" w:eastAsia="Arial" w:hAnsi="Arial"/>
                <w:sz w:val="14"/>
                <w:szCs w:val="14"/>
                <w:color w:val="FFFFFF"/>
              </w:rPr>
              <w:t>Following</w:t>
            </w:r>
          </w:p>
        </w:tc>
        <w:tc>
          <w:tcPr>
            <w:tcW w:w="0" w:type="dxa"/>
            <w:vAlign w:val="bottom"/>
          </w:tcPr>
          <w:p>
            <w:pPr>
              <w:spacing w:after="0"/>
              <w:rPr>
                <w:sz w:val="1"/>
                <w:szCs w:val="1"/>
                <w:color w:val="auto"/>
              </w:rPr>
            </w:pPr>
          </w:p>
        </w:tc>
      </w:tr>
      <w:tr>
        <w:trPr>
          <w:trHeight w:val="162"/>
        </w:trPr>
        <w:tc>
          <w:tcPr>
            <w:tcW w:w="4260" w:type="dxa"/>
            <w:vAlign w:val="bottom"/>
            <w:shd w:val="clear" w:color="auto" w:fill="1A6DBB"/>
          </w:tcPr>
          <w:p>
            <w:pPr>
              <w:spacing w:after="0"/>
              <w:rPr>
                <w:sz w:val="14"/>
                <w:szCs w:val="14"/>
                <w:color w:val="auto"/>
              </w:rPr>
            </w:pPr>
          </w:p>
        </w:tc>
        <w:tc>
          <w:tcPr>
            <w:tcW w:w="380" w:type="dxa"/>
            <w:vAlign w:val="bottom"/>
            <w:shd w:val="clear" w:color="auto" w:fill="1A6DBB"/>
          </w:tcPr>
          <w:p>
            <w:pPr>
              <w:spacing w:after="0"/>
              <w:rPr>
                <w:sz w:val="14"/>
                <w:szCs w:val="14"/>
                <w:color w:val="auto"/>
              </w:rPr>
            </w:pPr>
          </w:p>
        </w:tc>
        <w:tc>
          <w:tcPr>
            <w:tcW w:w="500" w:type="dxa"/>
            <w:vAlign w:val="bottom"/>
            <w:shd w:val="clear" w:color="auto" w:fill="1A6DBB"/>
          </w:tcPr>
          <w:p>
            <w:pPr>
              <w:spacing w:after="0"/>
              <w:rPr>
                <w:sz w:val="14"/>
                <w:szCs w:val="14"/>
                <w:color w:val="auto"/>
              </w:rPr>
            </w:pPr>
          </w:p>
        </w:tc>
        <w:tc>
          <w:tcPr>
            <w:tcW w:w="1080" w:type="dxa"/>
            <w:vAlign w:val="bottom"/>
            <w:shd w:val="clear" w:color="auto" w:fill="1A6DBB"/>
          </w:tcPr>
          <w:p>
            <w:pPr>
              <w:spacing w:after="0"/>
              <w:rPr>
                <w:sz w:val="14"/>
                <w:szCs w:val="14"/>
                <w:color w:val="auto"/>
              </w:rPr>
            </w:pPr>
          </w:p>
        </w:tc>
        <w:tc>
          <w:tcPr>
            <w:tcW w:w="2520" w:type="dxa"/>
            <w:vAlign w:val="bottom"/>
            <w:gridSpan w:val="2"/>
            <w:shd w:val="clear" w:color="auto" w:fill="1A6DBB"/>
          </w:tcPr>
          <w:p>
            <w:pPr>
              <w:ind w:left="960"/>
              <w:spacing w:after="0"/>
              <w:rPr>
                <w:sz w:val="20"/>
                <w:szCs w:val="20"/>
                <w:color w:val="auto"/>
              </w:rPr>
            </w:pPr>
            <w:r>
              <w:rPr>
                <w:rFonts w:ascii="Arial" w:cs="Arial" w:eastAsia="Arial" w:hAnsi="Arial"/>
                <w:sz w:val="14"/>
                <w:szCs w:val="14"/>
                <w:color w:val="FFFFFF"/>
              </w:rPr>
              <w:t>a Corporate</w:t>
            </w:r>
          </w:p>
        </w:tc>
        <w:tc>
          <w:tcPr>
            <w:tcW w:w="2280" w:type="dxa"/>
            <w:vAlign w:val="bottom"/>
            <w:gridSpan w:val="2"/>
            <w:shd w:val="clear" w:color="auto" w:fill="1A6DBB"/>
          </w:tcPr>
          <w:p>
            <w:pPr>
              <w:jc w:val="center"/>
              <w:ind w:left="84"/>
              <w:spacing w:after="0"/>
              <w:rPr>
                <w:sz w:val="20"/>
                <w:szCs w:val="20"/>
                <w:color w:val="auto"/>
              </w:rPr>
            </w:pPr>
            <w:r>
              <w:rPr>
                <w:rFonts w:ascii="Arial" w:cs="Arial" w:eastAsia="Arial" w:hAnsi="Arial"/>
                <w:sz w:val="14"/>
                <w:szCs w:val="14"/>
                <w:color w:val="FFFFFF"/>
              </w:rPr>
              <w:t>a Corporate</w:t>
            </w:r>
          </w:p>
        </w:tc>
        <w:tc>
          <w:tcPr>
            <w:tcW w:w="0" w:type="dxa"/>
            <w:vAlign w:val="bottom"/>
          </w:tcPr>
          <w:p>
            <w:pPr>
              <w:spacing w:after="0"/>
              <w:rPr>
                <w:sz w:val="1"/>
                <w:szCs w:val="1"/>
                <w:color w:val="auto"/>
              </w:rPr>
            </w:pPr>
          </w:p>
        </w:tc>
      </w:tr>
      <w:tr>
        <w:trPr>
          <w:trHeight w:val="162"/>
        </w:trPr>
        <w:tc>
          <w:tcPr>
            <w:tcW w:w="4260" w:type="dxa"/>
            <w:vAlign w:val="bottom"/>
            <w:vMerge w:val="restart"/>
            <w:shd w:val="clear" w:color="auto" w:fill="1A6DBB"/>
          </w:tcPr>
          <w:p>
            <w:pPr>
              <w:ind w:left="60"/>
              <w:spacing w:after="0"/>
              <w:rPr>
                <w:sz w:val="20"/>
                <w:szCs w:val="20"/>
                <w:color w:val="auto"/>
              </w:rPr>
            </w:pPr>
            <w:r>
              <w:rPr>
                <w:rFonts w:ascii="Arial" w:cs="Arial" w:eastAsia="Arial" w:hAnsi="Arial"/>
                <w:sz w:val="14"/>
                <w:szCs w:val="14"/>
                <w:color w:val="FFFFFF"/>
              </w:rPr>
              <w:t>Name and Payment Elements</w:t>
            </w:r>
            <w:r>
              <w:rPr>
                <w:rFonts w:ascii="Arial" w:cs="Arial" w:eastAsia="Arial" w:hAnsi="Arial"/>
                <w:sz w:val="24"/>
                <w:szCs w:val="24"/>
                <w:color w:val="FFFFFF"/>
                <w:vertAlign w:val="superscript"/>
              </w:rPr>
              <w:t>(1)</w:t>
            </w:r>
          </w:p>
        </w:tc>
        <w:tc>
          <w:tcPr>
            <w:tcW w:w="380" w:type="dxa"/>
            <w:vAlign w:val="bottom"/>
            <w:shd w:val="clear" w:color="auto" w:fill="1A6DBB"/>
          </w:tcPr>
          <w:p>
            <w:pPr>
              <w:spacing w:after="0"/>
              <w:rPr>
                <w:sz w:val="14"/>
                <w:szCs w:val="14"/>
                <w:color w:val="auto"/>
              </w:rPr>
            </w:pPr>
          </w:p>
        </w:tc>
        <w:tc>
          <w:tcPr>
            <w:tcW w:w="1580" w:type="dxa"/>
            <w:vAlign w:val="bottom"/>
            <w:gridSpan w:val="2"/>
            <w:vMerge w:val="restart"/>
            <w:shd w:val="clear" w:color="auto" w:fill="1A6DBB"/>
          </w:tcPr>
          <w:p>
            <w:pPr>
              <w:jc w:val="right"/>
              <w:ind w:right="284"/>
              <w:spacing w:after="0"/>
              <w:rPr>
                <w:sz w:val="20"/>
                <w:szCs w:val="20"/>
                <w:color w:val="auto"/>
              </w:rPr>
            </w:pPr>
            <w:r>
              <w:rPr>
                <w:rFonts w:ascii="Arial" w:cs="Arial" w:eastAsia="Arial" w:hAnsi="Arial"/>
                <w:sz w:val="14"/>
                <w:szCs w:val="14"/>
                <w:color w:val="FFFFFF"/>
              </w:rPr>
              <w:t>Retirement</w:t>
            </w:r>
            <w:r>
              <w:rPr>
                <w:rFonts w:ascii="Arial" w:cs="Arial" w:eastAsia="Arial" w:hAnsi="Arial"/>
                <w:sz w:val="24"/>
                <w:szCs w:val="24"/>
                <w:color w:val="FFFFFF"/>
                <w:vertAlign w:val="superscript"/>
              </w:rPr>
              <w:t>(2)</w:t>
            </w:r>
          </w:p>
        </w:tc>
        <w:tc>
          <w:tcPr>
            <w:tcW w:w="2520" w:type="dxa"/>
            <w:vAlign w:val="bottom"/>
            <w:gridSpan w:val="2"/>
            <w:shd w:val="clear" w:color="auto" w:fill="1A6DBB"/>
          </w:tcPr>
          <w:p>
            <w:pPr>
              <w:jc w:val="center"/>
              <w:ind w:left="85"/>
              <w:spacing w:after="0"/>
              <w:rPr>
                <w:sz w:val="20"/>
                <w:szCs w:val="20"/>
                <w:color w:val="auto"/>
              </w:rPr>
            </w:pPr>
            <w:r>
              <w:rPr>
                <w:rFonts w:ascii="Arial" w:cs="Arial" w:eastAsia="Arial" w:hAnsi="Arial"/>
                <w:sz w:val="14"/>
                <w:szCs w:val="14"/>
                <w:color w:val="FFFFFF"/>
              </w:rPr>
              <w:t>Transaction or</w:t>
            </w:r>
          </w:p>
        </w:tc>
        <w:tc>
          <w:tcPr>
            <w:tcW w:w="2280" w:type="dxa"/>
            <w:vAlign w:val="bottom"/>
            <w:gridSpan w:val="2"/>
            <w:shd w:val="clear" w:color="auto" w:fill="1A6DBB"/>
          </w:tcPr>
          <w:p>
            <w:pPr>
              <w:ind w:left="760"/>
              <w:spacing w:after="0"/>
              <w:rPr>
                <w:sz w:val="20"/>
                <w:szCs w:val="20"/>
                <w:color w:val="auto"/>
              </w:rPr>
            </w:pPr>
            <w:r>
              <w:rPr>
                <w:rFonts w:ascii="Arial" w:cs="Arial" w:eastAsia="Arial" w:hAnsi="Arial"/>
                <w:sz w:val="14"/>
                <w:szCs w:val="14"/>
                <w:color w:val="FFFFFF"/>
              </w:rPr>
              <w:t>Transaction or</w:t>
            </w:r>
          </w:p>
        </w:tc>
        <w:tc>
          <w:tcPr>
            <w:tcW w:w="0" w:type="dxa"/>
            <w:vAlign w:val="bottom"/>
          </w:tcPr>
          <w:p>
            <w:pPr>
              <w:spacing w:after="0"/>
              <w:rPr>
                <w:sz w:val="1"/>
                <w:szCs w:val="1"/>
                <w:color w:val="auto"/>
              </w:rPr>
            </w:pPr>
          </w:p>
        </w:tc>
      </w:tr>
      <w:tr>
        <w:trPr>
          <w:trHeight w:val="155"/>
        </w:trPr>
        <w:tc>
          <w:tcPr>
            <w:tcW w:w="4260" w:type="dxa"/>
            <w:vAlign w:val="bottom"/>
            <w:vMerge w:val="continue"/>
            <w:shd w:val="clear" w:color="auto" w:fill="1A6DBB"/>
          </w:tcPr>
          <w:p>
            <w:pPr>
              <w:spacing w:after="0"/>
              <w:rPr>
                <w:sz w:val="13"/>
                <w:szCs w:val="13"/>
                <w:color w:val="auto"/>
              </w:rPr>
            </w:pPr>
          </w:p>
        </w:tc>
        <w:tc>
          <w:tcPr>
            <w:tcW w:w="380" w:type="dxa"/>
            <w:vAlign w:val="bottom"/>
            <w:shd w:val="clear" w:color="auto" w:fill="1A6DBB"/>
          </w:tcPr>
          <w:p>
            <w:pPr>
              <w:spacing w:after="0"/>
              <w:rPr>
                <w:sz w:val="13"/>
                <w:szCs w:val="13"/>
                <w:color w:val="auto"/>
              </w:rPr>
            </w:pPr>
          </w:p>
        </w:tc>
        <w:tc>
          <w:tcPr>
            <w:tcW w:w="1580" w:type="dxa"/>
            <w:vAlign w:val="bottom"/>
            <w:gridSpan w:val="2"/>
            <w:vMerge w:val="continue"/>
            <w:shd w:val="clear" w:color="auto" w:fill="1A6DBB"/>
          </w:tcPr>
          <w:p>
            <w:pPr>
              <w:spacing w:after="0"/>
              <w:rPr>
                <w:sz w:val="13"/>
                <w:szCs w:val="13"/>
                <w:color w:val="auto"/>
              </w:rPr>
            </w:pPr>
          </w:p>
        </w:tc>
        <w:tc>
          <w:tcPr>
            <w:tcW w:w="2520" w:type="dxa"/>
            <w:vAlign w:val="bottom"/>
            <w:gridSpan w:val="2"/>
            <w:shd w:val="clear" w:color="auto" w:fill="1A6DBB"/>
          </w:tcPr>
          <w:p>
            <w:pPr>
              <w:jc w:val="center"/>
              <w:ind w:left="85"/>
              <w:spacing w:after="0" w:line="155" w:lineRule="exact"/>
              <w:rPr>
                <w:sz w:val="20"/>
                <w:szCs w:val="20"/>
                <w:color w:val="auto"/>
              </w:rPr>
            </w:pPr>
            <w:r>
              <w:rPr>
                <w:rFonts w:ascii="Arial" w:cs="Arial" w:eastAsia="Arial" w:hAnsi="Arial"/>
                <w:sz w:val="14"/>
                <w:szCs w:val="14"/>
                <w:color w:val="FFFFFF"/>
              </w:rPr>
              <w:t>Change in Control</w:t>
            </w:r>
          </w:p>
        </w:tc>
        <w:tc>
          <w:tcPr>
            <w:tcW w:w="2280" w:type="dxa"/>
            <w:vAlign w:val="bottom"/>
            <w:gridSpan w:val="2"/>
            <w:shd w:val="clear" w:color="auto" w:fill="1A6DBB"/>
          </w:tcPr>
          <w:p>
            <w:pPr>
              <w:ind w:left="600"/>
              <w:spacing w:after="0" w:line="155" w:lineRule="exact"/>
              <w:rPr>
                <w:sz w:val="20"/>
                <w:szCs w:val="20"/>
                <w:color w:val="auto"/>
              </w:rPr>
            </w:pPr>
            <w:r>
              <w:rPr>
                <w:rFonts w:ascii="Arial" w:cs="Arial" w:eastAsia="Arial" w:hAnsi="Arial"/>
                <w:sz w:val="14"/>
                <w:szCs w:val="14"/>
                <w:color w:val="FFFFFF"/>
              </w:rPr>
              <w:t>Change in Control</w:t>
            </w:r>
          </w:p>
        </w:tc>
        <w:tc>
          <w:tcPr>
            <w:tcW w:w="0" w:type="dxa"/>
            <w:vAlign w:val="bottom"/>
          </w:tcPr>
          <w:p>
            <w:pPr>
              <w:spacing w:after="0"/>
              <w:rPr>
                <w:sz w:val="1"/>
                <w:szCs w:val="1"/>
                <w:color w:val="auto"/>
              </w:rPr>
            </w:pPr>
          </w:p>
        </w:tc>
      </w:tr>
      <w:tr>
        <w:trPr>
          <w:trHeight w:val="178"/>
        </w:trPr>
        <w:tc>
          <w:tcPr>
            <w:tcW w:w="4260" w:type="dxa"/>
            <w:vAlign w:val="bottom"/>
            <w:shd w:val="clear" w:color="auto" w:fill="1A6DBB"/>
          </w:tcPr>
          <w:p>
            <w:pPr>
              <w:ind w:left="1140"/>
              <w:spacing w:after="0"/>
              <w:rPr>
                <w:sz w:val="20"/>
                <w:szCs w:val="20"/>
                <w:color w:val="auto"/>
              </w:rPr>
            </w:pPr>
            <w:r>
              <w:rPr>
                <w:rFonts w:ascii="Arial" w:cs="Arial" w:eastAsia="Arial" w:hAnsi="Arial"/>
                <w:sz w:val="14"/>
                <w:szCs w:val="14"/>
                <w:color w:val="FFFFFF"/>
              </w:rPr>
              <w:t>(a)</w:t>
            </w:r>
          </w:p>
        </w:tc>
        <w:tc>
          <w:tcPr>
            <w:tcW w:w="380" w:type="dxa"/>
            <w:vAlign w:val="bottom"/>
            <w:shd w:val="clear" w:color="auto" w:fill="1A6DBB"/>
          </w:tcPr>
          <w:p>
            <w:pPr>
              <w:spacing w:after="0"/>
              <w:rPr>
                <w:sz w:val="15"/>
                <w:szCs w:val="15"/>
                <w:color w:val="auto"/>
              </w:rPr>
            </w:pPr>
          </w:p>
        </w:tc>
        <w:tc>
          <w:tcPr>
            <w:tcW w:w="500" w:type="dxa"/>
            <w:vAlign w:val="bottom"/>
            <w:shd w:val="clear" w:color="auto" w:fill="1A6DBB"/>
          </w:tcPr>
          <w:p>
            <w:pPr>
              <w:spacing w:after="0"/>
              <w:rPr>
                <w:sz w:val="15"/>
                <w:szCs w:val="15"/>
                <w:color w:val="auto"/>
              </w:rPr>
            </w:pPr>
          </w:p>
        </w:tc>
        <w:tc>
          <w:tcPr>
            <w:tcW w:w="1080" w:type="dxa"/>
            <w:vAlign w:val="bottom"/>
            <w:shd w:val="clear" w:color="auto" w:fill="1A6DBB"/>
          </w:tcPr>
          <w:p>
            <w:pPr>
              <w:jc w:val="right"/>
              <w:ind w:right="624"/>
              <w:spacing w:after="0"/>
              <w:rPr>
                <w:sz w:val="20"/>
                <w:szCs w:val="20"/>
                <w:color w:val="auto"/>
              </w:rPr>
            </w:pPr>
            <w:r>
              <w:rPr>
                <w:rFonts w:ascii="Arial" w:cs="Arial" w:eastAsia="Arial" w:hAnsi="Arial"/>
                <w:sz w:val="14"/>
                <w:szCs w:val="14"/>
                <w:color w:val="FFFFFF"/>
              </w:rPr>
              <w:t>(b)</w:t>
            </w:r>
          </w:p>
        </w:tc>
        <w:tc>
          <w:tcPr>
            <w:tcW w:w="1040" w:type="dxa"/>
            <w:vAlign w:val="bottom"/>
            <w:shd w:val="clear" w:color="auto" w:fill="1A6DBB"/>
          </w:tcPr>
          <w:p>
            <w:pPr>
              <w:spacing w:after="0"/>
              <w:rPr>
                <w:sz w:val="15"/>
                <w:szCs w:val="15"/>
                <w:color w:val="auto"/>
              </w:rPr>
            </w:pPr>
          </w:p>
        </w:tc>
        <w:tc>
          <w:tcPr>
            <w:tcW w:w="1480" w:type="dxa"/>
            <w:vAlign w:val="bottom"/>
            <w:shd w:val="clear" w:color="auto" w:fill="1A6DBB"/>
          </w:tcPr>
          <w:p>
            <w:pPr>
              <w:jc w:val="center"/>
              <w:ind w:right="804"/>
              <w:spacing w:after="0" w:line="179" w:lineRule="exact"/>
              <w:rPr>
                <w:sz w:val="20"/>
                <w:szCs w:val="20"/>
                <w:color w:val="auto"/>
              </w:rPr>
            </w:pPr>
            <w:r>
              <w:rPr>
                <w:rFonts w:ascii="Arial" w:cs="Arial" w:eastAsia="Arial" w:hAnsi="Arial"/>
                <w:sz w:val="12"/>
                <w:szCs w:val="12"/>
                <w:color w:val="FFFFFF"/>
              </w:rPr>
              <w:t>(c)</w:t>
            </w:r>
            <w:r>
              <w:rPr>
                <w:rFonts w:ascii="Arial" w:cs="Arial" w:eastAsia="Arial" w:hAnsi="Arial"/>
                <w:sz w:val="20"/>
                <w:szCs w:val="20"/>
                <w:color w:val="FFFFFF"/>
                <w:vertAlign w:val="superscript"/>
              </w:rPr>
              <w:t>(3)</w:t>
            </w:r>
          </w:p>
        </w:tc>
        <w:tc>
          <w:tcPr>
            <w:tcW w:w="880" w:type="dxa"/>
            <w:vAlign w:val="bottom"/>
            <w:shd w:val="clear" w:color="auto" w:fill="1A6DBB"/>
          </w:tcPr>
          <w:p>
            <w:pPr>
              <w:spacing w:after="0"/>
              <w:rPr>
                <w:sz w:val="15"/>
                <w:szCs w:val="15"/>
                <w:color w:val="auto"/>
              </w:rPr>
            </w:pPr>
          </w:p>
        </w:tc>
        <w:tc>
          <w:tcPr>
            <w:tcW w:w="1400" w:type="dxa"/>
            <w:vAlign w:val="bottom"/>
            <w:shd w:val="clear" w:color="auto" w:fill="1A6DBB"/>
          </w:tcPr>
          <w:p>
            <w:pPr>
              <w:jc w:val="center"/>
              <w:ind w:right="644"/>
              <w:spacing w:after="0" w:line="179" w:lineRule="exact"/>
              <w:rPr>
                <w:sz w:val="20"/>
                <w:szCs w:val="20"/>
                <w:color w:val="auto"/>
              </w:rPr>
            </w:pPr>
            <w:r>
              <w:rPr>
                <w:rFonts w:ascii="Arial" w:cs="Arial" w:eastAsia="Arial" w:hAnsi="Arial"/>
                <w:sz w:val="12"/>
                <w:szCs w:val="12"/>
                <w:color w:val="FFFFFF"/>
              </w:rPr>
              <w:t>(d)</w:t>
            </w:r>
            <w:r>
              <w:rPr>
                <w:rFonts w:ascii="Arial" w:cs="Arial" w:eastAsia="Arial" w:hAnsi="Arial"/>
                <w:sz w:val="20"/>
                <w:szCs w:val="20"/>
                <w:color w:val="FFFFFF"/>
                <w:vertAlign w:val="superscript"/>
              </w:rPr>
              <w:t>(3)</w:t>
            </w:r>
          </w:p>
        </w:tc>
        <w:tc>
          <w:tcPr>
            <w:tcW w:w="0" w:type="dxa"/>
            <w:vAlign w:val="bottom"/>
          </w:tcPr>
          <w:p>
            <w:pPr>
              <w:spacing w:after="0"/>
              <w:rPr>
                <w:sz w:val="1"/>
                <w:szCs w:val="1"/>
                <w:color w:val="auto"/>
              </w:rPr>
            </w:pPr>
          </w:p>
        </w:tc>
      </w:tr>
      <w:tr>
        <w:trPr>
          <w:trHeight w:val="216"/>
        </w:trPr>
        <w:tc>
          <w:tcPr>
            <w:tcW w:w="4260" w:type="dxa"/>
            <w:vAlign w:val="bottom"/>
            <w:shd w:val="clear" w:color="auto" w:fill="E8F0F8"/>
          </w:tcPr>
          <w:p>
            <w:pPr>
              <w:ind w:left="80"/>
              <w:spacing w:after="0" w:line="216" w:lineRule="exact"/>
              <w:rPr>
                <w:sz w:val="20"/>
                <w:szCs w:val="20"/>
                <w:color w:val="auto"/>
              </w:rPr>
            </w:pPr>
            <w:r>
              <w:rPr>
                <w:rFonts w:ascii="Arial" w:cs="Arial" w:eastAsia="Arial" w:hAnsi="Arial"/>
                <w:sz w:val="15"/>
                <w:szCs w:val="15"/>
                <w:b w:val="1"/>
                <w:bCs w:val="1"/>
                <w:color w:val="auto"/>
              </w:rPr>
              <w:t>Michel Vounatsos</w:t>
            </w:r>
            <w:r>
              <w:rPr>
                <w:rFonts w:ascii="Arial" w:cs="Arial" w:eastAsia="Arial" w:hAnsi="Arial"/>
                <w:sz w:val="25"/>
                <w:szCs w:val="25"/>
                <w:color w:val="auto"/>
                <w:vertAlign w:val="superscript"/>
              </w:rPr>
              <w:t>(4)</w:t>
            </w:r>
          </w:p>
        </w:tc>
        <w:tc>
          <w:tcPr>
            <w:tcW w:w="380" w:type="dxa"/>
            <w:vAlign w:val="bottom"/>
            <w:shd w:val="clear" w:color="auto" w:fill="E8F0F8"/>
          </w:tcPr>
          <w:p>
            <w:pPr>
              <w:spacing w:after="0"/>
              <w:rPr>
                <w:sz w:val="18"/>
                <w:szCs w:val="18"/>
                <w:color w:val="auto"/>
              </w:rPr>
            </w:pPr>
          </w:p>
        </w:tc>
        <w:tc>
          <w:tcPr>
            <w:tcW w:w="500" w:type="dxa"/>
            <w:vAlign w:val="bottom"/>
            <w:shd w:val="clear" w:color="auto" w:fill="E8F0F8"/>
          </w:tcPr>
          <w:p>
            <w:pPr>
              <w:spacing w:after="0"/>
              <w:rPr>
                <w:sz w:val="18"/>
                <w:szCs w:val="18"/>
                <w:color w:val="auto"/>
              </w:rPr>
            </w:pPr>
          </w:p>
        </w:tc>
        <w:tc>
          <w:tcPr>
            <w:tcW w:w="1080" w:type="dxa"/>
            <w:vAlign w:val="bottom"/>
            <w:shd w:val="clear" w:color="auto" w:fill="E8F0F8"/>
          </w:tcPr>
          <w:p>
            <w:pPr>
              <w:spacing w:after="0"/>
              <w:rPr>
                <w:sz w:val="18"/>
                <w:szCs w:val="18"/>
                <w:color w:val="auto"/>
              </w:rPr>
            </w:pPr>
          </w:p>
        </w:tc>
        <w:tc>
          <w:tcPr>
            <w:tcW w:w="1040" w:type="dxa"/>
            <w:vAlign w:val="bottom"/>
            <w:shd w:val="clear" w:color="auto" w:fill="E8F0F8"/>
          </w:tcPr>
          <w:p>
            <w:pPr>
              <w:spacing w:after="0"/>
              <w:rPr>
                <w:sz w:val="18"/>
                <w:szCs w:val="18"/>
                <w:color w:val="auto"/>
              </w:rPr>
            </w:pPr>
          </w:p>
        </w:tc>
        <w:tc>
          <w:tcPr>
            <w:tcW w:w="1480" w:type="dxa"/>
            <w:vAlign w:val="bottom"/>
            <w:shd w:val="clear" w:color="auto" w:fill="E8F0F8"/>
          </w:tcPr>
          <w:p>
            <w:pPr>
              <w:spacing w:after="0"/>
              <w:rPr>
                <w:sz w:val="18"/>
                <w:szCs w:val="18"/>
                <w:color w:val="auto"/>
              </w:rPr>
            </w:pPr>
          </w:p>
        </w:tc>
        <w:tc>
          <w:tcPr>
            <w:tcW w:w="880" w:type="dxa"/>
            <w:vAlign w:val="bottom"/>
            <w:shd w:val="clear" w:color="auto" w:fill="E8F0F8"/>
          </w:tcPr>
          <w:p>
            <w:pPr>
              <w:spacing w:after="0"/>
              <w:rPr>
                <w:sz w:val="18"/>
                <w:szCs w:val="18"/>
                <w:color w:val="auto"/>
              </w:rPr>
            </w:pPr>
          </w:p>
        </w:tc>
        <w:tc>
          <w:tcPr>
            <w:tcW w:w="1400" w:type="dxa"/>
            <w:vAlign w:val="bottom"/>
            <w:shd w:val="clear" w:color="auto" w:fill="E8F0F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shd w:val="clear" w:color="auto" w:fill="E8F0F8"/>
          </w:tcPr>
          <w:p>
            <w:pPr>
              <w:ind w:left="380"/>
              <w:spacing w:after="0"/>
              <w:rPr>
                <w:sz w:val="20"/>
                <w:szCs w:val="20"/>
                <w:color w:val="auto"/>
              </w:rPr>
            </w:pPr>
            <w:r>
              <w:rPr>
                <w:rFonts w:ascii="Arial" w:cs="Arial" w:eastAsia="Arial" w:hAnsi="Arial"/>
                <w:sz w:val="15"/>
                <w:szCs w:val="15"/>
                <w:color w:val="auto"/>
              </w:rPr>
              <w:t>Severance</w:t>
            </w:r>
          </w:p>
        </w:tc>
        <w:tc>
          <w:tcPr>
            <w:tcW w:w="380" w:type="dxa"/>
            <w:vAlign w:val="bottom"/>
            <w:shd w:val="clear" w:color="auto" w:fill="E8F0F8"/>
          </w:tcPr>
          <w:p>
            <w:pPr>
              <w:spacing w:after="0"/>
              <w:rPr>
                <w:sz w:val="18"/>
                <w:szCs w:val="18"/>
                <w:color w:val="auto"/>
              </w:rPr>
            </w:pPr>
          </w:p>
        </w:tc>
        <w:tc>
          <w:tcPr>
            <w:tcW w:w="500" w:type="dxa"/>
            <w:vAlign w:val="bottom"/>
            <w:shd w:val="clear" w:color="auto" w:fill="E8F0F8"/>
          </w:tcPr>
          <w:p>
            <w:pPr>
              <w:spacing w:after="0"/>
              <w:rPr>
                <w:sz w:val="18"/>
                <w:szCs w:val="18"/>
                <w:color w:val="auto"/>
              </w:rPr>
            </w:pPr>
          </w:p>
        </w:tc>
        <w:tc>
          <w:tcPr>
            <w:tcW w:w="1080" w:type="dxa"/>
            <w:vAlign w:val="bottom"/>
            <w:shd w:val="clear" w:color="auto" w:fill="E8F0F8"/>
          </w:tcPr>
          <w:p>
            <w:pPr>
              <w:jc w:val="right"/>
              <w:ind w:right="584"/>
              <w:spacing w:after="0"/>
              <w:rPr>
                <w:sz w:val="20"/>
                <w:szCs w:val="20"/>
                <w:color w:val="auto"/>
              </w:rPr>
            </w:pPr>
            <w:r>
              <w:rPr>
                <w:rFonts w:ascii="Arial" w:cs="Arial" w:eastAsia="Arial" w:hAnsi="Arial"/>
                <w:sz w:val="15"/>
                <w:szCs w:val="15"/>
                <w:color w:val="auto"/>
              </w:rPr>
              <w:t>—</w:t>
            </w:r>
          </w:p>
        </w:tc>
        <w:tc>
          <w:tcPr>
            <w:tcW w:w="1040" w:type="dxa"/>
            <w:vAlign w:val="bottom"/>
            <w:shd w:val="clear" w:color="auto" w:fill="E8F0F8"/>
          </w:tcPr>
          <w:p>
            <w:pPr>
              <w:ind w:left="940"/>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E8F0F8"/>
          </w:tcPr>
          <w:p>
            <w:pPr>
              <w:jc w:val="right"/>
              <w:ind w:right="704"/>
              <w:spacing w:after="0"/>
              <w:rPr>
                <w:sz w:val="20"/>
                <w:szCs w:val="20"/>
                <w:color w:val="auto"/>
              </w:rPr>
            </w:pPr>
            <w:r>
              <w:rPr>
                <w:rFonts w:ascii="Arial" w:cs="Arial" w:eastAsia="Arial" w:hAnsi="Arial"/>
                <w:sz w:val="15"/>
                <w:szCs w:val="15"/>
                <w:color w:val="auto"/>
              </w:rPr>
              <w:t>4,680,000</w:t>
            </w:r>
          </w:p>
        </w:tc>
        <w:tc>
          <w:tcPr>
            <w:tcW w:w="880" w:type="dxa"/>
            <w:vAlign w:val="bottom"/>
            <w:shd w:val="clear" w:color="auto" w:fill="E8F0F8"/>
          </w:tcPr>
          <w:p>
            <w:pPr>
              <w:ind w:left="80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E8F0F8"/>
          </w:tcPr>
          <w:p>
            <w:pPr>
              <w:jc w:val="right"/>
              <w:ind w:right="544"/>
              <w:spacing w:after="0"/>
              <w:rPr>
                <w:sz w:val="20"/>
                <w:szCs w:val="20"/>
                <w:color w:val="auto"/>
              </w:rPr>
            </w:pPr>
            <w:r>
              <w:rPr>
                <w:rFonts w:ascii="Arial" w:cs="Arial" w:eastAsia="Arial" w:hAnsi="Arial"/>
                <w:sz w:val="15"/>
                <w:szCs w:val="15"/>
                <w:color w:val="auto"/>
              </w:rPr>
              <w:t>6,240,000</w:t>
            </w:r>
          </w:p>
        </w:tc>
        <w:tc>
          <w:tcPr>
            <w:tcW w:w="0" w:type="dxa"/>
            <w:vAlign w:val="bottom"/>
          </w:tcPr>
          <w:p>
            <w:pPr>
              <w:spacing w:after="0"/>
              <w:rPr>
                <w:sz w:val="1"/>
                <w:szCs w:val="1"/>
                <w:color w:val="auto"/>
              </w:rPr>
            </w:pPr>
          </w:p>
        </w:tc>
      </w:tr>
      <w:tr>
        <w:trPr>
          <w:trHeight w:val="216"/>
        </w:trPr>
        <w:tc>
          <w:tcPr>
            <w:tcW w:w="4260" w:type="dxa"/>
            <w:vAlign w:val="bottom"/>
            <w:shd w:val="clear" w:color="auto" w:fill="E8F0F8"/>
          </w:tcPr>
          <w:p>
            <w:pPr>
              <w:ind w:left="380"/>
              <w:spacing w:after="0"/>
              <w:rPr>
                <w:sz w:val="20"/>
                <w:szCs w:val="20"/>
                <w:color w:val="auto"/>
              </w:rPr>
            </w:pPr>
            <w:r>
              <w:rPr>
                <w:rFonts w:ascii="Arial" w:cs="Arial" w:eastAsia="Arial" w:hAnsi="Arial"/>
                <w:sz w:val="15"/>
                <w:szCs w:val="15"/>
                <w:color w:val="auto"/>
              </w:rPr>
              <w:t>Performance-based RSUs</w:t>
            </w:r>
          </w:p>
        </w:tc>
        <w:tc>
          <w:tcPr>
            <w:tcW w:w="380" w:type="dxa"/>
            <w:vAlign w:val="bottom"/>
            <w:shd w:val="clear" w:color="auto" w:fill="E8F0F8"/>
          </w:tcPr>
          <w:p>
            <w:pPr>
              <w:spacing w:after="0"/>
              <w:rPr>
                <w:sz w:val="18"/>
                <w:szCs w:val="18"/>
                <w:color w:val="auto"/>
              </w:rPr>
            </w:pPr>
          </w:p>
        </w:tc>
        <w:tc>
          <w:tcPr>
            <w:tcW w:w="500" w:type="dxa"/>
            <w:vAlign w:val="bottom"/>
            <w:shd w:val="clear" w:color="auto" w:fill="E8F0F8"/>
          </w:tcPr>
          <w:p>
            <w:pPr>
              <w:spacing w:after="0"/>
              <w:rPr>
                <w:sz w:val="18"/>
                <w:szCs w:val="18"/>
                <w:color w:val="auto"/>
              </w:rPr>
            </w:pPr>
          </w:p>
        </w:tc>
        <w:tc>
          <w:tcPr>
            <w:tcW w:w="1080" w:type="dxa"/>
            <w:vAlign w:val="bottom"/>
            <w:shd w:val="clear" w:color="auto" w:fill="E8F0F8"/>
          </w:tcPr>
          <w:p>
            <w:pPr>
              <w:jc w:val="right"/>
              <w:ind w:right="584"/>
              <w:spacing w:after="0"/>
              <w:rPr>
                <w:sz w:val="20"/>
                <w:szCs w:val="20"/>
                <w:color w:val="auto"/>
              </w:rPr>
            </w:pPr>
            <w:r>
              <w:rPr>
                <w:rFonts w:ascii="Arial" w:cs="Arial" w:eastAsia="Arial" w:hAnsi="Arial"/>
                <w:sz w:val="15"/>
                <w:szCs w:val="15"/>
                <w:color w:val="auto"/>
              </w:rPr>
              <w:t>—</w:t>
            </w:r>
          </w:p>
        </w:tc>
        <w:tc>
          <w:tcPr>
            <w:tcW w:w="1040" w:type="dxa"/>
            <w:vAlign w:val="bottom"/>
            <w:shd w:val="clear" w:color="auto" w:fill="E8F0F8"/>
          </w:tcPr>
          <w:p>
            <w:pPr>
              <w:spacing w:after="0"/>
              <w:rPr>
                <w:sz w:val="18"/>
                <w:szCs w:val="18"/>
                <w:color w:val="auto"/>
              </w:rPr>
            </w:pPr>
          </w:p>
        </w:tc>
        <w:tc>
          <w:tcPr>
            <w:tcW w:w="1480" w:type="dxa"/>
            <w:vAlign w:val="bottom"/>
            <w:shd w:val="clear" w:color="auto" w:fill="E8F0F8"/>
          </w:tcPr>
          <w:p>
            <w:pPr>
              <w:jc w:val="right"/>
              <w:ind w:right="704"/>
              <w:spacing w:after="0"/>
              <w:rPr>
                <w:sz w:val="20"/>
                <w:szCs w:val="20"/>
                <w:color w:val="auto"/>
              </w:rPr>
            </w:pPr>
            <w:r>
              <w:rPr>
                <w:rFonts w:ascii="Arial" w:cs="Arial" w:eastAsia="Arial" w:hAnsi="Arial"/>
                <w:sz w:val="15"/>
                <w:szCs w:val="15"/>
                <w:color w:val="auto"/>
              </w:rPr>
              <w:t>—</w:t>
            </w:r>
          </w:p>
        </w:tc>
        <w:tc>
          <w:tcPr>
            <w:tcW w:w="880" w:type="dxa"/>
            <w:vAlign w:val="bottom"/>
            <w:shd w:val="clear" w:color="auto" w:fill="E8F0F8"/>
          </w:tcPr>
          <w:p>
            <w:pPr>
              <w:ind w:left="80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E8F0F8"/>
          </w:tcPr>
          <w:p>
            <w:pPr>
              <w:jc w:val="right"/>
              <w:ind w:right="544"/>
              <w:spacing w:after="0"/>
              <w:rPr>
                <w:sz w:val="20"/>
                <w:szCs w:val="20"/>
                <w:color w:val="auto"/>
              </w:rPr>
            </w:pPr>
            <w:r>
              <w:rPr>
                <w:rFonts w:ascii="Arial" w:cs="Arial" w:eastAsia="Arial" w:hAnsi="Arial"/>
                <w:sz w:val="15"/>
                <w:szCs w:val="15"/>
                <w:color w:val="auto"/>
              </w:rPr>
              <w:t>20,523,378</w:t>
            </w:r>
          </w:p>
        </w:tc>
        <w:tc>
          <w:tcPr>
            <w:tcW w:w="0" w:type="dxa"/>
            <w:vAlign w:val="bottom"/>
          </w:tcPr>
          <w:p>
            <w:pPr>
              <w:spacing w:after="0"/>
              <w:rPr>
                <w:sz w:val="1"/>
                <w:szCs w:val="1"/>
                <w:color w:val="auto"/>
              </w:rPr>
            </w:pPr>
          </w:p>
        </w:tc>
      </w:tr>
      <w:tr>
        <w:trPr>
          <w:trHeight w:val="216"/>
        </w:trPr>
        <w:tc>
          <w:tcPr>
            <w:tcW w:w="4260" w:type="dxa"/>
            <w:vAlign w:val="bottom"/>
            <w:shd w:val="clear" w:color="auto" w:fill="E8F0F8"/>
          </w:tcPr>
          <w:p>
            <w:pPr>
              <w:ind w:left="380"/>
              <w:spacing w:after="0"/>
              <w:rPr>
                <w:sz w:val="20"/>
                <w:szCs w:val="20"/>
                <w:color w:val="auto"/>
              </w:rPr>
            </w:pPr>
            <w:r>
              <w:rPr>
                <w:rFonts w:ascii="Arial" w:cs="Arial" w:eastAsia="Arial" w:hAnsi="Arial"/>
                <w:sz w:val="15"/>
                <w:szCs w:val="15"/>
                <w:color w:val="auto"/>
              </w:rPr>
              <w:t>Medical, Dental and Vision</w:t>
            </w:r>
          </w:p>
        </w:tc>
        <w:tc>
          <w:tcPr>
            <w:tcW w:w="380" w:type="dxa"/>
            <w:vAlign w:val="bottom"/>
            <w:shd w:val="clear" w:color="auto" w:fill="E8F0F8"/>
          </w:tcPr>
          <w:p>
            <w:pPr>
              <w:spacing w:after="0"/>
              <w:rPr>
                <w:sz w:val="18"/>
                <w:szCs w:val="18"/>
                <w:color w:val="auto"/>
              </w:rPr>
            </w:pPr>
          </w:p>
        </w:tc>
        <w:tc>
          <w:tcPr>
            <w:tcW w:w="500" w:type="dxa"/>
            <w:vAlign w:val="bottom"/>
            <w:shd w:val="clear" w:color="auto" w:fill="E8F0F8"/>
          </w:tcPr>
          <w:p>
            <w:pPr>
              <w:spacing w:after="0"/>
              <w:rPr>
                <w:sz w:val="18"/>
                <w:szCs w:val="18"/>
                <w:color w:val="auto"/>
              </w:rPr>
            </w:pPr>
          </w:p>
        </w:tc>
        <w:tc>
          <w:tcPr>
            <w:tcW w:w="1080" w:type="dxa"/>
            <w:vAlign w:val="bottom"/>
            <w:shd w:val="clear" w:color="auto" w:fill="E8F0F8"/>
          </w:tcPr>
          <w:p>
            <w:pPr>
              <w:jc w:val="right"/>
              <w:ind w:right="584"/>
              <w:spacing w:after="0"/>
              <w:rPr>
                <w:sz w:val="20"/>
                <w:szCs w:val="20"/>
                <w:color w:val="auto"/>
              </w:rPr>
            </w:pPr>
            <w:r>
              <w:rPr>
                <w:rFonts w:ascii="Arial" w:cs="Arial" w:eastAsia="Arial" w:hAnsi="Arial"/>
                <w:sz w:val="15"/>
                <w:szCs w:val="15"/>
                <w:color w:val="auto"/>
              </w:rPr>
              <w:t>—</w:t>
            </w:r>
          </w:p>
        </w:tc>
        <w:tc>
          <w:tcPr>
            <w:tcW w:w="1040" w:type="dxa"/>
            <w:vAlign w:val="bottom"/>
            <w:shd w:val="clear" w:color="auto" w:fill="E8F0F8"/>
          </w:tcPr>
          <w:p>
            <w:pPr>
              <w:ind w:left="940"/>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E8F0F8"/>
          </w:tcPr>
          <w:p>
            <w:pPr>
              <w:jc w:val="right"/>
              <w:ind w:right="704"/>
              <w:spacing w:after="0"/>
              <w:rPr>
                <w:sz w:val="20"/>
                <w:szCs w:val="20"/>
                <w:color w:val="auto"/>
              </w:rPr>
            </w:pPr>
            <w:r>
              <w:rPr>
                <w:rFonts w:ascii="Arial" w:cs="Arial" w:eastAsia="Arial" w:hAnsi="Arial"/>
                <w:sz w:val="15"/>
                <w:szCs w:val="15"/>
                <w:color w:val="auto"/>
              </w:rPr>
              <w:t>29,709</w:t>
            </w:r>
          </w:p>
        </w:tc>
        <w:tc>
          <w:tcPr>
            <w:tcW w:w="880" w:type="dxa"/>
            <w:vAlign w:val="bottom"/>
            <w:shd w:val="clear" w:color="auto" w:fill="E8F0F8"/>
          </w:tcPr>
          <w:p>
            <w:pPr>
              <w:ind w:left="80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E8F0F8"/>
          </w:tcPr>
          <w:p>
            <w:pPr>
              <w:jc w:val="right"/>
              <w:ind w:right="544"/>
              <w:spacing w:after="0"/>
              <w:rPr>
                <w:sz w:val="20"/>
                <w:szCs w:val="20"/>
                <w:color w:val="auto"/>
              </w:rPr>
            </w:pPr>
            <w:r>
              <w:rPr>
                <w:rFonts w:ascii="Arial" w:cs="Arial" w:eastAsia="Arial" w:hAnsi="Arial"/>
                <w:sz w:val="15"/>
                <w:szCs w:val="15"/>
                <w:color w:val="auto"/>
              </w:rPr>
              <w:t>39,613</w:t>
            </w:r>
          </w:p>
        </w:tc>
        <w:tc>
          <w:tcPr>
            <w:tcW w:w="0" w:type="dxa"/>
            <w:vAlign w:val="bottom"/>
          </w:tcPr>
          <w:p>
            <w:pPr>
              <w:spacing w:after="0"/>
              <w:rPr>
                <w:sz w:val="1"/>
                <w:szCs w:val="1"/>
                <w:color w:val="auto"/>
              </w:rPr>
            </w:pPr>
          </w:p>
        </w:tc>
      </w:tr>
      <w:tr>
        <w:trPr>
          <w:trHeight w:val="224"/>
        </w:trPr>
        <w:tc>
          <w:tcPr>
            <w:tcW w:w="4260" w:type="dxa"/>
            <w:vAlign w:val="bottom"/>
            <w:shd w:val="clear" w:color="auto" w:fill="E8F0F8"/>
          </w:tcPr>
          <w:p>
            <w:pPr>
              <w:ind w:left="420"/>
              <w:spacing w:after="0" w:line="224" w:lineRule="exact"/>
              <w:rPr>
                <w:sz w:val="20"/>
                <w:szCs w:val="20"/>
                <w:color w:val="auto"/>
              </w:rPr>
            </w:pPr>
            <w:r>
              <w:rPr>
                <w:rFonts w:ascii="Arial" w:cs="Arial" w:eastAsia="Arial" w:hAnsi="Arial"/>
                <w:sz w:val="15"/>
                <w:szCs w:val="15"/>
                <w:color w:val="auto"/>
              </w:rPr>
              <w:t>Outplacement</w:t>
            </w:r>
            <w:r>
              <w:rPr>
                <w:rFonts w:ascii="Arial" w:cs="Arial" w:eastAsia="Arial" w:hAnsi="Arial"/>
                <w:sz w:val="25"/>
                <w:szCs w:val="25"/>
                <w:color w:val="auto"/>
                <w:vertAlign w:val="superscript"/>
              </w:rPr>
              <w:t>(5)</w:t>
            </w:r>
          </w:p>
        </w:tc>
        <w:tc>
          <w:tcPr>
            <w:tcW w:w="380" w:type="dxa"/>
            <w:vAlign w:val="bottom"/>
            <w:shd w:val="clear" w:color="auto" w:fill="E8F0F8"/>
          </w:tcPr>
          <w:p>
            <w:pPr>
              <w:spacing w:after="0"/>
              <w:rPr>
                <w:sz w:val="19"/>
                <w:szCs w:val="19"/>
                <w:color w:val="auto"/>
              </w:rPr>
            </w:pPr>
          </w:p>
        </w:tc>
        <w:tc>
          <w:tcPr>
            <w:tcW w:w="500" w:type="dxa"/>
            <w:vAlign w:val="bottom"/>
            <w:shd w:val="clear" w:color="auto" w:fill="E8F0F8"/>
          </w:tcPr>
          <w:p>
            <w:pPr>
              <w:spacing w:after="0"/>
              <w:rPr>
                <w:sz w:val="19"/>
                <w:szCs w:val="19"/>
                <w:color w:val="auto"/>
              </w:rPr>
            </w:pPr>
          </w:p>
        </w:tc>
        <w:tc>
          <w:tcPr>
            <w:tcW w:w="1080" w:type="dxa"/>
            <w:vAlign w:val="bottom"/>
            <w:shd w:val="clear" w:color="auto" w:fill="E8F0F8"/>
          </w:tcPr>
          <w:p>
            <w:pPr>
              <w:jc w:val="right"/>
              <w:ind w:right="584"/>
              <w:spacing w:after="0"/>
              <w:rPr>
                <w:sz w:val="20"/>
                <w:szCs w:val="20"/>
                <w:color w:val="auto"/>
              </w:rPr>
            </w:pPr>
            <w:r>
              <w:rPr>
                <w:rFonts w:ascii="Arial" w:cs="Arial" w:eastAsia="Arial" w:hAnsi="Arial"/>
                <w:sz w:val="15"/>
                <w:szCs w:val="15"/>
                <w:color w:val="auto"/>
              </w:rPr>
              <w:t>—</w:t>
            </w:r>
          </w:p>
        </w:tc>
        <w:tc>
          <w:tcPr>
            <w:tcW w:w="1040" w:type="dxa"/>
            <w:vAlign w:val="bottom"/>
            <w:shd w:val="clear" w:color="auto" w:fill="E8F0F8"/>
          </w:tcPr>
          <w:p>
            <w:pPr>
              <w:ind w:left="940"/>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E8F0F8"/>
          </w:tcPr>
          <w:p>
            <w:pPr>
              <w:jc w:val="right"/>
              <w:ind w:right="704"/>
              <w:spacing w:after="0"/>
              <w:rPr>
                <w:sz w:val="20"/>
                <w:szCs w:val="20"/>
                <w:color w:val="auto"/>
              </w:rPr>
            </w:pPr>
            <w:r>
              <w:rPr>
                <w:rFonts w:ascii="Arial" w:cs="Arial" w:eastAsia="Arial" w:hAnsi="Arial"/>
                <w:sz w:val="15"/>
                <w:szCs w:val="15"/>
                <w:color w:val="auto"/>
              </w:rPr>
              <w:t>32,000</w:t>
            </w:r>
          </w:p>
        </w:tc>
        <w:tc>
          <w:tcPr>
            <w:tcW w:w="880" w:type="dxa"/>
            <w:vAlign w:val="bottom"/>
            <w:shd w:val="clear" w:color="auto" w:fill="E8F0F8"/>
          </w:tcPr>
          <w:p>
            <w:pPr>
              <w:ind w:left="80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E8F0F8"/>
          </w:tcPr>
          <w:p>
            <w:pPr>
              <w:jc w:val="right"/>
              <w:ind w:right="544"/>
              <w:spacing w:after="0"/>
              <w:rPr>
                <w:sz w:val="20"/>
                <w:szCs w:val="20"/>
                <w:color w:val="auto"/>
              </w:rPr>
            </w:pPr>
            <w:r>
              <w:rPr>
                <w:rFonts w:ascii="Arial" w:cs="Arial" w:eastAsia="Arial" w:hAnsi="Arial"/>
                <w:sz w:val="15"/>
                <w:szCs w:val="15"/>
                <w:color w:val="auto"/>
              </w:rPr>
              <w:t>32,000</w:t>
            </w:r>
          </w:p>
        </w:tc>
        <w:tc>
          <w:tcPr>
            <w:tcW w:w="0" w:type="dxa"/>
            <w:vAlign w:val="bottom"/>
          </w:tcPr>
          <w:p>
            <w:pPr>
              <w:spacing w:after="0"/>
              <w:rPr>
                <w:sz w:val="1"/>
                <w:szCs w:val="1"/>
                <w:color w:val="auto"/>
              </w:rPr>
            </w:pPr>
          </w:p>
        </w:tc>
      </w:tr>
      <w:tr>
        <w:trPr>
          <w:trHeight w:val="212"/>
        </w:trPr>
        <w:tc>
          <w:tcPr>
            <w:tcW w:w="4260" w:type="dxa"/>
            <w:vAlign w:val="bottom"/>
            <w:tcBorders>
              <w:bottom w:val="single" w:sz="8" w:color="auto"/>
            </w:tcBorders>
            <w:shd w:val="clear" w:color="auto" w:fill="E8F0F8"/>
          </w:tcPr>
          <w:p>
            <w:pPr>
              <w:ind w:left="380"/>
              <w:spacing w:after="0"/>
              <w:rPr>
                <w:sz w:val="20"/>
                <w:szCs w:val="20"/>
                <w:color w:val="auto"/>
              </w:rPr>
            </w:pPr>
            <w:r>
              <w:rPr>
                <w:rFonts w:ascii="Arial" w:cs="Arial" w:eastAsia="Arial" w:hAnsi="Arial"/>
                <w:sz w:val="15"/>
                <w:szCs w:val="15"/>
                <w:b w:val="1"/>
                <w:bCs w:val="1"/>
                <w:color w:val="auto"/>
              </w:rPr>
              <w:t>Total</w:t>
            </w:r>
          </w:p>
        </w:tc>
        <w:tc>
          <w:tcPr>
            <w:tcW w:w="380" w:type="dxa"/>
            <w:vAlign w:val="bottom"/>
            <w:tcBorders>
              <w:bottom w:val="single" w:sz="8" w:color="auto"/>
            </w:tcBorders>
            <w:shd w:val="clear" w:color="auto" w:fill="E8F0F8"/>
          </w:tcPr>
          <w:p>
            <w:pPr>
              <w:spacing w:after="0"/>
              <w:rPr>
                <w:sz w:val="18"/>
                <w:szCs w:val="18"/>
                <w:color w:val="auto"/>
              </w:rPr>
            </w:pPr>
          </w:p>
        </w:tc>
        <w:tc>
          <w:tcPr>
            <w:tcW w:w="500" w:type="dxa"/>
            <w:vAlign w:val="bottom"/>
            <w:tcBorders>
              <w:bottom w:val="single" w:sz="8" w:color="auto"/>
            </w:tcBorders>
            <w:shd w:val="clear" w:color="auto" w:fill="E8F0F8"/>
          </w:tcPr>
          <w:p>
            <w:pPr>
              <w:spacing w:after="0"/>
              <w:rPr>
                <w:sz w:val="18"/>
                <w:szCs w:val="18"/>
                <w:color w:val="auto"/>
              </w:rPr>
            </w:pPr>
          </w:p>
        </w:tc>
        <w:tc>
          <w:tcPr>
            <w:tcW w:w="1080" w:type="dxa"/>
            <w:vAlign w:val="bottom"/>
            <w:tcBorders>
              <w:bottom w:val="single" w:sz="8" w:color="auto"/>
            </w:tcBorders>
            <w:shd w:val="clear" w:color="auto" w:fill="E8F0F8"/>
          </w:tcPr>
          <w:p>
            <w:pPr>
              <w:jc w:val="right"/>
              <w:ind w:right="584"/>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shd w:val="clear" w:color="auto" w:fill="E8F0F8"/>
          </w:tcPr>
          <w:p>
            <w:pPr>
              <w:ind w:left="940"/>
              <w:spacing w:after="0"/>
              <w:rPr>
                <w:sz w:val="20"/>
                <w:szCs w:val="20"/>
                <w:color w:val="auto"/>
              </w:rPr>
            </w:pPr>
            <w:r>
              <w:rPr>
                <w:rFonts w:ascii="Arial" w:cs="Arial" w:eastAsia="Arial" w:hAnsi="Arial"/>
                <w:sz w:val="15"/>
                <w:szCs w:val="15"/>
                <w:b w:val="1"/>
                <w:bCs w:val="1"/>
                <w:color w:val="auto"/>
                <w:w w:val="95"/>
              </w:rPr>
              <w:t>$</w:t>
            </w:r>
          </w:p>
        </w:tc>
        <w:tc>
          <w:tcPr>
            <w:tcW w:w="1480" w:type="dxa"/>
            <w:vAlign w:val="bottom"/>
            <w:tcBorders>
              <w:bottom w:val="single" w:sz="8" w:color="auto"/>
            </w:tcBorders>
            <w:shd w:val="clear" w:color="auto" w:fill="E8F0F8"/>
          </w:tcPr>
          <w:p>
            <w:pPr>
              <w:jc w:val="right"/>
              <w:ind w:right="704"/>
              <w:spacing w:after="0"/>
              <w:rPr>
                <w:sz w:val="20"/>
                <w:szCs w:val="20"/>
                <w:color w:val="auto"/>
              </w:rPr>
            </w:pPr>
            <w:r>
              <w:rPr>
                <w:rFonts w:ascii="Arial" w:cs="Arial" w:eastAsia="Arial" w:hAnsi="Arial"/>
                <w:sz w:val="15"/>
                <w:szCs w:val="15"/>
                <w:b w:val="1"/>
                <w:bCs w:val="1"/>
                <w:color w:val="auto"/>
              </w:rPr>
              <w:t>4,741,709</w:t>
            </w:r>
          </w:p>
        </w:tc>
        <w:tc>
          <w:tcPr>
            <w:tcW w:w="880" w:type="dxa"/>
            <w:vAlign w:val="bottom"/>
            <w:tcBorders>
              <w:bottom w:val="single" w:sz="8" w:color="auto"/>
            </w:tcBorders>
            <w:shd w:val="clear" w:color="auto" w:fill="E8F0F8"/>
          </w:tcPr>
          <w:p>
            <w:pPr>
              <w:ind w:left="800"/>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bottom w:val="single" w:sz="8" w:color="auto"/>
            </w:tcBorders>
            <w:shd w:val="clear" w:color="auto" w:fill="E8F0F8"/>
          </w:tcPr>
          <w:p>
            <w:pPr>
              <w:jc w:val="right"/>
              <w:ind w:right="544"/>
              <w:spacing w:after="0"/>
              <w:rPr>
                <w:sz w:val="20"/>
                <w:szCs w:val="20"/>
                <w:color w:val="auto"/>
              </w:rPr>
            </w:pPr>
            <w:r>
              <w:rPr>
                <w:rFonts w:ascii="Arial" w:cs="Arial" w:eastAsia="Arial" w:hAnsi="Arial"/>
                <w:sz w:val="15"/>
                <w:szCs w:val="15"/>
                <w:b w:val="1"/>
                <w:bCs w:val="1"/>
                <w:color w:val="auto"/>
              </w:rPr>
              <w:t>26,834,991</w:t>
            </w:r>
          </w:p>
        </w:tc>
        <w:tc>
          <w:tcPr>
            <w:tcW w:w="0" w:type="dxa"/>
            <w:vAlign w:val="bottom"/>
          </w:tcPr>
          <w:p>
            <w:pPr>
              <w:spacing w:after="0"/>
              <w:rPr>
                <w:sz w:val="1"/>
                <w:szCs w:val="1"/>
                <w:color w:val="auto"/>
              </w:rPr>
            </w:pPr>
          </w:p>
        </w:tc>
      </w:tr>
      <w:tr>
        <w:trPr>
          <w:trHeight w:val="212"/>
        </w:trPr>
        <w:tc>
          <w:tcPr>
            <w:tcW w:w="4260" w:type="dxa"/>
            <w:vAlign w:val="bottom"/>
            <w:shd w:val="clear" w:color="auto" w:fill="BAD3EA"/>
          </w:tcPr>
          <w:p>
            <w:pPr>
              <w:ind w:left="80"/>
              <w:spacing w:after="0"/>
              <w:rPr>
                <w:sz w:val="20"/>
                <w:szCs w:val="20"/>
                <w:color w:val="auto"/>
              </w:rPr>
            </w:pPr>
            <w:r>
              <w:rPr>
                <w:rFonts w:ascii="Arial" w:cs="Arial" w:eastAsia="Arial" w:hAnsi="Arial"/>
                <w:sz w:val="16"/>
                <w:szCs w:val="16"/>
                <w:b w:val="1"/>
                <w:bCs w:val="1"/>
                <w:color w:val="auto"/>
              </w:rPr>
              <w:t>Jeffrey D. Capello</w:t>
            </w:r>
          </w:p>
        </w:tc>
        <w:tc>
          <w:tcPr>
            <w:tcW w:w="380" w:type="dxa"/>
            <w:vAlign w:val="bottom"/>
            <w:shd w:val="clear" w:color="auto" w:fill="BAD3EA"/>
          </w:tcPr>
          <w:p>
            <w:pPr>
              <w:spacing w:after="0"/>
              <w:rPr>
                <w:sz w:val="18"/>
                <w:szCs w:val="18"/>
                <w:color w:val="auto"/>
              </w:rPr>
            </w:pPr>
          </w:p>
        </w:tc>
        <w:tc>
          <w:tcPr>
            <w:tcW w:w="500" w:type="dxa"/>
            <w:vAlign w:val="bottom"/>
            <w:shd w:val="clear" w:color="auto" w:fill="BAD3EA"/>
          </w:tcPr>
          <w:p>
            <w:pPr>
              <w:spacing w:after="0"/>
              <w:rPr>
                <w:sz w:val="18"/>
                <w:szCs w:val="18"/>
                <w:color w:val="auto"/>
              </w:rPr>
            </w:pPr>
          </w:p>
        </w:tc>
        <w:tc>
          <w:tcPr>
            <w:tcW w:w="1080" w:type="dxa"/>
            <w:vAlign w:val="bottom"/>
            <w:shd w:val="clear" w:color="auto" w:fill="BAD3EA"/>
          </w:tcPr>
          <w:p>
            <w:pPr>
              <w:spacing w:after="0"/>
              <w:rPr>
                <w:sz w:val="18"/>
                <w:szCs w:val="18"/>
                <w:color w:val="auto"/>
              </w:rPr>
            </w:pPr>
          </w:p>
        </w:tc>
        <w:tc>
          <w:tcPr>
            <w:tcW w:w="1040" w:type="dxa"/>
            <w:vAlign w:val="bottom"/>
            <w:shd w:val="clear" w:color="auto" w:fill="BAD3EA"/>
          </w:tcPr>
          <w:p>
            <w:pPr>
              <w:spacing w:after="0"/>
              <w:rPr>
                <w:sz w:val="18"/>
                <w:szCs w:val="18"/>
                <w:color w:val="auto"/>
              </w:rPr>
            </w:pPr>
          </w:p>
        </w:tc>
        <w:tc>
          <w:tcPr>
            <w:tcW w:w="1480" w:type="dxa"/>
            <w:vAlign w:val="bottom"/>
            <w:shd w:val="clear" w:color="auto" w:fill="BAD3EA"/>
          </w:tcPr>
          <w:p>
            <w:pPr>
              <w:spacing w:after="0"/>
              <w:rPr>
                <w:sz w:val="18"/>
                <w:szCs w:val="18"/>
                <w:color w:val="auto"/>
              </w:rPr>
            </w:pPr>
          </w:p>
        </w:tc>
        <w:tc>
          <w:tcPr>
            <w:tcW w:w="880" w:type="dxa"/>
            <w:vAlign w:val="bottom"/>
            <w:shd w:val="clear" w:color="auto" w:fill="BAD3EA"/>
          </w:tcPr>
          <w:p>
            <w:pPr>
              <w:spacing w:after="0"/>
              <w:rPr>
                <w:sz w:val="18"/>
                <w:szCs w:val="18"/>
                <w:color w:val="auto"/>
              </w:rPr>
            </w:pPr>
          </w:p>
        </w:tc>
        <w:tc>
          <w:tcPr>
            <w:tcW w:w="1400" w:type="dxa"/>
            <w:vAlign w:val="bottom"/>
            <w:shd w:val="clear" w:color="auto" w:fill="BAD3EA"/>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shd w:val="clear" w:color="auto" w:fill="BAD3EA"/>
          </w:tcPr>
          <w:p>
            <w:pPr>
              <w:ind w:left="380"/>
              <w:spacing w:after="0"/>
              <w:rPr>
                <w:sz w:val="20"/>
                <w:szCs w:val="20"/>
                <w:color w:val="auto"/>
              </w:rPr>
            </w:pPr>
            <w:r>
              <w:rPr>
                <w:rFonts w:ascii="Arial" w:cs="Arial" w:eastAsia="Arial" w:hAnsi="Arial"/>
                <w:sz w:val="15"/>
                <w:szCs w:val="15"/>
                <w:color w:val="auto"/>
              </w:rPr>
              <w:t>Severance</w:t>
            </w:r>
          </w:p>
        </w:tc>
        <w:tc>
          <w:tcPr>
            <w:tcW w:w="380" w:type="dxa"/>
            <w:vAlign w:val="bottom"/>
            <w:shd w:val="clear" w:color="auto" w:fill="BAD3EA"/>
          </w:tcPr>
          <w:p>
            <w:pPr>
              <w:spacing w:after="0"/>
              <w:rPr>
                <w:sz w:val="18"/>
                <w:szCs w:val="18"/>
                <w:color w:val="auto"/>
              </w:rPr>
            </w:pPr>
          </w:p>
        </w:tc>
        <w:tc>
          <w:tcPr>
            <w:tcW w:w="500" w:type="dxa"/>
            <w:vAlign w:val="bottom"/>
            <w:shd w:val="clear" w:color="auto" w:fill="BAD3EA"/>
          </w:tcPr>
          <w:p>
            <w:pPr>
              <w:spacing w:after="0"/>
              <w:rPr>
                <w:sz w:val="18"/>
                <w:szCs w:val="18"/>
                <w:color w:val="auto"/>
              </w:rPr>
            </w:pPr>
          </w:p>
        </w:tc>
        <w:tc>
          <w:tcPr>
            <w:tcW w:w="1080" w:type="dxa"/>
            <w:vAlign w:val="bottom"/>
            <w:shd w:val="clear" w:color="auto" w:fill="BAD3EA"/>
          </w:tcPr>
          <w:p>
            <w:pPr>
              <w:jc w:val="right"/>
              <w:ind w:right="584"/>
              <w:spacing w:after="0"/>
              <w:rPr>
                <w:sz w:val="20"/>
                <w:szCs w:val="20"/>
                <w:color w:val="auto"/>
              </w:rPr>
            </w:pPr>
            <w:r>
              <w:rPr>
                <w:rFonts w:ascii="Arial" w:cs="Arial" w:eastAsia="Arial" w:hAnsi="Arial"/>
                <w:sz w:val="15"/>
                <w:szCs w:val="15"/>
                <w:color w:val="auto"/>
              </w:rPr>
              <w:t>—</w:t>
            </w:r>
          </w:p>
        </w:tc>
        <w:tc>
          <w:tcPr>
            <w:tcW w:w="1040" w:type="dxa"/>
            <w:vAlign w:val="bottom"/>
            <w:shd w:val="clear" w:color="auto" w:fill="BAD3EA"/>
          </w:tcPr>
          <w:p>
            <w:pPr>
              <w:ind w:left="940"/>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BAD3EA"/>
          </w:tcPr>
          <w:p>
            <w:pPr>
              <w:jc w:val="right"/>
              <w:ind w:right="704"/>
              <w:spacing w:after="0"/>
              <w:rPr>
                <w:sz w:val="20"/>
                <w:szCs w:val="20"/>
                <w:color w:val="auto"/>
              </w:rPr>
            </w:pPr>
            <w:r>
              <w:rPr>
                <w:rFonts w:ascii="Arial" w:cs="Arial" w:eastAsia="Arial" w:hAnsi="Arial"/>
                <w:sz w:val="15"/>
                <w:szCs w:val="15"/>
                <w:color w:val="auto"/>
              </w:rPr>
              <w:t>1,487,500</w:t>
            </w:r>
          </w:p>
        </w:tc>
        <w:tc>
          <w:tcPr>
            <w:tcW w:w="880" w:type="dxa"/>
            <w:vAlign w:val="bottom"/>
            <w:shd w:val="clear" w:color="auto" w:fill="BAD3EA"/>
          </w:tcPr>
          <w:p>
            <w:pPr>
              <w:ind w:left="80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BAD3EA"/>
          </w:tcPr>
          <w:p>
            <w:pPr>
              <w:jc w:val="right"/>
              <w:ind w:right="544"/>
              <w:spacing w:after="0"/>
              <w:rPr>
                <w:sz w:val="20"/>
                <w:szCs w:val="20"/>
                <w:color w:val="auto"/>
              </w:rPr>
            </w:pPr>
            <w:r>
              <w:rPr>
                <w:rFonts w:ascii="Arial" w:cs="Arial" w:eastAsia="Arial" w:hAnsi="Arial"/>
                <w:sz w:val="15"/>
                <w:szCs w:val="15"/>
                <w:color w:val="auto"/>
              </w:rPr>
              <w:t>2,550,000</w:t>
            </w:r>
          </w:p>
        </w:tc>
        <w:tc>
          <w:tcPr>
            <w:tcW w:w="0" w:type="dxa"/>
            <w:vAlign w:val="bottom"/>
          </w:tcPr>
          <w:p>
            <w:pPr>
              <w:spacing w:after="0"/>
              <w:rPr>
                <w:sz w:val="1"/>
                <w:szCs w:val="1"/>
                <w:color w:val="auto"/>
              </w:rPr>
            </w:pPr>
          </w:p>
        </w:tc>
      </w:tr>
      <w:tr>
        <w:trPr>
          <w:trHeight w:val="216"/>
        </w:trPr>
        <w:tc>
          <w:tcPr>
            <w:tcW w:w="4260" w:type="dxa"/>
            <w:vAlign w:val="bottom"/>
            <w:shd w:val="clear" w:color="auto" w:fill="BAD3EA"/>
          </w:tcPr>
          <w:p>
            <w:pPr>
              <w:ind w:left="380"/>
              <w:spacing w:after="0"/>
              <w:rPr>
                <w:sz w:val="20"/>
                <w:szCs w:val="20"/>
                <w:color w:val="auto"/>
              </w:rPr>
            </w:pPr>
            <w:r>
              <w:rPr>
                <w:rFonts w:ascii="Arial" w:cs="Arial" w:eastAsia="Arial" w:hAnsi="Arial"/>
                <w:sz w:val="15"/>
                <w:szCs w:val="15"/>
                <w:color w:val="auto"/>
              </w:rPr>
              <w:t>Performance-based RSUs</w:t>
            </w:r>
          </w:p>
        </w:tc>
        <w:tc>
          <w:tcPr>
            <w:tcW w:w="380" w:type="dxa"/>
            <w:vAlign w:val="bottom"/>
            <w:shd w:val="clear" w:color="auto" w:fill="BAD3EA"/>
          </w:tcPr>
          <w:p>
            <w:pPr>
              <w:spacing w:after="0"/>
              <w:rPr>
                <w:sz w:val="18"/>
                <w:szCs w:val="18"/>
                <w:color w:val="auto"/>
              </w:rPr>
            </w:pPr>
          </w:p>
        </w:tc>
        <w:tc>
          <w:tcPr>
            <w:tcW w:w="500" w:type="dxa"/>
            <w:vAlign w:val="bottom"/>
            <w:shd w:val="clear" w:color="auto" w:fill="BAD3EA"/>
          </w:tcPr>
          <w:p>
            <w:pPr>
              <w:spacing w:after="0"/>
              <w:rPr>
                <w:sz w:val="18"/>
                <w:szCs w:val="18"/>
                <w:color w:val="auto"/>
              </w:rPr>
            </w:pPr>
          </w:p>
        </w:tc>
        <w:tc>
          <w:tcPr>
            <w:tcW w:w="1080" w:type="dxa"/>
            <w:vAlign w:val="bottom"/>
            <w:shd w:val="clear" w:color="auto" w:fill="BAD3EA"/>
          </w:tcPr>
          <w:p>
            <w:pPr>
              <w:spacing w:after="0"/>
              <w:rPr>
                <w:sz w:val="18"/>
                <w:szCs w:val="18"/>
                <w:color w:val="auto"/>
              </w:rPr>
            </w:pPr>
          </w:p>
        </w:tc>
        <w:tc>
          <w:tcPr>
            <w:tcW w:w="1040" w:type="dxa"/>
            <w:vAlign w:val="bottom"/>
            <w:shd w:val="clear" w:color="auto" w:fill="BAD3EA"/>
          </w:tcPr>
          <w:p>
            <w:pPr>
              <w:spacing w:after="0"/>
              <w:rPr>
                <w:sz w:val="18"/>
                <w:szCs w:val="18"/>
                <w:color w:val="auto"/>
              </w:rPr>
            </w:pPr>
          </w:p>
        </w:tc>
        <w:tc>
          <w:tcPr>
            <w:tcW w:w="1480" w:type="dxa"/>
            <w:vAlign w:val="bottom"/>
            <w:shd w:val="clear" w:color="auto" w:fill="BAD3EA"/>
          </w:tcPr>
          <w:p>
            <w:pPr>
              <w:jc w:val="right"/>
              <w:ind w:right="704"/>
              <w:spacing w:after="0"/>
              <w:rPr>
                <w:sz w:val="20"/>
                <w:szCs w:val="20"/>
                <w:color w:val="auto"/>
              </w:rPr>
            </w:pPr>
            <w:r>
              <w:rPr>
                <w:rFonts w:ascii="Arial" w:cs="Arial" w:eastAsia="Arial" w:hAnsi="Arial"/>
                <w:sz w:val="15"/>
                <w:szCs w:val="15"/>
                <w:color w:val="auto"/>
              </w:rPr>
              <w:t>—</w:t>
            </w:r>
          </w:p>
        </w:tc>
        <w:tc>
          <w:tcPr>
            <w:tcW w:w="880" w:type="dxa"/>
            <w:vAlign w:val="bottom"/>
            <w:shd w:val="clear" w:color="auto" w:fill="BAD3EA"/>
          </w:tcPr>
          <w:p>
            <w:pPr>
              <w:ind w:left="80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BAD3EA"/>
          </w:tcPr>
          <w:p>
            <w:pPr>
              <w:jc w:val="right"/>
              <w:ind w:right="544"/>
              <w:spacing w:after="0"/>
              <w:rPr>
                <w:sz w:val="20"/>
                <w:szCs w:val="20"/>
                <w:color w:val="auto"/>
              </w:rPr>
            </w:pPr>
            <w:r>
              <w:rPr>
                <w:rFonts w:ascii="Arial" w:cs="Arial" w:eastAsia="Arial" w:hAnsi="Arial"/>
                <w:sz w:val="15"/>
                <w:szCs w:val="15"/>
                <w:color w:val="auto"/>
              </w:rPr>
              <w:t>2,736,395</w:t>
            </w:r>
          </w:p>
        </w:tc>
        <w:tc>
          <w:tcPr>
            <w:tcW w:w="0" w:type="dxa"/>
            <w:vAlign w:val="bottom"/>
          </w:tcPr>
          <w:p>
            <w:pPr>
              <w:spacing w:after="0"/>
              <w:rPr>
                <w:sz w:val="1"/>
                <w:szCs w:val="1"/>
                <w:color w:val="auto"/>
              </w:rPr>
            </w:pPr>
          </w:p>
        </w:tc>
      </w:tr>
      <w:tr>
        <w:trPr>
          <w:trHeight w:val="216"/>
        </w:trPr>
        <w:tc>
          <w:tcPr>
            <w:tcW w:w="4260" w:type="dxa"/>
            <w:vAlign w:val="bottom"/>
            <w:shd w:val="clear" w:color="auto" w:fill="BAD3EA"/>
          </w:tcPr>
          <w:p>
            <w:pPr>
              <w:ind w:left="380"/>
              <w:spacing w:after="0"/>
              <w:rPr>
                <w:sz w:val="20"/>
                <w:szCs w:val="20"/>
                <w:color w:val="auto"/>
              </w:rPr>
            </w:pPr>
            <w:r>
              <w:rPr>
                <w:rFonts w:ascii="Arial" w:cs="Arial" w:eastAsia="Arial" w:hAnsi="Arial"/>
                <w:sz w:val="15"/>
                <w:szCs w:val="15"/>
                <w:color w:val="auto"/>
              </w:rPr>
              <w:t>Medical, Dental and Vision</w:t>
            </w:r>
          </w:p>
        </w:tc>
        <w:tc>
          <w:tcPr>
            <w:tcW w:w="380" w:type="dxa"/>
            <w:vAlign w:val="bottom"/>
            <w:shd w:val="clear" w:color="auto" w:fill="BAD3EA"/>
          </w:tcPr>
          <w:p>
            <w:pPr>
              <w:spacing w:after="0"/>
              <w:rPr>
                <w:sz w:val="18"/>
                <w:szCs w:val="18"/>
                <w:color w:val="auto"/>
              </w:rPr>
            </w:pPr>
          </w:p>
        </w:tc>
        <w:tc>
          <w:tcPr>
            <w:tcW w:w="500" w:type="dxa"/>
            <w:vAlign w:val="bottom"/>
            <w:shd w:val="clear" w:color="auto" w:fill="BAD3EA"/>
          </w:tcPr>
          <w:p>
            <w:pPr>
              <w:spacing w:after="0"/>
              <w:rPr>
                <w:sz w:val="18"/>
                <w:szCs w:val="18"/>
                <w:color w:val="auto"/>
              </w:rPr>
            </w:pPr>
          </w:p>
        </w:tc>
        <w:tc>
          <w:tcPr>
            <w:tcW w:w="1080" w:type="dxa"/>
            <w:vAlign w:val="bottom"/>
            <w:shd w:val="clear" w:color="auto" w:fill="BAD3EA"/>
          </w:tcPr>
          <w:p>
            <w:pPr>
              <w:jc w:val="right"/>
              <w:ind w:right="584"/>
              <w:spacing w:after="0"/>
              <w:rPr>
                <w:sz w:val="20"/>
                <w:szCs w:val="20"/>
                <w:color w:val="auto"/>
              </w:rPr>
            </w:pPr>
            <w:r>
              <w:rPr>
                <w:rFonts w:ascii="Arial" w:cs="Arial" w:eastAsia="Arial" w:hAnsi="Arial"/>
                <w:sz w:val="15"/>
                <w:szCs w:val="15"/>
                <w:color w:val="auto"/>
              </w:rPr>
              <w:t>—</w:t>
            </w:r>
          </w:p>
        </w:tc>
        <w:tc>
          <w:tcPr>
            <w:tcW w:w="1040" w:type="dxa"/>
            <w:vAlign w:val="bottom"/>
            <w:shd w:val="clear" w:color="auto" w:fill="BAD3EA"/>
          </w:tcPr>
          <w:p>
            <w:pPr>
              <w:ind w:left="940"/>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BAD3EA"/>
          </w:tcPr>
          <w:p>
            <w:pPr>
              <w:jc w:val="right"/>
              <w:ind w:right="704"/>
              <w:spacing w:after="0"/>
              <w:rPr>
                <w:sz w:val="20"/>
                <w:szCs w:val="20"/>
                <w:color w:val="auto"/>
              </w:rPr>
            </w:pPr>
            <w:r>
              <w:rPr>
                <w:rFonts w:ascii="Arial" w:cs="Arial" w:eastAsia="Arial" w:hAnsi="Arial"/>
                <w:sz w:val="15"/>
                <w:szCs w:val="15"/>
                <w:color w:val="auto"/>
              </w:rPr>
              <w:t>22,611</w:t>
            </w:r>
          </w:p>
        </w:tc>
        <w:tc>
          <w:tcPr>
            <w:tcW w:w="880" w:type="dxa"/>
            <w:vAlign w:val="bottom"/>
            <w:shd w:val="clear" w:color="auto" w:fill="BAD3EA"/>
          </w:tcPr>
          <w:p>
            <w:pPr>
              <w:ind w:left="80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BAD3EA"/>
          </w:tcPr>
          <w:p>
            <w:pPr>
              <w:jc w:val="right"/>
              <w:ind w:right="544"/>
              <w:spacing w:after="0"/>
              <w:rPr>
                <w:sz w:val="20"/>
                <w:szCs w:val="20"/>
                <w:color w:val="auto"/>
              </w:rPr>
            </w:pPr>
            <w:r>
              <w:rPr>
                <w:rFonts w:ascii="Arial" w:cs="Arial" w:eastAsia="Arial" w:hAnsi="Arial"/>
                <w:sz w:val="15"/>
                <w:szCs w:val="15"/>
                <w:color w:val="auto"/>
              </w:rPr>
              <w:t>38,761</w:t>
            </w:r>
          </w:p>
        </w:tc>
        <w:tc>
          <w:tcPr>
            <w:tcW w:w="0" w:type="dxa"/>
            <w:vAlign w:val="bottom"/>
          </w:tcPr>
          <w:p>
            <w:pPr>
              <w:spacing w:after="0"/>
              <w:rPr>
                <w:sz w:val="1"/>
                <w:szCs w:val="1"/>
                <w:color w:val="auto"/>
              </w:rPr>
            </w:pPr>
          </w:p>
        </w:tc>
      </w:tr>
      <w:tr>
        <w:trPr>
          <w:trHeight w:val="224"/>
        </w:trPr>
        <w:tc>
          <w:tcPr>
            <w:tcW w:w="4260" w:type="dxa"/>
            <w:vAlign w:val="bottom"/>
            <w:shd w:val="clear" w:color="auto" w:fill="BAD3EA"/>
          </w:tcPr>
          <w:p>
            <w:pPr>
              <w:ind w:left="420"/>
              <w:spacing w:after="0" w:line="224" w:lineRule="exact"/>
              <w:rPr>
                <w:sz w:val="20"/>
                <w:szCs w:val="20"/>
                <w:color w:val="auto"/>
              </w:rPr>
            </w:pPr>
            <w:r>
              <w:rPr>
                <w:rFonts w:ascii="Arial" w:cs="Arial" w:eastAsia="Arial" w:hAnsi="Arial"/>
                <w:sz w:val="15"/>
                <w:szCs w:val="15"/>
                <w:color w:val="auto"/>
              </w:rPr>
              <w:t>Outplacement</w:t>
            </w:r>
            <w:r>
              <w:rPr>
                <w:rFonts w:ascii="Arial" w:cs="Arial" w:eastAsia="Arial" w:hAnsi="Arial"/>
                <w:sz w:val="25"/>
                <w:szCs w:val="25"/>
                <w:color w:val="auto"/>
                <w:vertAlign w:val="superscript"/>
              </w:rPr>
              <w:t>(5)</w:t>
            </w:r>
          </w:p>
        </w:tc>
        <w:tc>
          <w:tcPr>
            <w:tcW w:w="380" w:type="dxa"/>
            <w:vAlign w:val="bottom"/>
            <w:shd w:val="clear" w:color="auto" w:fill="BAD3EA"/>
          </w:tcPr>
          <w:p>
            <w:pPr>
              <w:spacing w:after="0"/>
              <w:rPr>
                <w:sz w:val="19"/>
                <w:szCs w:val="19"/>
                <w:color w:val="auto"/>
              </w:rPr>
            </w:pPr>
          </w:p>
        </w:tc>
        <w:tc>
          <w:tcPr>
            <w:tcW w:w="500" w:type="dxa"/>
            <w:vAlign w:val="bottom"/>
            <w:shd w:val="clear" w:color="auto" w:fill="BAD3EA"/>
          </w:tcPr>
          <w:p>
            <w:pPr>
              <w:spacing w:after="0"/>
              <w:rPr>
                <w:sz w:val="19"/>
                <w:szCs w:val="19"/>
                <w:color w:val="auto"/>
              </w:rPr>
            </w:pPr>
          </w:p>
        </w:tc>
        <w:tc>
          <w:tcPr>
            <w:tcW w:w="1080" w:type="dxa"/>
            <w:vAlign w:val="bottom"/>
            <w:shd w:val="clear" w:color="auto" w:fill="BAD3EA"/>
          </w:tcPr>
          <w:p>
            <w:pPr>
              <w:jc w:val="right"/>
              <w:ind w:right="584"/>
              <w:spacing w:after="0"/>
              <w:rPr>
                <w:sz w:val="20"/>
                <w:szCs w:val="20"/>
                <w:color w:val="auto"/>
              </w:rPr>
            </w:pPr>
            <w:r>
              <w:rPr>
                <w:rFonts w:ascii="Arial" w:cs="Arial" w:eastAsia="Arial" w:hAnsi="Arial"/>
                <w:sz w:val="15"/>
                <w:szCs w:val="15"/>
                <w:color w:val="auto"/>
              </w:rPr>
              <w:t>—</w:t>
            </w:r>
          </w:p>
        </w:tc>
        <w:tc>
          <w:tcPr>
            <w:tcW w:w="1040" w:type="dxa"/>
            <w:vAlign w:val="bottom"/>
            <w:shd w:val="clear" w:color="auto" w:fill="BAD3EA"/>
          </w:tcPr>
          <w:p>
            <w:pPr>
              <w:ind w:left="940"/>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BAD3EA"/>
          </w:tcPr>
          <w:p>
            <w:pPr>
              <w:jc w:val="right"/>
              <w:ind w:right="704"/>
              <w:spacing w:after="0"/>
              <w:rPr>
                <w:sz w:val="20"/>
                <w:szCs w:val="20"/>
                <w:color w:val="auto"/>
              </w:rPr>
            </w:pPr>
            <w:r>
              <w:rPr>
                <w:rFonts w:ascii="Arial" w:cs="Arial" w:eastAsia="Arial" w:hAnsi="Arial"/>
                <w:sz w:val="15"/>
                <w:szCs w:val="15"/>
                <w:color w:val="auto"/>
              </w:rPr>
              <w:t>32,000</w:t>
            </w:r>
          </w:p>
        </w:tc>
        <w:tc>
          <w:tcPr>
            <w:tcW w:w="880" w:type="dxa"/>
            <w:vAlign w:val="bottom"/>
            <w:shd w:val="clear" w:color="auto" w:fill="BAD3EA"/>
          </w:tcPr>
          <w:p>
            <w:pPr>
              <w:ind w:left="80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BAD3EA"/>
          </w:tcPr>
          <w:p>
            <w:pPr>
              <w:jc w:val="right"/>
              <w:ind w:right="544"/>
              <w:spacing w:after="0"/>
              <w:rPr>
                <w:sz w:val="20"/>
                <w:szCs w:val="20"/>
                <w:color w:val="auto"/>
              </w:rPr>
            </w:pPr>
            <w:r>
              <w:rPr>
                <w:rFonts w:ascii="Arial" w:cs="Arial" w:eastAsia="Arial" w:hAnsi="Arial"/>
                <w:sz w:val="15"/>
                <w:szCs w:val="15"/>
                <w:color w:val="auto"/>
              </w:rPr>
              <w:t>32,000</w:t>
            </w:r>
          </w:p>
        </w:tc>
        <w:tc>
          <w:tcPr>
            <w:tcW w:w="0" w:type="dxa"/>
            <w:vAlign w:val="bottom"/>
          </w:tcPr>
          <w:p>
            <w:pPr>
              <w:spacing w:after="0"/>
              <w:rPr>
                <w:sz w:val="1"/>
                <w:szCs w:val="1"/>
                <w:color w:val="auto"/>
              </w:rPr>
            </w:pPr>
          </w:p>
        </w:tc>
      </w:tr>
      <w:tr>
        <w:trPr>
          <w:trHeight w:val="212"/>
        </w:trPr>
        <w:tc>
          <w:tcPr>
            <w:tcW w:w="4260" w:type="dxa"/>
            <w:vAlign w:val="bottom"/>
            <w:tcBorders>
              <w:bottom w:val="single" w:sz="8" w:color="auto"/>
            </w:tcBorders>
            <w:shd w:val="clear" w:color="auto" w:fill="BAD3EA"/>
          </w:tcPr>
          <w:p>
            <w:pPr>
              <w:ind w:left="380"/>
              <w:spacing w:after="0"/>
              <w:rPr>
                <w:sz w:val="20"/>
                <w:szCs w:val="20"/>
                <w:color w:val="auto"/>
              </w:rPr>
            </w:pPr>
            <w:r>
              <w:rPr>
                <w:rFonts w:ascii="Arial" w:cs="Arial" w:eastAsia="Arial" w:hAnsi="Arial"/>
                <w:sz w:val="15"/>
                <w:szCs w:val="15"/>
                <w:b w:val="1"/>
                <w:bCs w:val="1"/>
                <w:color w:val="auto"/>
              </w:rPr>
              <w:t>Total</w:t>
            </w:r>
          </w:p>
        </w:tc>
        <w:tc>
          <w:tcPr>
            <w:tcW w:w="380" w:type="dxa"/>
            <w:vAlign w:val="bottom"/>
            <w:tcBorders>
              <w:bottom w:val="single" w:sz="8" w:color="auto"/>
            </w:tcBorders>
            <w:shd w:val="clear" w:color="auto" w:fill="BAD3EA"/>
          </w:tcPr>
          <w:p>
            <w:pPr>
              <w:spacing w:after="0"/>
              <w:rPr>
                <w:sz w:val="18"/>
                <w:szCs w:val="18"/>
                <w:color w:val="auto"/>
              </w:rPr>
            </w:pPr>
          </w:p>
        </w:tc>
        <w:tc>
          <w:tcPr>
            <w:tcW w:w="500" w:type="dxa"/>
            <w:vAlign w:val="bottom"/>
            <w:tcBorders>
              <w:bottom w:val="single" w:sz="8" w:color="auto"/>
            </w:tcBorders>
            <w:shd w:val="clear" w:color="auto" w:fill="BAD3EA"/>
          </w:tcPr>
          <w:p>
            <w:pPr>
              <w:spacing w:after="0"/>
              <w:rPr>
                <w:sz w:val="18"/>
                <w:szCs w:val="18"/>
                <w:color w:val="auto"/>
              </w:rPr>
            </w:pPr>
          </w:p>
        </w:tc>
        <w:tc>
          <w:tcPr>
            <w:tcW w:w="1080" w:type="dxa"/>
            <w:vAlign w:val="bottom"/>
            <w:tcBorders>
              <w:bottom w:val="single" w:sz="8" w:color="auto"/>
            </w:tcBorders>
            <w:shd w:val="clear" w:color="auto" w:fill="BAD3EA"/>
          </w:tcPr>
          <w:p>
            <w:pPr>
              <w:jc w:val="right"/>
              <w:ind w:right="584"/>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shd w:val="clear" w:color="auto" w:fill="BAD3EA"/>
          </w:tcPr>
          <w:p>
            <w:pPr>
              <w:ind w:left="940"/>
              <w:spacing w:after="0"/>
              <w:rPr>
                <w:sz w:val="20"/>
                <w:szCs w:val="20"/>
                <w:color w:val="auto"/>
              </w:rPr>
            </w:pPr>
            <w:r>
              <w:rPr>
                <w:rFonts w:ascii="Arial" w:cs="Arial" w:eastAsia="Arial" w:hAnsi="Arial"/>
                <w:sz w:val="15"/>
                <w:szCs w:val="15"/>
                <w:b w:val="1"/>
                <w:bCs w:val="1"/>
                <w:color w:val="auto"/>
                <w:w w:val="95"/>
              </w:rPr>
              <w:t>$</w:t>
            </w:r>
          </w:p>
        </w:tc>
        <w:tc>
          <w:tcPr>
            <w:tcW w:w="1480" w:type="dxa"/>
            <w:vAlign w:val="bottom"/>
            <w:tcBorders>
              <w:bottom w:val="single" w:sz="8" w:color="auto"/>
            </w:tcBorders>
            <w:shd w:val="clear" w:color="auto" w:fill="BAD3EA"/>
          </w:tcPr>
          <w:p>
            <w:pPr>
              <w:jc w:val="right"/>
              <w:ind w:right="704"/>
              <w:spacing w:after="0"/>
              <w:rPr>
                <w:sz w:val="20"/>
                <w:szCs w:val="20"/>
                <w:color w:val="auto"/>
              </w:rPr>
            </w:pPr>
            <w:r>
              <w:rPr>
                <w:rFonts w:ascii="Arial" w:cs="Arial" w:eastAsia="Arial" w:hAnsi="Arial"/>
                <w:sz w:val="15"/>
                <w:szCs w:val="15"/>
                <w:b w:val="1"/>
                <w:bCs w:val="1"/>
                <w:color w:val="auto"/>
              </w:rPr>
              <w:t>1,542,111</w:t>
            </w:r>
          </w:p>
        </w:tc>
        <w:tc>
          <w:tcPr>
            <w:tcW w:w="880" w:type="dxa"/>
            <w:vAlign w:val="bottom"/>
            <w:tcBorders>
              <w:bottom w:val="single" w:sz="8" w:color="auto"/>
            </w:tcBorders>
            <w:shd w:val="clear" w:color="auto" w:fill="BAD3EA"/>
          </w:tcPr>
          <w:p>
            <w:pPr>
              <w:ind w:left="800"/>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bottom w:val="single" w:sz="8" w:color="auto"/>
            </w:tcBorders>
            <w:shd w:val="clear" w:color="auto" w:fill="BAD3EA"/>
          </w:tcPr>
          <w:p>
            <w:pPr>
              <w:jc w:val="right"/>
              <w:ind w:right="544"/>
              <w:spacing w:after="0"/>
              <w:rPr>
                <w:sz w:val="20"/>
                <w:szCs w:val="20"/>
                <w:color w:val="auto"/>
              </w:rPr>
            </w:pPr>
            <w:r>
              <w:rPr>
                <w:rFonts w:ascii="Arial" w:cs="Arial" w:eastAsia="Arial" w:hAnsi="Arial"/>
                <w:sz w:val="15"/>
                <w:szCs w:val="15"/>
                <w:b w:val="1"/>
                <w:bCs w:val="1"/>
                <w:color w:val="auto"/>
              </w:rPr>
              <w:t>5,357,156</w:t>
            </w:r>
          </w:p>
        </w:tc>
        <w:tc>
          <w:tcPr>
            <w:tcW w:w="0" w:type="dxa"/>
            <w:vAlign w:val="bottom"/>
          </w:tcPr>
          <w:p>
            <w:pPr>
              <w:spacing w:after="0"/>
              <w:rPr>
                <w:sz w:val="1"/>
                <w:szCs w:val="1"/>
                <w:color w:val="auto"/>
              </w:rPr>
            </w:pPr>
          </w:p>
        </w:tc>
      </w:tr>
      <w:tr>
        <w:trPr>
          <w:trHeight w:val="212"/>
        </w:trPr>
        <w:tc>
          <w:tcPr>
            <w:tcW w:w="4260" w:type="dxa"/>
            <w:vAlign w:val="bottom"/>
            <w:shd w:val="clear" w:color="auto" w:fill="E8F0F8"/>
          </w:tcPr>
          <w:p>
            <w:pPr>
              <w:ind w:left="80"/>
              <w:spacing w:after="0"/>
              <w:rPr>
                <w:sz w:val="20"/>
                <w:szCs w:val="20"/>
                <w:color w:val="auto"/>
              </w:rPr>
            </w:pPr>
            <w:r>
              <w:rPr>
                <w:rFonts w:ascii="Arial" w:cs="Arial" w:eastAsia="Arial" w:hAnsi="Arial"/>
                <w:sz w:val="16"/>
                <w:szCs w:val="16"/>
                <w:b w:val="1"/>
                <w:bCs w:val="1"/>
                <w:color w:val="auto"/>
              </w:rPr>
              <w:t>Michael D. Ehlers</w:t>
            </w:r>
          </w:p>
        </w:tc>
        <w:tc>
          <w:tcPr>
            <w:tcW w:w="380" w:type="dxa"/>
            <w:vAlign w:val="bottom"/>
            <w:shd w:val="clear" w:color="auto" w:fill="E8F0F8"/>
          </w:tcPr>
          <w:p>
            <w:pPr>
              <w:spacing w:after="0"/>
              <w:rPr>
                <w:sz w:val="18"/>
                <w:szCs w:val="18"/>
                <w:color w:val="auto"/>
              </w:rPr>
            </w:pPr>
          </w:p>
        </w:tc>
        <w:tc>
          <w:tcPr>
            <w:tcW w:w="500" w:type="dxa"/>
            <w:vAlign w:val="bottom"/>
            <w:shd w:val="clear" w:color="auto" w:fill="E8F0F8"/>
          </w:tcPr>
          <w:p>
            <w:pPr>
              <w:spacing w:after="0"/>
              <w:rPr>
                <w:sz w:val="18"/>
                <w:szCs w:val="18"/>
                <w:color w:val="auto"/>
              </w:rPr>
            </w:pPr>
          </w:p>
        </w:tc>
        <w:tc>
          <w:tcPr>
            <w:tcW w:w="1080" w:type="dxa"/>
            <w:vAlign w:val="bottom"/>
            <w:shd w:val="clear" w:color="auto" w:fill="E8F0F8"/>
          </w:tcPr>
          <w:p>
            <w:pPr>
              <w:spacing w:after="0"/>
              <w:rPr>
                <w:sz w:val="18"/>
                <w:szCs w:val="18"/>
                <w:color w:val="auto"/>
              </w:rPr>
            </w:pPr>
          </w:p>
        </w:tc>
        <w:tc>
          <w:tcPr>
            <w:tcW w:w="1040" w:type="dxa"/>
            <w:vAlign w:val="bottom"/>
            <w:shd w:val="clear" w:color="auto" w:fill="E8F0F8"/>
          </w:tcPr>
          <w:p>
            <w:pPr>
              <w:spacing w:after="0"/>
              <w:rPr>
                <w:sz w:val="18"/>
                <w:szCs w:val="18"/>
                <w:color w:val="auto"/>
              </w:rPr>
            </w:pPr>
          </w:p>
        </w:tc>
        <w:tc>
          <w:tcPr>
            <w:tcW w:w="1480" w:type="dxa"/>
            <w:vAlign w:val="bottom"/>
            <w:shd w:val="clear" w:color="auto" w:fill="E8F0F8"/>
          </w:tcPr>
          <w:p>
            <w:pPr>
              <w:spacing w:after="0"/>
              <w:rPr>
                <w:sz w:val="18"/>
                <w:szCs w:val="18"/>
                <w:color w:val="auto"/>
              </w:rPr>
            </w:pPr>
          </w:p>
        </w:tc>
        <w:tc>
          <w:tcPr>
            <w:tcW w:w="880" w:type="dxa"/>
            <w:vAlign w:val="bottom"/>
            <w:shd w:val="clear" w:color="auto" w:fill="E8F0F8"/>
          </w:tcPr>
          <w:p>
            <w:pPr>
              <w:spacing w:after="0"/>
              <w:rPr>
                <w:sz w:val="18"/>
                <w:szCs w:val="18"/>
                <w:color w:val="auto"/>
              </w:rPr>
            </w:pPr>
          </w:p>
        </w:tc>
        <w:tc>
          <w:tcPr>
            <w:tcW w:w="1400" w:type="dxa"/>
            <w:vAlign w:val="bottom"/>
            <w:shd w:val="clear" w:color="auto" w:fill="E8F0F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shd w:val="clear" w:color="auto" w:fill="E8F0F8"/>
          </w:tcPr>
          <w:p>
            <w:pPr>
              <w:ind w:left="380"/>
              <w:spacing w:after="0"/>
              <w:rPr>
                <w:sz w:val="20"/>
                <w:szCs w:val="20"/>
                <w:color w:val="auto"/>
              </w:rPr>
            </w:pPr>
            <w:r>
              <w:rPr>
                <w:rFonts w:ascii="Arial" w:cs="Arial" w:eastAsia="Arial" w:hAnsi="Arial"/>
                <w:sz w:val="15"/>
                <w:szCs w:val="15"/>
                <w:color w:val="auto"/>
              </w:rPr>
              <w:t>Severance</w:t>
            </w:r>
          </w:p>
        </w:tc>
        <w:tc>
          <w:tcPr>
            <w:tcW w:w="380" w:type="dxa"/>
            <w:vAlign w:val="bottom"/>
            <w:shd w:val="clear" w:color="auto" w:fill="E8F0F8"/>
          </w:tcPr>
          <w:p>
            <w:pPr>
              <w:spacing w:after="0"/>
              <w:rPr>
                <w:sz w:val="18"/>
                <w:szCs w:val="18"/>
                <w:color w:val="auto"/>
              </w:rPr>
            </w:pPr>
          </w:p>
        </w:tc>
        <w:tc>
          <w:tcPr>
            <w:tcW w:w="500" w:type="dxa"/>
            <w:vAlign w:val="bottom"/>
            <w:shd w:val="clear" w:color="auto" w:fill="E8F0F8"/>
          </w:tcPr>
          <w:p>
            <w:pPr>
              <w:spacing w:after="0"/>
              <w:rPr>
                <w:sz w:val="18"/>
                <w:szCs w:val="18"/>
                <w:color w:val="auto"/>
              </w:rPr>
            </w:pPr>
          </w:p>
        </w:tc>
        <w:tc>
          <w:tcPr>
            <w:tcW w:w="1080" w:type="dxa"/>
            <w:vAlign w:val="bottom"/>
            <w:shd w:val="clear" w:color="auto" w:fill="E8F0F8"/>
          </w:tcPr>
          <w:p>
            <w:pPr>
              <w:jc w:val="right"/>
              <w:ind w:right="584"/>
              <w:spacing w:after="0"/>
              <w:rPr>
                <w:sz w:val="20"/>
                <w:szCs w:val="20"/>
                <w:color w:val="auto"/>
              </w:rPr>
            </w:pPr>
            <w:r>
              <w:rPr>
                <w:rFonts w:ascii="Arial" w:cs="Arial" w:eastAsia="Arial" w:hAnsi="Arial"/>
                <w:sz w:val="15"/>
                <w:szCs w:val="15"/>
                <w:color w:val="auto"/>
              </w:rPr>
              <w:t>—</w:t>
            </w:r>
          </w:p>
        </w:tc>
        <w:tc>
          <w:tcPr>
            <w:tcW w:w="1040" w:type="dxa"/>
            <w:vAlign w:val="bottom"/>
            <w:shd w:val="clear" w:color="auto" w:fill="E8F0F8"/>
          </w:tcPr>
          <w:p>
            <w:pPr>
              <w:ind w:left="940"/>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E8F0F8"/>
          </w:tcPr>
          <w:p>
            <w:pPr>
              <w:jc w:val="right"/>
              <w:ind w:right="704"/>
              <w:spacing w:after="0"/>
              <w:rPr>
                <w:sz w:val="20"/>
                <w:szCs w:val="20"/>
                <w:color w:val="auto"/>
              </w:rPr>
            </w:pPr>
            <w:r>
              <w:rPr>
                <w:rFonts w:ascii="Arial" w:cs="Arial" w:eastAsia="Arial" w:hAnsi="Arial"/>
                <w:sz w:val="15"/>
                <w:szCs w:val="15"/>
                <w:color w:val="auto"/>
              </w:rPr>
              <w:t>1,890,613</w:t>
            </w:r>
          </w:p>
        </w:tc>
        <w:tc>
          <w:tcPr>
            <w:tcW w:w="880" w:type="dxa"/>
            <w:vAlign w:val="bottom"/>
            <w:shd w:val="clear" w:color="auto" w:fill="E8F0F8"/>
          </w:tcPr>
          <w:p>
            <w:pPr>
              <w:ind w:left="80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E8F0F8"/>
          </w:tcPr>
          <w:p>
            <w:pPr>
              <w:jc w:val="right"/>
              <w:ind w:right="544"/>
              <w:spacing w:after="0"/>
              <w:rPr>
                <w:sz w:val="20"/>
                <w:szCs w:val="20"/>
                <w:color w:val="auto"/>
              </w:rPr>
            </w:pPr>
            <w:r>
              <w:rPr>
                <w:rFonts w:ascii="Arial" w:cs="Arial" w:eastAsia="Arial" w:hAnsi="Arial"/>
                <w:sz w:val="15"/>
                <w:szCs w:val="15"/>
                <w:color w:val="auto"/>
              </w:rPr>
              <w:t>2,835,920</w:t>
            </w:r>
          </w:p>
        </w:tc>
        <w:tc>
          <w:tcPr>
            <w:tcW w:w="0" w:type="dxa"/>
            <w:vAlign w:val="bottom"/>
          </w:tcPr>
          <w:p>
            <w:pPr>
              <w:spacing w:after="0"/>
              <w:rPr>
                <w:sz w:val="1"/>
                <w:szCs w:val="1"/>
                <w:color w:val="auto"/>
              </w:rPr>
            </w:pPr>
          </w:p>
        </w:tc>
      </w:tr>
      <w:tr>
        <w:trPr>
          <w:trHeight w:val="216"/>
        </w:trPr>
        <w:tc>
          <w:tcPr>
            <w:tcW w:w="4260" w:type="dxa"/>
            <w:vAlign w:val="bottom"/>
            <w:shd w:val="clear" w:color="auto" w:fill="E8F0F8"/>
          </w:tcPr>
          <w:p>
            <w:pPr>
              <w:ind w:left="380"/>
              <w:spacing w:after="0"/>
              <w:rPr>
                <w:sz w:val="20"/>
                <w:szCs w:val="20"/>
                <w:color w:val="auto"/>
              </w:rPr>
            </w:pPr>
            <w:r>
              <w:rPr>
                <w:rFonts w:ascii="Arial" w:cs="Arial" w:eastAsia="Arial" w:hAnsi="Arial"/>
                <w:sz w:val="15"/>
                <w:szCs w:val="15"/>
                <w:color w:val="auto"/>
              </w:rPr>
              <w:t>Performance-based RSUs</w:t>
            </w:r>
          </w:p>
        </w:tc>
        <w:tc>
          <w:tcPr>
            <w:tcW w:w="380" w:type="dxa"/>
            <w:vAlign w:val="bottom"/>
            <w:shd w:val="clear" w:color="auto" w:fill="E8F0F8"/>
          </w:tcPr>
          <w:p>
            <w:pPr>
              <w:spacing w:after="0"/>
              <w:rPr>
                <w:sz w:val="18"/>
                <w:szCs w:val="18"/>
                <w:color w:val="auto"/>
              </w:rPr>
            </w:pPr>
          </w:p>
        </w:tc>
        <w:tc>
          <w:tcPr>
            <w:tcW w:w="500" w:type="dxa"/>
            <w:vAlign w:val="bottom"/>
            <w:shd w:val="clear" w:color="auto" w:fill="E8F0F8"/>
          </w:tcPr>
          <w:p>
            <w:pPr>
              <w:spacing w:after="0"/>
              <w:rPr>
                <w:sz w:val="18"/>
                <w:szCs w:val="18"/>
                <w:color w:val="auto"/>
              </w:rPr>
            </w:pPr>
          </w:p>
        </w:tc>
        <w:tc>
          <w:tcPr>
            <w:tcW w:w="1080" w:type="dxa"/>
            <w:vAlign w:val="bottom"/>
            <w:shd w:val="clear" w:color="auto" w:fill="E8F0F8"/>
          </w:tcPr>
          <w:p>
            <w:pPr>
              <w:jc w:val="right"/>
              <w:ind w:right="584"/>
              <w:spacing w:after="0"/>
              <w:rPr>
                <w:sz w:val="20"/>
                <w:szCs w:val="20"/>
                <w:color w:val="auto"/>
              </w:rPr>
            </w:pPr>
            <w:r>
              <w:rPr>
                <w:rFonts w:ascii="Arial" w:cs="Arial" w:eastAsia="Arial" w:hAnsi="Arial"/>
                <w:sz w:val="15"/>
                <w:szCs w:val="15"/>
                <w:color w:val="auto"/>
              </w:rPr>
              <w:t>—</w:t>
            </w:r>
          </w:p>
        </w:tc>
        <w:tc>
          <w:tcPr>
            <w:tcW w:w="1040" w:type="dxa"/>
            <w:vAlign w:val="bottom"/>
            <w:shd w:val="clear" w:color="auto" w:fill="E8F0F8"/>
          </w:tcPr>
          <w:p>
            <w:pPr>
              <w:spacing w:after="0"/>
              <w:rPr>
                <w:sz w:val="18"/>
                <w:szCs w:val="18"/>
                <w:color w:val="auto"/>
              </w:rPr>
            </w:pPr>
          </w:p>
        </w:tc>
        <w:tc>
          <w:tcPr>
            <w:tcW w:w="1480" w:type="dxa"/>
            <w:vAlign w:val="bottom"/>
            <w:shd w:val="clear" w:color="auto" w:fill="E8F0F8"/>
          </w:tcPr>
          <w:p>
            <w:pPr>
              <w:jc w:val="right"/>
              <w:ind w:right="704"/>
              <w:spacing w:after="0"/>
              <w:rPr>
                <w:sz w:val="20"/>
                <w:szCs w:val="20"/>
                <w:color w:val="auto"/>
              </w:rPr>
            </w:pPr>
            <w:r>
              <w:rPr>
                <w:rFonts w:ascii="Arial" w:cs="Arial" w:eastAsia="Arial" w:hAnsi="Arial"/>
                <w:sz w:val="15"/>
                <w:szCs w:val="15"/>
                <w:color w:val="auto"/>
              </w:rPr>
              <w:t>—</w:t>
            </w:r>
          </w:p>
        </w:tc>
        <w:tc>
          <w:tcPr>
            <w:tcW w:w="880" w:type="dxa"/>
            <w:vAlign w:val="bottom"/>
            <w:shd w:val="clear" w:color="auto" w:fill="E8F0F8"/>
          </w:tcPr>
          <w:p>
            <w:pPr>
              <w:ind w:left="80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E8F0F8"/>
          </w:tcPr>
          <w:p>
            <w:pPr>
              <w:jc w:val="right"/>
              <w:ind w:right="544"/>
              <w:spacing w:after="0"/>
              <w:rPr>
                <w:sz w:val="20"/>
                <w:szCs w:val="20"/>
                <w:color w:val="auto"/>
              </w:rPr>
            </w:pPr>
            <w:r>
              <w:rPr>
                <w:rFonts w:ascii="Arial" w:cs="Arial" w:eastAsia="Arial" w:hAnsi="Arial"/>
                <w:sz w:val="15"/>
                <w:szCs w:val="15"/>
                <w:color w:val="auto"/>
              </w:rPr>
              <w:t>7,240,328</w:t>
            </w:r>
          </w:p>
        </w:tc>
        <w:tc>
          <w:tcPr>
            <w:tcW w:w="0" w:type="dxa"/>
            <w:vAlign w:val="bottom"/>
          </w:tcPr>
          <w:p>
            <w:pPr>
              <w:spacing w:after="0"/>
              <w:rPr>
                <w:sz w:val="1"/>
                <w:szCs w:val="1"/>
                <w:color w:val="auto"/>
              </w:rPr>
            </w:pPr>
          </w:p>
        </w:tc>
      </w:tr>
      <w:tr>
        <w:trPr>
          <w:trHeight w:val="216"/>
        </w:trPr>
        <w:tc>
          <w:tcPr>
            <w:tcW w:w="4260" w:type="dxa"/>
            <w:vAlign w:val="bottom"/>
            <w:shd w:val="clear" w:color="auto" w:fill="E8F0F8"/>
          </w:tcPr>
          <w:p>
            <w:pPr>
              <w:ind w:left="380"/>
              <w:spacing w:after="0"/>
              <w:rPr>
                <w:sz w:val="20"/>
                <w:szCs w:val="20"/>
                <w:color w:val="auto"/>
              </w:rPr>
            </w:pPr>
            <w:r>
              <w:rPr>
                <w:rFonts w:ascii="Arial" w:cs="Arial" w:eastAsia="Arial" w:hAnsi="Arial"/>
                <w:sz w:val="15"/>
                <w:szCs w:val="15"/>
                <w:color w:val="auto"/>
              </w:rPr>
              <w:t>Time-based RSUs</w:t>
            </w:r>
          </w:p>
        </w:tc>
        <w:tc>
          <w:tcPr>
            <w:tcW w:w="380" w:type="dxa"/>
            <w:vAlign w:val="bottom"/>
            <w:shd w:val="clear" w:color="auto" w:fill="E8F0F8"/>
          </w:tcPr>
          <w:p>
            <w:pPr>
              <w:spacing w:after="0"/>
              <w:rPr>
                <w:sz w:val="18"/>
                <w:szCs w:val="18"/>
                <w:color w:val="auto"/>
              </w:rPr>
            </w:pPr>
          </w:p>
        </w:tc>
        <w:tc>
          <w:tcPr>
            <w:tcW w:w="500" w:type="dxa"/>
            <w:vAlign w:val="bottom"/>
            <w:shd w:val="clear" w:color="auto" w:fill="E8F0F8"/>
          </w:tcPr>
          <w:p>
            <w:pPr>
              <w:spacing w:after="0"/>
              <w:rPr>
                <w:sz w:val="18"/>
                <w:szCs w:val="18"/>
                <w:color w:val="auto"/>
              </w:rPr>
            </w:pPr>
          </w:p>
        </w:tc>
        <w:tc>
          <w:tcPr>
            <w:tcW w:w="1080" w:type="dxa"/>
            <w:vAlign w:val="bottom"/>
            <w:shd w:val="clear" w:color="auto" w:fill="E8F0F8"/>
          </w:tcPr>
          <w:p>
            <w:pPr>
              <w:jc w:val="right"/>
              <w:ind w:right="584"/>
              <w:spacing w:after="0"/>
              <w:rPr>
                <w:sz w:val="20"/>
                <w:szCs w:val="20"/>
                <w:color w:val="auto"/>
              </w:rPr>
            </w:pPr>
            <w:r>
              <w:rPr>
                <w:rFonts w:ascii="Arial" w:cs="Arial" w:eastAsia="Arial" w:hAnsi="Arial"/>
                <w:sz w:val="15"/>
                <w:szCs w:val="15"/>
                <w:color w:val="auto"/>
              </w:rPr>
              <w:t>—</w:t>
            </w:r>
          </w:p>
        </w:tc>
        <w:tc>
          <w:tcPr>
            <w:tcW w:w="1040" w:type="dxa"/>
            <w:vAlign w:val="bottom"/>
            <w:shd w:val="clear" w:color="auto" w:fill="E8F0F8"/>
          </w:tcPr>
          <w:p>
            <w:pPr>
              <w:spacing w:after="0"/>
              <w:rPr>
                <w:sz w:val="18"/>
                <w:szCs w:val="18"/>
                <w:color w:val="auto"/>
              </w:rPr>
            </w:pPr>
          </w:p>
        </w:tc>
        <w:tc>
          <w:tcPr>
            <w:tcW w:w="1480" w:type="dxa"/>
            <w:vAlign w:val="bottom"/>
            <w:shd w:val="clear" w:color="auto" w:fill="E8F0F8"/>
          </w:tcPr>
          <w:p>
            <w:pPr>
              <w:jc w:val="right"/>
              <w:ind w:right="704"/>
              <w:spacing w:after="0"/>
              <w:rPr>
                <w:sz w:val="20"/>
                <w:szCs w:val="20"/>
                <w:color w:val="auto"/>
              </w:rPr>
            </w:pPr>
            <w:r>
              <w:rPr>
                <w:rFonts w:ascii="Arial" w:cs="Arial" w:eastAsia="Arial" w:hAnsi="Arial"/>
                <w:sz w:val="15"/>
                <w:szCs w:val="15"/>
                <w:color w:val="auto"/>
              </w:rPr>
              <w:t>—</w:t>
            </w:r>
          </w:p>
        </w:tc>
        <w:tc>
          <w:tcPr>
            <w:tcW w:w="880" w:type="dxa"/>
            <w:vAlign w:val="bottom"/>
            <w:shd w:val="clear" w:color="auto" w:fill="E8F0F8"/>
          </w:tcPr>
          <w:p>
            <w:pPr>
              <w:ind w:left="80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E8F0F8"/>
          </w:tcPr>
          <w:p>
            <w:pPr>
              <w:jc w:val="right"/>
              <w:ind w:right="544"/>
              <w:spacing w:after="0"/>
              <w:rPr>
                <w:sz w:val="20"/>
                <w:szCs w:val="20"/>
                <w:color w:val="auto"/>
              </w:rPr>
            </w:pPr>
            <w:r>
              <w:rPr>
                <w:rFonts w:ascii="Arial" w:cs="Arial" w:eastAsia="Arial" w:hAnsi="Arial"/>
                <w:sz w:val="15"/>
                <w:szCs w:val="15"/>
                <w:color w:val="auto"/>
              </w:rPr>
              <w:t>1,736,609</w:t>
            </w:r>
          </w:p>
        </w:tc>
        <w:tc>
          <w:tcPr>
            <w:tcW w:w="0" w:type="dxa"/>
            <w:vAlign w:val="bottom"/>
          </w:tcPr>
          <w:p>
            <w:pPr>
              <w:spacing w:after="0"/>
              <w:rPr>
                <w:sz w:val="1"/>
                <w:szCs w:val="1"/>
                <w:color w:val="auto"/>
              </w:rPr>
            </w:pPr>
          </w:p>
        </w:tc>
      </w:tr>
      <w:tr>
        <w:trPr>
          <w:trHeight w:val="216"/>
        </w:trPr>
        <w:tc>
          <w:tcPr>
            <w:tcW w:w="4260" w:type="dxa"/>
            <w:vAlign w:val="bottom"/>
            <w:shd w:val="clear" w:color="auto" w:fill="E8F0F8"/>
          </w:tcPr>
          <w:p>
            <w:pPr>
              <w:ind w:left="380"/>
              <w:spacing w:after="0"/>
              <w:rPr>
                <w:sz w:val="20"/>
                <w:szCs w:val="20"/>
                <w:color w:val="auto"/>
              </w:rPr>
            </w:pPr>
            <w:r>
              <w:rPr>
                <w:rFonts w:ascii="Arial" w:cs="Arial" w:eastAsia="Arial" w:hAnsi="Arial"/>
                <w:sz w:val="15"/>
                <w:szCs w:val="15"/>
                <w:color w:val="auto"/>
              </w:rPr>
              <w:t>Medical, Dental and Vision</w:t>
            </w:r>
          </w:p>
        </w:tc>
        <w:tc>
          <w:tcPr>
            <w:tcW w:w="380" w:type="dxa"/>
            <w:vAlign w:val="bottom"/>
            <w:shd w:val="clear" w:color="auto" w:fill="E8F0F8"/>
          </w:tcPr>
          <w:p>
            <w:pPr>
              <w:spacing w:after="0"/>
              <w:rPr>
                <w:sz w:val="18"/>
                <w:szCs w:val="18"/>
                <w:color w:val="auto"/>
              </w:rPr>
            </w:pPr>
          </w:p>
        </w:tc>
        <w:tc>
          <w:tcPr>
            <w:tcW w:w="500" w:type="dxa"/>
            <w:vAlign w:val="bottom"/>
            <w:shd w:val="clear" w:color="auto" w:fill="E8F0F8"/>
          </w:tcPr>
          <w:p>
            <w:pPr>
              <w:spacing w:after="0"/>
              <w:rPr>
                <w:sz w:val="18"/>
                <w:szCs w:val="18"/>
                <w:color w:val="auto"/>
              </w:rPr>
            </w:pPr>
          </w:p>
        </w:tc>
        <w:tc>
          <w:tcPr>
            <w:tcW w:w="1080" w:type="dxa"/>
            <w:vAlign w:val="bottom"/>
            <w:shd w:val="clear" w:color="auto" w:fill="E8F0F8"/>
          </w:tcPr>
          <w:p>
            <w:pPr>
              <w:jc w:val="right"/>
              <w:ind w:right="584"/>
              <w:spacing w:after="0"/>
              <w:rPr>
                <w:sz w:val="20"/>
                <w:szCs w:val="20"/>
                <w:color w:val="auto"/>
              </w:rPr>
            </w:pPr>
            <w:r>
              <w:rPr>
                <w:rFonts w:ascii="Arial" w:cs="Arial" w:eastAsia="Arial" w:hAnsi="Arial"/>
                <w:sz w:val="15"/>
                <w:szCs w:val="15"/>
                <w:color w:val="auto"/>
              </w:rPr>
              <w:t>—</w:t>
            </w:r>
          </w:p>
        </w:tc>
        <w:tc>
          <w:tcPr>
            <w:tcW w:w="1040" w:type="dxa"/>
            <w:vAlign w:val="bottom"/>
            <w:shd w:val="clear" w:color="auto" w:fill="E8F0F8"/>
          </w:tcPr>
          <w:p>
            <w:pPr>
              <w:ind w:left="940"/>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E8F0F8"/>
          </w:tcPr>
          <w:p>
            <w:pPr>
              <w:jc w:val="right"/>
              <w:ind w:right="704"/>
              <w:spacing w:after="0"/>
              <w:rPr>
                <w:sz w:val="20"/>
                <w:szCs w:val="20"/>
                <w:color w:val="auto"/>
              </w:rPr>
            </w:pPr>
            <w:r>
              <w:rPr>
                <w:rFonts w:ascii="Arial" w:cs="Arial" w:eastAsia="Arial" w:hAnsi="Arial"/>
                <w:sz w:val="15"/>
                <w:szCs w:val="15"/>
                <w:color w:val="auto"/>
              </w:rPr>
              <w:t>25,574</w:t>
            </w:r>
          </w:p>
        </w:tc>
        <w:tc>
          <w:tcPr>
            <w:tcW w:w="880" w:type="dxa"/>
            <w:vAlign w:val="bottom"/>
            <w:shd w:val="clear" w:color="auto" w:fill="E8F0F8"/>
          </w:tcPr>
          <w:p>
            <w:pPr>
              <w:ind w:left="80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E8F0F8"/>
          </w:tcPr>
          <w:p>
            <w:pPr>
              <w:jc w:val="right"/>
              <w:ind w:right="544"/>
              <w:spacing w:after="0"/>
              <w:rPr>
                <w:sz w:val="20"/>
                <w:szCs w:val="20"/>
                <w:color w:val="auto"/>
              </w:rPr>
            </w:pPr>
            <w:r>
              <w:rPr>
                <w:rFonts w:ascii="Arial" w:cs="Arial" w:eastAsia="Arial" w:hAnsi="Arial"/>
                <w:sz w:val="15"/>
                <w:szCs w:val="15"/>
                <w:color w:val="auto"/>
              </w:rPr>
              <w:t>38,361</w:t>
            </w:r>
          </w:p>
        </w:tc>
        <w:tc>
          <w:tcPr>
            <w:tcW w:w="0" w:type="dxa"/>
            <w:vAlign w:val="bottom"/>
          </w:tcPr>
          <w:p>
            <w:pPr>
              <w:spacing w:after="0"/>
              <w:rPr>
                <w:sz w:val="1"/>
                <w:szCs w:val="1"/>
                <w:color w:val="auto"/>
              </w:rPr>
            </w:pPr>
          </w:p>
        </w:tc>
      </w:tr>
      <w:tr>
        <w:trPr>
          <w:trHeight w:val="224"/>
        </w:trPr>
        <w:tc>
          <w:tcPr>
            <w:tcW w:w="4260" w:type="dxa"/>
            <w:vAlign w:val="bottom"/>
            <w:shd w:val="clear" w:color="auto" w:fill="E8F0F8"/>
          </w:tcPr>
          <w:p>
            <w:pPr>
              <w:ind w:left="420"/>
              <w:spacing w:after="0" w:line="224" w:lineRule="exact"/>
              <w:rPr>
                <w:sz w:val="20"/>
                <w:szCs w:val="20"/>
                <w:color w:val="auto"/>
              </w:rPr>
            </w:pPr>
            <w:r>
              <w:rPr>
                <w:rFonts w:ascii="Arial" w:cs="Arial" w:eastAsia="Arial" w:hAnsi="Arial"/>
                <w:sz w:val="15"/>
                <w:szCs w:val="15"/>
                <w:color w:val="auto"/>
              </w:rPr>
              <w:t>Outplacement</w:t>
            </w:r>
            <w:r>
              <w:rPr>
                <w:rFonts w:ascii="Arial" w:cs="Arial" w:eastAsia="Arial" w:hAnsi="Arial"/>
                <w:sz w:val="25"/>
                <w:szCs w:val="25"/>
                <w:color w:val="auto"/>
                <w:vertAlign w:val="superscript"/>
              </w:rPr>
              <w:t>(5)</w:t>
            </w:r>
          </w:p>
        </w:tc>
        <w:tc>
          <w:tcPr>
            <w:tcW w:w="380" w:type="dxa"/>
            <w:vAlign w:val="bottom"/>
            <w:shd w:val="clear" w:color="auto" w:fill="E8F0F8"/>
          </w:tcPr>
          <w:p>
            <w:pPr>
              <w:spacing w:after="0"/>
              <w:rPr>
                <w:sz w:val="19"/>
                <w:szCs w:val="19"/>
                <w:color w:val="auto"/>
              </w:rPr>
            </w:pPr>
          </w:p>
        </w:tc>
        <w:tc>
          <w:tcPr>
            <w:tcW w:w="500" w:type="dxa"/>
            <w:vAlign w:val="bottom"/>
            <w:shd w:val="clear" w:color="auto" w:fill="E8F0F8"/>
          </w:tcPr>
          <w:p>
            <w:pPr>
              <w:spacing w:after="0"/>
              <w:rPr>
                <w:sz w:val="19"/>
                <w:szCs w:val="19"/>
                <w:color w:val="auto"/>
              </w:rPr>
            </w:pPr>
          </w:p>
        </w:tc>
        <w:tc>
          <w:tcPr>
            <w:tcW w:w="1080" w:type="dxa"/>
            <w:vAlign w:val="bottom"/>
            <w:shd w:val="clear" w:color="auto" w:fill="E8F0F8"/>
          </w:tcPr>
          <w:p>
            <w:pPr>
              <w:jc w:val="right"/>
              <w:ind w:right="584"/>
              <w:spacing w:after="0"/>
              <w:rPr>
                <w:sz w:val="20"/>
                <w:szCs w:val="20"/>
                <w:color w:val="auto"/>
              </w:rPr>
            </w:pPr>
            <w:r>
              <w:rPr>
                <w:rFonts w:ascii="Arial" w:cs="Arial" w:eastAsia="Arial" w:hAnsi="Arial"/>
                <w:sz w:val="15"/>
                <w:szCs w:val="15"/>
                <w:color w:val="auto"/>
              </w:rPr>
              <w:t>—</w:t>
            </w:r>
          </w:p>
        </w:tc>
        <w:tc>
          <w:tcPr>
            <w:tcW w:w="1040" w:type="dxa"/>
            <w:vAlign w:val="bottom"/>
            <w:shd w:val="clear" w:color="auto" w:fill="E8F0F8"/>
          </w:tcPr>
          <w:p>
            <w:pPr>
              <w:ind w:left="940"/>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E8F0F8"/>
          </w:tcPr>
          <w:p>
            <w:pPr>
              <w:jc w:val="right"/>
              <w:ind w:right="704"/>
              <w:spacing w:after="0"/>
              <w:rPr>
                <w:sz w:val="20"/>
                <w:szCs w:val="20"/>
                <w:color w:val="auto"/>
              </w:rPr>
            </w:pPr>
            <w:r>
              <w:rPr>
                <w:rFonts w:ascii="Arial" w:cs="Arial" w:eastAsia="Arial" w:hAnsi="Arial"/>
                <w:sz w:val="15"/>
                <w:szCs w:val="15"/>
                <w:color w:val="auto"/>
              </w:rPr>
              <w:t>32,000</w:t>
            </w:r>
          </w:p>
        </w:tc>
        <w:tc>
          <w:tcPr>
            <w:tcW w:w="880" w:type="dxa"/>
            <w:vAlign w:val="bottom"/>
            <w:shd w:val="clear" w:color="auto" w:fill="E8F0F8"/>
          </w:tcPr>
          <w:p>
            <w:pPr>
              <w:ind w:left="80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E8F0F8"/>
          </w:tcPr>
          <w:p>
            <w:pPr>
              <w:jc w:val="right"/>
              <w:ind w:right="544"/>
              <w:spacing w:after="0"/>
              <w:rPr>
                <w:sz w:val="20"/>
                <w:szCs w:val="20"/>
                <w:color w:val="auto"/>
              </w:rPr>
            </w:pPr>
            <w:r>
              <w:rPr>
                <w:rFonts w:ascii="Arial" w:cs="Arial" w:eastAsia="Arial" w:hAnsi="Arial"/>
                <w:sz w:val="15"/>
                <w:szCs w:val="15"/>
                <w:color w:val="auto"/>
              </w:rPr>
              <w:t>32,000</w:t>
            </w:r>
          </w:p>
        </w:tc>
        <w:tc>
          <w:tcPr>
            <w:tcW w:w="0" w:type="dxa"/>
            <w:vAlign w:val="bottom"/>
          </w:tcPr>
          <w:p>
            <w:pPr>
              <w:spacing w:after="0"/>
              <w:rPr>
                <w:sz w:val="1"/>
                <w:szCs w:val="1"/>
                <w:color w:val="auto"/>
              </w:rPr>
            </w:pPr>
          </w:p>
        </w:tc>
      </w:tr>
      <w:tr>
        <w:trPr>
          <w:trHeight w:val="212"/>
        </w:trPr>
        <w:tc>
          <w:tcPr>
            <w:tcW w:w="4260" w:type="dxa"/>
            <w:vAlign w:val="bottom"/>
            <w:tcBorders>
              <w:bottom w:val="single" w:sz="8" w:color="auto"/>
            </w:tcBorders>
            <w:shd w:val="clear" w:color="auto" w:fill="E8F0F8"/>
          </w:tcPr>
          <w:p>
            <w:pPr>
              <w:ind w:left="380"/>
              <w:spacing w:after="0"/>
              <w:rPr>
                <w:sz w:val="20"/>
                <w:szCs w:val="20"/>
                <w:color w:val="auto"/>
              </w:rPr>
            </w:pPr>
            <w:r>
              <w:rPr>
                <w:rFonts w:ascii="Arial" w:cs="Arial" w:eastAsia="Arial" w:hAnsi="Arial"/>
                <w:sz w:val="15"/>
                <w:szCs w:val="15"/>
                <w:b w:val="1"/>
                <w:bCs w:val="1"/>
                <w:color w:val="auto"/>
              </w:rPr>
              <w:t>Total</w:t>
            </w:r>
          </w:p>
        </w:tc>
        <w:tc>
          <w:tcPr>
            <w:tcW w:w="380" w:type="dxa"/>
            <w:vAlign w:val="bottom"/>
            <w:tcBorders>
              <w:bottom w:val="single" w:sz="8" w:color="auto"/>
            </w:tcBorders>
            <w:shd w:val="clear" w:color="auto" w:fill="E8F0F8"/>
          </w:tcPr>
          <w:p>
            <w:pPr>
              <w:spacing w:after="0"/>
              <w:rPr>
                <w:sz w:val="18"/>
                <w:szCs w:val="18"/>
                <w:color w:val="auto"/>
              </w:rPr>
            </w:pPr>
          </w:p>
        </w:tc>
        <w:tc>
          <w:tcPr>
            <w:tcW w:w="500" w:type="dxa"/>
            <w:vAlign w:val="bottom"/>
            <w:tcBorders>
              <w:bottom w:val="single" w:sz="8" w:color="auto"/>
            </w:tcBorders>
            <w:shd w:val="clear" w:color="auto" w:fill="E8F0F8"/>
          </w:tcPr>
          <w:p>
            <w:pPr>
              <w:spacing w:after="0"/>
              <w:rPr>
                <w:sz w:val="18"/>
                <w:szCs w:val="18"/>
                <w:color w:val="auto"/>
              </w:rPr>
            </w:pPr>
          </w:p>
        </w:tc>
        <w:tc>
          <w:tcPr>
            <w:tcW w:w="1080" w:type="dxa"/>
            <w:vAlign w:val="bottom"/>
            <w:tcBorders>
              <w:bottom w:val="single" w:sz="8" w:color="auto"/>
            </w:tcBorders>
            <w:shd w:val="clear" w:color="auto" w:fill="E8F0F8"/>
          </w:tcPr>
          <w:p>
            <w:pPr>
              <w:jc w:val="right"/>
              <w:ind w:right="584"/>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shd w:val="clear" w:color="auto" w:fill="E8F0F8"/>
          </w:tcPr>
          <w:p>
            <w:pPr>
              <w:ind w:left="940"/>
              <w:spacing w:after="0"/>
              <w:rPr>
                <w:sz w:val="20"/>
                <w:szCs w:val="20"/>
                <w:color w:val="auto"/>
              </w:rPr>
            </w:pPr>
            <w:r>
              <w:rPr>
                <w:rFonts w:ascii="Arial" w:cs="Arial" w:eastAsia="Arial" w:hAnsi="Arial"/>
                <w:sz w:val="15"/>
                <w:szCs w:val="15"/>
                <w:b w:val="1"/>
                <w:bCs w:val="1"/>
                <w:color w:val="auto"/>
                <w:w w:val="95"/>
              </w:rPr>
              <w:t>$</w:t>
            </w:r>
          </w:p>
        </w:tc>
        <w:tc>
          <w:tcPr>
            <w:tcW w:w="1480" w:type="dxa"/>
            <w:vAlign w:val="bottom"/>
            <w:tcBorders>
              <w:bottom w:val="single" w:sz="8" w:color="auto"/>
            </w:tcBorders>
            <w:shd w:val="clear" w:color="auto" w:fill="E8F0F8"/>
          </w:tcPr>
          <w:p>
            <w:pPr>
              <w:jc w:val="right"/>
              <w:ind w:right="704"/>
              <w:spacing w:after="0"/>
              <w:rPr>
                <w:sz w:val="20"/>
                <w:szCs w:val="20"/>
                <w:color w:val="auto"/>
              </w:rPr>
            </w:pPr>
            <w:r>
              <w:rPr>
                <w:rFonts w:ascii="Arial" w:cs="Arial" w:eastAsia="Arial" w:hAnsi="Arial"/>
                <w:sz w:val="15"/>
                <w:szCs w:val="15"/>
                <w:b w:val="1"/>
                <w:bCs w:val="1"/>
                <w:color w:val="auto"/>
              </w:rPr>
              <w:t>1,948,187</w:t>
            </w:r>
          </w:p>
        </w:tc>
        <w:tc>
          <w:tcPr>
            <w:tcW w:w="880" w:type="dxa"/>
            <w:vAlign w:val="bottom"/>
            <w:tcBorders>
              <w:bottom w:val="single" w:sz="8" w:color="auto"/>
            </w:tcBorders>
            <w:shd w:val="clear" w:color="auto" w:fill="E8F0F8"/>
          </w:tcPr>
          <w:p>
            <w:pPr>
              <w:ind w:left="800"/>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bottom w:val="single" w:sz="8" w:color="auto"/>
            </w:tcBorders>
            <w:shd w:val="clear" w:color="auto" w:fill="E8F0F8"/>
          </w:tcPr>
          <w:p>
            <w:pPr>
              <w:jc w:val="right"/>
              <w:ind w:right="544"/>
              <w:spacing w:after="0"/>
              <w:rPr>
                <w:sz w:val="20"/>
                <w:szCs w:val="20"/>
                <w:color w:val="auto"/>
              </w:rPr>
            </w:pPr>
            <w:r>
              <w:rPr>
                <w:rFonts w:ascii="Arial" w:cs="Arial" w:eastAsia="Arial" w:hAnsi="Arial"/>
                <w:sz w:val="15"/>
                <w:szCs w:val="15"/>
                <w:b w:val="1"/>
                <w:bCs w:val="1"/>
                <w:color w:val="auto"/>
              </w:rPr>
              <w:t>11,883,218</w:t>
            </w:r>
          </w:p>
        </w:tc>
        <w:tc>
          <w:tcPr>
            <w:tcW w:w="0" w:type="dxa"/>
            <w:vAlign w:val="bottom"/>
          </w:tcPr>
          <w:p>
            <w:pPr>
              <w:spacing w:after="0"/>
              <w:rPr>
                <w:sz w:val="1"/>
                <w:szCs w:val="1"/>
                <w:color w:val="auto"/>
              </w:rPr>
            </w:pPr>
          </w:p>
        </w:tc>
      </w:tr>
      <w:tr>
        <w:trPr>
          <w:trHeight w:val="212"/>
        </w:trPr>
        <w:tc>
          <w:tcPr>
            <w:tcW w:w="4260" w:type="dxa"/>
            <w:vAlign w:val="bottom"/>
            <w:shd w:val="clear" w:color="auto" w:fill="BAD3EA"/>
          </w:tcPr>
          <w:p>
            <w:pPr>
              <w:ind w:left="80"/>
              <w:spacing w:after="0"/>
              <w:rPr>
                <w:sz w:val="20"/>
                <w:szCs w:val="20"/>
                <w:color w:val="auto"/>
              </w:rPr>
            </w:pPr>
            <w:r>
              <w:rPr>
                <w:rFonts w:ascii="Arial" w:cs="Arial" w:eastAsia="Arial" w:hAnsi="Arial"/>
                <w:sz w:val="16"/>
                <w:szCs w:val="16"/>
                <w:b w:val="1"/>
                <w:bCs w:val="1"/>
                <w:color w:val="auto"/>
              </w:rPr>
              <w:t>Susan H. Alexander</w:t>
            </w:r>
          </w:p>
        </w:tc>
        <w:tc>
          <w:tcPr>
            <w:tcW w:w="380" w:type="dxa"/>
            <w:vAlign w:val="bottom"/>
            <w:shd w:val="clear" w:color="auto" w:fill="BAD3EA"/>
          </w:tcPr>
          <w:p>
            <w:pPr>
              <w:spacing w:after="0"/>
              <w:rPr>
                <w:sz w:val="18"/>
                <w:szCs w:val="18"/>
                <w:color w:val="auto"/>
              </w:rPr>
            </w:pPr>
          </w:p>
        </w:tc>
        <w:tc>
          <w:tcPr>
            <w:tcW w:w="500" w:type="dxa"/>
            <w:vAlign w:val="bottom"/>
            <w:shd w:val="clear" w:color="auto" w:fill="BAD3EA"/>
          </w:tcPr>
          <w:p>
            <w:pPr>
              <w:spacing w:after="0"/>
              <w:rPr>
                <w:sz w:val="18"/>
                <w:szCs w:val="18"/>
                <w:color w:val="auto"/>
              </w:rPr>
            </w:pPr>
          </w:p>
        </w:tc>
        <w:tc>
          <w:tcPr>
            <w:tcW w:w="1080" w:type="dxa"/>
            <w:vAlign w:val="bottom"/>
            <w:shd w:val="clear" w:color="auto" w:fill="BAD3EA"/>
          </w:tcPr>
          <w:p>
            <w:pPr>
              <w:spacing w:after="0"/>
              <w:rPr>
                <w:sz w:val="18"/>
                <w:szCs w:val="18"/>
                <w:color w:val="auto"/>
              </w:rPr>
            </w:pPr>
          </w:p>
        </w:tc>
        <w:tc>
          <w:tcPr>
            <w:tcW w:w="1040" w:type="dxa"/>
            <w:vAlign w:val="bottom"/>
            <w:shd w:val="clear" w:color="auto" w:fill="BAD3EA"/>
          </w:tcPr>
          <w:p>
            <w:pPr>
              <w:spacing w:after="0"/>
              <w:rPr>
                <w:sz w:val="18"/>
                <w:szCs w:val="18"/>
                <w:color w:val="auto"/>
              </w:rPr>
            </w:pPr>
          </w:p>
        </w:tc>
        <w:tc>
          <w:tcPr>
            <w:tcW w:w="1480" w:type="dxa"/>
            <w:vAlign w:val="bottom"/>
            <w:shd w:val="clear" w:color="auto" w:fill="BAD3EA"/>
          </w:tcPr>
          <w:p>
            <w:pPr>
              <w:spacing w:after="0"/>
              <w:rPr>
                <w:sz w:val="18"/>
                <w:szCs w:val="18"/>
                <w:color w:val="auto"/>
              </w:rPr>
            </w:pPr>
          </w:p>
        </w:tc>
        <w:tc>
          <w:tcPr>
            <w:tcW w:w="880" w:type="dxa"/>
            <w:vAlign w:val="bottom"/>
            <w:shd w:val="clear" w:color="auto" w:fill="BAD3EA"/>
          </w:tcPr>
          <w:p>
            <w:pPr>
              <w:spacing w:after="0"/>
              <w:rPr>
                <w:sz w:val="18"/>
                <w:szCs w:val="18"/>
                <w:color w:val="auto"/>
              </w:rPr>
            </w:pPr>
          </w:p>
        </w:tc>
        <w:tc>
          <w:tcPr>
            <w:tcW w:w="1400" w:type="dxa"/>
            <w:vAlign w:val="bottom"/>
            <w:shd w:val="clear" w:color="auto" w:fill="BAD3EA"/>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shd w:val="clear" w:color="auto" w:fill="BAD3EA"/>
          </w:tcPr>
          <w:p>
            <w:pPr>
              <w:ind w:left="380"/>
              <w:spacing w:after="0"/>
              <w:rPr>
                <w:sz w:val="20"/>
                <w:szCs w:val="20"/>
                <w:color w:val="auto"/>
              </w:rPr>
            </w:pPr>
            <w:r>
              <w:rPr>
                <w:rFonts w:ascii="Arial" w:cs="Arial" w:eastAsia="Arial" w:hAnsi="Arial"/>
                <w:sz w:val="15"/>
                <w:szCs w:val="15"/>
                <w:color w:val="auto"/>
              </w:rPr>
              <w:t>Severance</w:t>
            </w:r>
          </w:p>
        </w:tc>
        <w:tc>
          <w:tcPr>
            <w:tcW w:w="380" w:type="dxa"/>
            <w:vAlign w:val="bottom"/>
            <w:shd w:val="clear" w:color="auto" w:fill="BAD3EA"/>
          </w:tcPr>
          <w:p>
            <w:pPr>
              <w:spacing w:after="0"/>
              <w:rPr>
                <w:sz w:val="18"/>
                <w:szCs w:val="18"/>
                <w:color w:val="auto"/>
              </w:rPr>
            </w:pPr>
          </w:p>
        </w:tc>
        <w:tc>
          <w:tcPr>
            <w:tcW w:w="500" w:type="dxa"/>
            <w:vAlign w:val="bottom"/>
            <w:shd w:val="clear" w:color="auto" w:fill="BAD3EA"/>
          </w:tcPr>
          <w:p>
            <w:pPr>
              <w:spacing w:after="0"/>
              <w:rPr>
                <w:sz w:val="18"/>
                <w:szCs w:val="18"/>
                <w:color w:val="auto"/>
              </w:rPr>
            </w:pPr>
          </w:p>
        </w:tc>
        <w:tc>
          <w:tcPr>
            <w:tcW w:w="1080" w:type="dxa"/>
            <w:vAlign w:val="bottom"/>
            <w:shd w:val="clear" w:color="auto" w:fill="BAD3EA"/>
          </w:tcPr>
          <w:p>
            <w:pPr>
              <w:jc w:val="right"/>
              <w:ind w:right="584"/>
              <w:spacing w:after="0"/>
              <w:rPr>
                <w:sz w:val="20"/>
                <w:szCs w:val="20"/>
                <w:color w:val="auto"/>
              </w:rPr>
            </w:pPr>
            <w:r>
              <w:rPr>
                <w:rFonts w:ascii="Arial" w:cs="Arial" w:eastAsia="Arial" w:hAnsi="Arial"/>
                <w:sz w:val="15"/>
                <w:szCs w:val="15"/>
                <w:color w:val="auto"/>
              </w:rPr>
              <w:t>—</w:t>
            </w:r>
          </w:p>
        </w:tc>
        <w:tc>
          <w:tcPr>
            <w:tcW w:w="1040" w:type="dxa"/>
            <w:vAlign w:val="bottom"/>
            <w:shd w:val="clear" w:color="auto" w:fill="BAD3EA"/>
          </w:tcPr>
          <w:p>
            <w:pPr>
              <w:ind w:left="940"/>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BAD3EA"/>
          </w:tcPr>
          <w:p>
            <w:pPr>
              <w:jc w:val="right"/>
              <w:ind w:right="704"/>
              <w:spacing w:after="0"/>
              <w:rPr>
                <w:sz w:val="20"/>
                <w:szCs w:val="20"/>
                <w:color w:val="auto"/>
              </w:rPr>
            </w:pPr>
            <w:r>
              <w:rPr>
                <w:rFonts w:ascii="Arial" w:cs="Arial" w:eastAsia="Arial" w:hAnsi="Arial"/>
                <w:sz w:val="15"/>
                <w:szCs w:val="15"/>
                <w:color w:val="auto"/>
              </w:rPr>
              <w:t>2,228,802</w:t>
            </w:r>
          </w:p>
        </w:tc>
        <w:tc>
          <w:tcPr>
            <w:tcW w:w="880" w:type="dxa"/>
            <w:vAlign w:val="bottom"/>
            <w:shd w:val="clear" w:color="auto" w:fill="BAD3EA"/>
          </w:tcPr>
          <w:p>
            <w:pPr>
              <w:ind w:left="80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BAD3EA"/>
          </w:tcPr>
          <w:p>
            <w:pPr>
              <w:jc w:val="right"/>
              <w:ind w:right="544"/>
              <w:spacing w:after="0"/>
              <w:rPr>
                <w:sz w:val="20"/>
                <w:szCs w:val="20"/>
                <w:color w:val="auto"/>
              </w:rPr>
            </w:pPr>
            <w:r>
              <w:rPr>
                <w:rFonts w:ascii="Arial" w:cs="Arial" w:eastAsia="Arial" w:hAnsi="Arial"/>
                <w:sz w:val="15"/>
                <w:szCs w:val="15"/>
                <w:color w:val="auto"/>
              </w:rPr>
              <w:t>2,547,202</w:t>
            </w:r>
          </w:p>
        </w:tc>
        <w:tc>
          <w:tcPr>
            <w:tcW w:w="0" w:type="dxa"/>
            <w:vAlign w:val="bottom"/>
          </w:tcPr>
          <w:p>
            <w:pPr>
              <w:spacing w:after="0"/>
              <w:rPr>
                <w:sz w:val="1"/>
                <w:szCs w:val="1"/>
                <w:color w:val="auto"/>
              </w:rPr>
            </w:pPr>
          </w:p>
        </w:tc>
      </w:tr>
      <w:tr>
        <w:trPr>
          <w:trHeight w:val="216"/>
        </w:trPr>
        <w:tc>
          <w:tcPr>
            <w:tcW w:w="4260" w:type="dxa"/>
            <w:vAlign w:val="bottom"/>
            <w:shd w:val="clear" w:color="auto" w:fill="BAD3EA"/>
          </w:tcPr>
          <w:p>
            <w:pPr>
              <w:ind w:left="380"/>
              <w:spacing w:after="0"/>
              <w:rPr>
                <w:sz w:val="20"/>
                <w:szCs w:val="20"/>
                <w:color w:val="auto"/>
              </w:rPr>
            </w:pPr>
            <w:r>
              <w:rPr>
                <w:rFonts w:ascii="Arial" w:cs="Arial" w:eastAsia="Arial" w:hAnsi="Arial"/>
                <w:sz w:val="15"/>
                <w:szCs w:val="15"/>
                <w:color w:val="auto"/>
              </w:rPr>
              <w:t>Performance-based RSUs</w:t>
            </w:r>
          </w:p>
        </w:tc>
        <w:tc>
          <w:tcPr>
            <w:tcW w:w="380" w:type="dxa"/>
            <w:vAlign w:val="bottom"/>
            <w:shd w:val="clear" w:color="auto" w:fill="BAD3EA"/>
          </w:tcPr>
          <w:p>
            <w:pPr>
              <w:spacing w:after="0"/>
              <w:rPr>
                <w:sz w:val="18"/>
                <w:szCs w:val="18"/>
                <w:color w:val="auto"/>
              </w:rPr>
            </w:pPr>
          </w:p>
        </w:tc>
        <w:tc>
          <w:tcPr>
            <w:tcW w:w="500" w:type="dxa"/>
            <w:vAlign w:val="bottom"/>
            <w:shd w:val="clear" w:color="auto" w:fill="BAD3EA"/>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BAD3EA"/>
          </w:tcPr>
          <w:p>
            <w:pPr>
              <w:jc w:val="right"/>
              <w:ind w:right="324"/>
              <w:spacing w:after="0"/>
              <w:rPr>
                <w:sz w:val="20"/>
                <w:szCs w:val="20"/>
                <w:color w:val="auto"/>
              </w:rPr>
            </w:pPr>
            <w:r>
              <w:rPr>
                <w:rFonts w:ascii="Arial" w:cs="Arial" w:eastAsia="Arial" w:hAnsi="Arial"/>
                <w:sz w:val="15"/>
                <w:szCs w:val="15"/>
                <w:color w:val="auto"/>
                <w:w w:val="98"/>
              </w:rPr>
              <w:t>4,671,689</w:t>
            </w:r>
          </w:p>
        </w:tc>
        <w:tc>
          <w:tcPr>
            <w:tcW w:w="1040" w:type="dxa"/>
            <w:vAlign w:val="bottom"/>
            <w:shd w:val="clear" w:color="auto" w:fill="BAD3EA"/>
          </w:tcPr>
          <w:p>
            <w:pPr>
              <w:ind w:left="940"/>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BAD3EA"/>
          </w:tcPr>
          <w:p>
            <w:pPr>
              <w:jc w:val="right"/>
              <w:ind w:right="704"/>
              <w:spacing w:after="0"/>
              <w:rPr>
                <w:sz w:val="20"/>
                <w:szCs w:val="20"/>
                <w:color w:val="auto"/>
              </w:rPr>
            </w:pPr>
            <w:r>
              <w:rPr>
                <w:rFonts w:ascii="Arial" w:cs="Arial" w:eastAsia="Arial" w:hAnsi="Arial"/>
                <w:sz w:val="15"/>
                <w:szCs w:val="15"/>
                <w:color w:val="auto"/>
              </w:rPr>
              <w:t>4,671,689</w:t>
            </w:r>
          </w:p>
        </w:tc>
        <w:tc>
          <w:tcPr>
            <w:tcW w:w="880" w:type="dxa"/>
            <w:vAlign w:val="bottom"/>
            <w:shd w:val="clear" w:color="auto" w:fill="BAD3EA"/>
          </w:tcPr>
          <w:p>
            <w:pPr>
              <w:ind w:left="80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BAD3EA"/>
          </w:tcPr>
          <w:p>
            <w:pPr>
              <w:jc w:val="right"/>
              <w:ind w:right="544"/>
              <w:spacing w:after="0"/>
              <w:rPr>
                <w:sz w:val="20"/>
                <w:szCs w:val="20"/>
                <w:color w:val="auto"/>
              </w:rPr>
            </w:pPr>
            <w:r>
              <w:rPr>
                <w:rFonts w:ascii="Arial" w:cs="Arial" w:eastAsia="Arial" w:hAnsi="Arial"/>
                <w:sz w:val="15"/>
                <w:szCs w:val="15"/>
                <w:color w:val="auto"/>
              </w:rPr>
              <w:t>6,673,841</w:t>
            </w:r>
          </w:p>
        </w:tc>
        <w:tc>
          <w:tcPr>
            <w:tcW w:w="0" w:type="dxa"/>
            <w:vAlign w:val="bottom"/>
          </w:tcPr>
          <w:p>
            <w:pPr>
              <w:spacing w:after="0"/>
              <w:rPr>
                <w:sz w:val="1"/>
                <w:szCs w:val="1"/>
                <w:color w:val="auto"/>
              </w:rPr>
            </w:pPr>
          </w:p>
        </w:tc>
      </w:tr>
      <w:tr>
        <w:trPr>
          <w:trHeight w:val="216"/>
        </w:trPr>
        <w:tc>
          <w:tcPr>
            <w:tcW w:w="4260" w:type="dxa"/>
            <w:vAlign w:val="bottom"/>
            <w:shd w:val="clear" w:color="auto" w:fill="BAD3EA"/>
          </w:tcPr>
          <w:p>
            <w:pPr>
              <w:ind w:left="380"/>
              <w:spacing w:after="0"/>
              <w:rPr>
                <w:sz w:val="20"/>
                <w:szCs w:val="20"/>
                <w:color w:val="auto"/>
              </w:rPr>
            </w:pPr>
            <w:r>
              <w:rPr>
                <w:rFonts w:ascii="Arial" w:cs="Arial" w:eastAsia="Arial" w:hAnsi="Arial"/>
                <w:sz w:val="15"/>
                <w:szCs w:val="15"/>
                <w:color w:val="auto"/>
              </w:rPr>
              <w:t>Time-based RSUs</w:t>
            </w:r>
          </w:p>
        </w:tc>
        <w:tc>
          <w:tcPr>
            <w:tcW w:w="380" w:type="dxa"/>
            <w:vAlign w:val="bottom"/>
            <w:shd w:val="clear" w:color="auto" w:fill="BAD3EA"/>
          </w:tcPr>
          <w:p>
            <w:pPr>
              <w:spacing w:after="0"/>
              <w:rPr>
                <w:sz w:val="18"/>
                <w:szCs w:val="18"/>
                <w:color w:val="auto"/>
              </w:rPr>
            </w:pPr>
          </w:p>
        </w:tc>
        <w:tc>
          <w:tcPr>
            <w:tcW w:w="500" w:type="dxa"/>
            <w:vAlign w:val="bottom"/>
            <w:shd w:val="clear" w:color="auto" w:fill="BAD3EA"/>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BAD3EA"/>
          </w:tcPr>
          <w:p>
            <w:pPr>
              <w:jc w:val="right"/>
              <w:ind w:right="324"/>
              <w:spacing w:after="0"/>
              <w:rPr>
                <w:sz w:val="20"/>
                <w:szCs w:val="20"/>
                <w:color w:val="auto"/>
              </w:rPr>
            </w:pPr>
            <w:r>
              <w:rPr>
                <w:rFonts w:ascii="Arial" w:cs="Arial" w:eastAsia="Arial" w:hAnsi="Arial"/>
                <w:sz w:val="15"/>
                <w:szCs w:val="15"/>
                <w:color w:val="auto"/>
              </w:rPr>
              <w:t>852,055</w:t>
            </w:r>
          </w:p>
        </w:tc>
        <w:tc>
          <w:tcPr>
            <w:tcW w:w="1040" w:type="dxa"/>
            <w:vAlign w:val="bottom"/>
            <w:shd w:val="clear" w:color="auto" w:fill="BAD3EA"/>
          </w:tcPr>
          <w:p>
            <w:pPr>
              <w:ind w:left="940"/>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BAD3EA"/>
          </w:tcPr>
          <w:p>
            <w:pPr>
              <w:jc w:val="right"/>
              <w:ind w:right="704"/>
              <w:spacing w:after="0"/>
              <w:rPr>
                <w:sz w:val="20"/>
                <w:szCs w:val="20"/>
                <w:color w:val="auto"/>
              </w:rPr>
            </w:pPr>
            <w:r>
              <w:rPr>
                <w:rFonts w:ascii="Arial" w:cs="Arial" w:eastAsia="Arial" w:hAnsi="Arial"/>
                <w:sz w:val="15"/>
                <w:szCs w:val="15"/>
                <w:color w:val="auto"/>
              </w:rPr>
              <w:t>852,055</w:t>
            </w:r>
          </w:p>
        </w:tc>
        <w:tc>
          <w:tcPr>
            <w:tcW w:w="880" w:type="dxa"/>
            <w:vAlign w:val="bottom"/>
            <w:shd w:val="clear" w:color="auto" w:fill="BAD3EA"/>
          </w:tcPr>
          <w:p>
            <w:pPr>
              <w:ind w:left="80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BAD3EA"/>
          </w:tcPr>
          <w:p>
            <w:pPr>
              <w:jc w:val="right"/>
              <w:ind w:right="544"/>
              <w:spacing w:after="0"/>
              <w:rPr>
                <w:sz w:val="20"/>
                <w:szCs w:val="20"/>
                <w:color w:val="auto"/>
              </w:rPr>
            </w:pPr>
            <w:r>
              <w:rPr>
                <w:rFonts w:ascii="Arial" w:cs="Arial" w:eastAsia="Arial" w:hAnsi="Arial"/>
                <w:sz w:val="15"/>
                <w:szCs w:val="15"/>
                <w:color w:val="auto"/>
              </w:rPr>
              <w:t>1,217,221</w:t>
            </w:r>
          </w:p>
        </w:tc>
        <w:tc>
          <w:tcPr>
            <w:tcW w:w="0" w:type="dxa"/>
            <w:vAlign w:val="bottom"/>
          </w:tcPr>
          <w:p>
            <w:pPr>
              <w:spacing w:after="0"/>
              <w:rPr>
                <w:sz w:val="1"/>
                <w:szCs w:val="1"/>
                <w:color w:val="auto"/>
              </w:rPr>
            </w:pPr>
          </w:p>
        </w:tc>
      </w:tr>
      <w:tr>
        <w:trPr>
          <w:trHeight w:val="216"/>
        </w:trPr>
        <w:tc>
          <w:tcPr>
            <w:tcW w:w="4260" w:type="dxa"/>
            <w:vAlign w:val="bottom"/>
            <w:shd w:val="clear" w:color="auto" w:fill="BAD3EA"/>
          </w:tcPr>
          <w:p>
            <w:pPr>
              <w:ind w:left="380"/>
              <w:spacing w:after="0"/>
              <w:rPr>
                <w:sz w:val="20"/>
                <w:szCs w:val="20"/>
                <w:color w:val="auto"/>
              </w:rPr>
            </w:pPr>
            <w:r>
              <w:rPr>
                <w:rFonts w:ascii="Arial" w:cs="Arial" w:eastAsia="Arial" w:hAnsi="Arial"/>
                <w:sz w:val="15"/>
                <w:szCs w:val="15"/>
                <w:color w:val="auto"/>
              </w:rPr>
              <w:t>Medical, Dental and Vision</w:t>
            </w:r>
          </w:p>
        </w:tc>
        <w:tc>
          <w:tcPr>
            <w:tcW w:w="380" w:type="dxa"/>
            <w:vAlign w:val="bottom"/>
            <w:shd w:val="clear" w:color="auto" w:fill="BAD3EA"/>
          </w:tcPr>
          <w:p>
            <w:pPr>
              <w:spacing w:after="0"/>
              <w:rPr>
                <w:sz w:val="18"/>
                <w:szCs w:val="18"/>
                <w:color w:val="auto"/>
              </w:rPr>
            </w:pPr>
          </w:p>
        </w:tc>
        <w:tc>
          <w:tcPr>
            <w:tcW w:w="500" w:type="dxa"/>
            <w:vAlign w:val="bottom"/>
            <w:shd w:val="clear" w:color="auto" w:fill="BAD3EA"/>
          </w:tcPr>
          <w:p>
            <w:pPr>
              <w:spacing w:after="0"/>
              <w:rPr>
                <w:sz w:val="18"/>
                <w:szCs w:val="18"/>
                <w:color w:val="auto"/>
              </w:rPr>
            </w:pPr>
          </w:p>
        </w:tc>
        <w:tc>
          <w:tcPr>
            <w:tcW w:w="1080" w:type="dxa"/>
            <w:vAlign w:val="bottom"/>
            <w:shd w:val="clear" w:color="auto" w:fill="BAD3EA"/>
          </w:tcPr>
          <w:p>
            <w:pPr>
              <w:jc w:val="right"/>
              <w:ind w:right="584"/>
              <w:spacing w:after="0"/>
              <w:rPr>
                <w:sz w:val="20"/>
                <w:szCs w:val="20"/>
                <w:color w:val="auto"/>
              </w:rPr>
            </w:pPr>
            <w:r>
              <w:rPr>
                <w:rFonts w:ascii="Arial" w:cs="Arial" w:eastAsia="Arial" w:hAnsi="Arial"/>
                <w:sz w:val="15"/>
                <w:szCs w:val="15"/>
                <w:color w:val="auto"/>
              </w:rPr>
              <w:t>—</w:t>
            </w:r>
          </w:p>
        </w:tc>
        <w:tc>
          <w:tcPr>
            <w:tcW w:w="1040" w:type="dxa"/>
            <w:vAlign w:val="bottom"/>
            <w:shd w:val="clear" w:color="auto" w:fill="BAD3EA"/>
          </w:tcPr>
          <w:p>
            <w:pPr>
              <w:ind w:left="940"/>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BAD3EA"/>
          </w:tcPr>
          <w:p>
            <w:pPr>
              <w:jc w:val="right"/>
              <w:ind w:right="704"/>
              <w:spacing w:after="0"/>
              <w:rPr>
                <w:sz w:val="20"/>
                <w:szCs w:val="20"/>
                <w:color w:val="auto"/>
              </w:rPr>
            </w:pPr>
            <w:r>
              <w:rPr>
                <w:rFonts w:ascii="Arial" w:cs="Arial" w:eastAsia="Arial" w:hAnsi="Arial"/>
                <w:sz w:val="15"/>
                <w:szCs w:val="15"/>
                <w:color w:val="auto"/>
              </w:rPr>
              <w:t>23,544</w:t>
            </w:r>
          </w:p>
        </w:tc>
        <w:tc>
          <w:tcPr>
            <w:tcW w:w="880" w:type="dxa"/>
            <w:vAlign w:val="bottom"/>
            <w:shd w:val="clear" w:color="auto" w:fill="BAD3EA"/>
          </w:tcPr>
          <w:p>
            <w:pPr>
              <w:ind w:left="80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BAD3EA"/>
          </w:tcPr>
          <w:p>
            <w:pPr>
              <w:jc w:val="right"/>
              <w:ind w:right="544"/>
              <w:spacing w:after="0"/>
              <w:rPr>
                <w:sz w:val="20"/>
                <w:szCs w:val="20"/>
                <w:color w:val="auto"/>
              </w:rPr>
            </w:pPr>
            <w:r>
              <w:rPr>
                <w:rFonts w:ascii="Arial" w:cs="Arial" w:eastAsia="Arial" w:hAnsi="Arial"/>
                <w:sz w:val="15"/>
                <w:szCs w:val="15"/>
                <w:color w:val="auto"/>
              </w:rPr>
              <w:t>26,908</w:t>
            </w:r>
          </w:p>
        </w:tc>
        <w:tc>
          <w:tcPr>
            <w:tcW w:w="0" w:type="dxa"/>
            <w:vAlign w:val="bottom"/>
          </w:tcPr>
          <w:p>
            <w:pPr>
              <w:spacing w:after="0"/>
              <w:rPr>
                <w:sz w:val="1"/>
                <w:szCs w:val="1"/>
                <w:color w:val="auto"/>
              </w:rPr>
            </w:pPr>
          </w:p>
        </w:tc>
      </w:tr>
      <w:tr>
        <w:trPr>
          <w:trHeight w:val="224"/>
        </w:trPr>
        <w:tc>
          <w:tcPr>
            <w:tcW w:w="4260" w:type="dxa"/>
            <w:vAlign w:val="bottom"/>
            <w:shd w:val="clear" w:color="auto" w:fill="BAD3EA"/>
          </w:tcPr>
          <w:p>
            <w:pPr>
              <w:ind w:left="420"/>
              <w:spacing w:after="0" w:line="224" w:lineRule="exact"/>
              <w:rPr>
                <w:sz w:val="20"/>
                <w:szCs w:val="20"/>
                <w:color w:val="auto"/>
              </w:rPr>
            </w:pPr>
            <w:r>
              <w:rPr>
                <w:rFonts w:ascii="Arial" w:cs="Arial" w:eastAsia="Arial" w:hAnsi="Arial"/>
                <w:sz w:val="15"/>
                <w:szCs w:val="15"/>
                <w:color w:val="auto"/>
              </w:rPr>
              <w:t>Outplacement</w:t>
            </w:r>
            <w:r>
              <w:rPr>
                <w:rFonts w:ascii="Arial" w:cs="Arial" w:eastAsia="Arial" w:hAnsi="Arial"/>
                <w:sz w:val="25"/>
                <w:szCs w:val="25"/>
                <w:color w:val="auto"/>
                <w:vertAlign w:val="superscript"/>
              </w:rPr>
              <w:t>(5)</w:t>
            </w:r>
          </w:p>
        </w:tc>
        <w:tc>
          <w:tcPr>
            <w:tcW w:w="380" w:type="dxa"/>
            <w:vAlign w:val="bottom"/>
            <w:shd w:val="clear" w:color="auto" w:fill="BAD3EA"/>
          </w:tcPr>
          <w:p>
            <w:pPr>
              <w:spacing w:after="0"/>
              <w:rPr>
                <w:sz w:val="19"/>
                <w:szCs w:val="19"/>
                <w:color w:val="auto"/>
              </w:rPr>
            </w:pPr>
          </w:p>
        </w:tc>
        <w:tc>
          <w:tcPr>
            <w:tcW w:w="500" w:type="dxa"/>
            <w:vAlign w:val="bottom"/>
            <w:shd w:val="clear" w:color="auto" w:fill="BAD3EA"/>
          </w:tcPr>
          <w:p>
            <w:pPr>
              <w:spacing w:after="0"/>
              <w:rPr>
                <w:sz w:val="19"/>
                <w:szCs w:val="19"/>
                <w:color w:val="auto"/>
              </w:rPr>
            </w:pPr>
          </w:p>
        </w:tc>
        <w:tc>
          <w:tcPr>
            <w:tcW w:w="1080" w:type="dxa"/>
            <w:vAlign w:val="bottom"/>
            <w:shd w:val="clear" w:color="auto" w:fill="BAD3EA"/>
          </w:tcPr>
          <w:p>
            <w:pPr>
              <w:jc w:val="right"/>
              <w:ind w:right="584"/>
              <w:spacing w:after="0"/>
              <w:rPr>
                <w:sz w:val="20"/>
                <w:szCs w:val="20"/>
                <w:color w:val="auto"/>
              </w:rPr>
            </w:pPr>
            <w:r>
              <w:rPr>
                <w:rFonts w:ascii="Arial" w:cs="Arial" w:eastAsia="Arial" w:hAnsi="Arial"/>
                <w:sz w:val="15"/>
                <w:szCs w:val="15"/>
                <w:color w:val="auto"/>
              </w:rPr>
              <w:t>—</w:t>
            </w:r>
          </w:p>
        </w:tc>
        <w:tc>
          <w:tcPr>
            <w:tcW w:w="1040" w:type="dxa"/>
            <w:vAlign w:val="bottom"/>
            <w:shd w:val="clear" w:color="auto" w:fill="BAD3EA"/>
          </w:tcPr>
          <w:p>
            <w:pPr>
              <w:ind w:left="940"/>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BAD3EA"/>
          </w:tcPr>
          <w:p>
            <w:pPr>
              <w:jc w:val="right"/>
              <w:ind w:right="704"/>
              <w:spacing w:after="0"/>
              <w:rPr>
                <w:sz w:val="20"/>
                <w:szCs w:val="20"/>
                <w:color w:val="auto"/>
              </w:rPr>
            </w:pPr>
            <w:r>
              <w:rPr>
                <w:rFonts w:ascii="Arial" w:cs="Arial" w:eastAsia="Arial" w:hAnsi="Arial"/>
                <w:sz w:val="15"/>
                <w:szCs w:val="15"/>
                <w:color w:val="auto"/>
              </w:rPr>
              <w:t>32,000</w:t>
            </w:r>
          </w:p>
        </w:tc>
        <w:tc>
          <w:tcPr>
            <w:tcW w:w="880" w:type="dxa"/>
            <w:vAlign w:val="bottom"/>
            <w:shd w:val="clear" w:color="auto" w:fill="BAD3EA"/>
          </w:tcPr>
          <w:p>
            <w:pPr>
              <w:ind w:left="80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BAD3EA"/>
          </w:tcPr>
          <w:p>
            <w:pPr>
              <w:jc w:val="right"/>
              <w:ind w:right="544"/>
              <w:spacing w:after="0"/>
              <w:rPr>
                <w:sz w:val="20"/>
                <w:szCs w:val="20"/>
                <w:color w:val="auto"/>
              </w:rPr>
            </w:pPr>
            <w:r>
              <w:rPr>
                <w:rFonts w:ascii="Arial" w:cs="Arial" w:eastAsia="Arial" w:hAnsi="Arial"/>
                <w:sz w:val="15"/>
                <w:szCs w:val="15"/>
                <w:color w:val="auto"/>
              </w:rPr>
              <w:t>32,000</w:t>
            </w:r>
          </w:p>
        </w:tc>
        <w:tc>
          <w:tcPr>
            <w:tcW w:w="0" w:type="dxa"/>
            <w:vAlign w:val="bottom"/>
          </w:tcPr>
          <w:p>
            <w:pPr>
              <w:spacing w:after="0"/>
              <w:rPr>
                <w:sz w:val="1"/>
                <w:szCs w:val="1"/>
                <w:color w:val="auto"/>
              </w:rPr>
            </w:pPr>
          </w:p>
        </w:tc>
      </w:tr>
      <w:tr>
        <w:trPr>
          <w:trHeight w:val="216"/>
        </w:trPr>
        <w:tc>
          <w:tcPr>
            <w:tcW w:w="4260" w:type="dxa"/>
            <w:vAlign w:val="bottom"/>
            <w:shd w:val="clear" w:color="auto" w:fill="BAD3EA"/>
          </w:tcPr>
          <w:p>
            <w:pPr>
              <w:ind w:left="380"/>
              <w:spacing w:after="0" w:line="216" w:lineRule="exact"/>
              <w:rPr>
                <w:sz w:val="20"/>
                <w:szCs w:val="20"/>
                <w:color w:val="auto"/>
              </w:rPr>
            </w:pPr>
            <w:r>
              <w:rPr>
                <w:rFonts w:ascii="Arial" w:cs="Arial" w:eastAsia="Arial" w:hAnsi="Arial"/>
                <w:sz w:val="15"/>
                <w:szCs w:val="15"/>
                <w:color w:val="auto"/>
              </w:rPr>
              <w:t>280G Tax Gross-Up</w:t>
            </w:r>
            <w:r>
              <w:rPr>
                <w:rFonts w:ascii="Arial" w:cs="Arial" w:eastAsia="Arial" w:hAnsi="Arial"/>
                <w:sz w:val="25"/>
                <w:szCs w:val="25"/>
                <w:color w:val="auto"/>
                <w:vertAlign w:val="superscript"/>
              </w:rPr>
              <w:t>(6)</w:t>
            </w:r>
          </w:p>
        </w:tc>
        <w:tc>
          <w:tcPr>
            <w:tcW w:w="380" w:type="dxa"/>
            <w:vAlign w:val="bottom"/>
            <w:shd w:val="clear" w:color="auto" w:fill="BAD3EA"/>
          </w:tcPr>
          <w:p>
            <w:pPr>
              <w:spacing w:after="0"/>
              <w:rPr>
                <w:sz w:val="18"/>
                <w:szCs w:val="18"/>
                <w:color w:val="auto"/>
              </w:rPr>
            </w:pPr>
          </w:p>
        </w:tc>
        <w:tc>
          <w:tcPr>
            <w:tcW w:w="500" w:type="dxa"/>
            <w:vAlign w:val="bottom"/>
            <w:shd w:val="clear" w:color="auto" w:fill="BAD3EA"/>
          </w:tcPr>
          <w:p>
            <w:pPr>
              <w:spacing w:after="0"/>
              <w:rPr>
                <w:sz w:val="18"/>
                <w:szCs w:val="18"/>
                <w:color w:val="auto"/>
              </w:rPr>
            </w:pPr>
          </w:p>
        </w:tc>
        <w:tc>
          <w:tcPr>
            <w:tcW w:w="1080" w:type="dxa"/>
            <w:vAlign w:val="bottom"/>
            <w:shd w:val="clear" w:color="auto" w:fill="BAD3EA"/>
          </w:tcPr>
          <w:p>
            <w:pPr>
              <w:jc w:val="right"/>
              <w:ind w:right="584"/>
              <w:spacing w:after="0"/>
              <w:rPr>
                <w:sz w:val="20"/>
                <w:szCs w:val="20"/>
                <w:color w:val="auto"/>
              </w:rPr>
            </w:pPr>
            <w:r>
              <w:rPr>
                <w:rFonts w:ascii="Arial" w:cs="Arial" w:eastAsia="Arial" w:hAnsi="Arial"/>
                <w:sz w:val="15"/>
                <w:szCs w:val="15"/>
                <w:color w:val="auto"/>
              </w:rPr>
              <w:t>—</w:t>
            </w:r>
          </w:p>
        </w:tc>
        <w:tc>
          <w:tcPr>
            <w:tcW w:w="1040" w:type="dxa"/>
            <w:vAlign w:val="bottom"/>
            <w:shd w:val="clear" w:color="auto" w:fill="BAD3EA"/>
          </w:tcPr>
          <w:p>
            <w:pPr>
              <w:spacing w:after="0"/>
              <w:rPr>
                <w:sz w:val="18"/>
                <w:szCs w:val="18"/>
                <w:color w:val="auto"/>
              </w:rPr>
            </w:pPr>
          </w:p>
        </w:tc>
        <w:tc>
          <w:tcPr>
            <w:tcW w:w="1480" w:type="dxa"/>
            <w:vAlign w:val="bottom"/>
            <w:shd w:val="clear" w:color="auto" w:fill="BAD3EA"/>
          </w:tcPr>
          <w:p>
            <w:pPr>
              <w:jc w:val="right"/>
              <w:ind w:right="704"/>
              <w:spacing w:after="0"/>
              <w:rPr>
                <w:sz w:val="20"/>
                <w:szCs w:val="20"/>
                <w:color w:val="auto"/>
              </w:rPr>
            </w:pPr>
            <w:r>
              <w:rPr>
                <w:rFonts w:ascii="Arial" w:cs="Arial" w:eastAsia="Arial" w:hAnsi="Arial"/>
                <w:sz w:val="15"/>
                <w:szCs w:val="15"/>
                <w:color w:val="auto"/>
              </w:rPr>
              <w:t>—</w:t>
            </w:r>
          </w:p>
        </w:tc>
        <w:tc>
          <w:tcPr>
            <w:tcW w:w="880" w:type="dxa"/>
            <w:vAlign w:val="bottom"/>
            <w:shd w:val="clear" w:color="auto" w:fill="BAD3EA"/>
          </w:tcPr>
          <w:p>
            <w:pPr>
              <w:spacing w:after="0"/>
              <w:rPr>
                <w:sz w:val="18"/>
                <w:szCs w:val="18"/>
                <w:color w:val="auto"/>
              </w:rPr>
            </w:pPr>
          </w:p>
        </w:tc>
        <w:tc>
          <w:tcPr>
            <w:tcW w:w="1400" w:type="dxa"/>
            <w:vAlign w:val="bottom"/>
            <w:shd w:val="clear" w:color="auto" w:fill="BAD3EA"/>
          </w:tcPr>
          <w:p>
            <w:pPr>
              <w:jc w:val="right"/>
              <w:ind w:right="5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4260" w:type="dxa"/>
            <w:vAlign w:val="bottom"/>
            <w:tcBorders>
              <w:bottom w:val="single" w:sz="8" w:color="auto"/>
            </w:tcBorders>
            <w:shd w:val="clear" w:color="auto" w:fill="BAD3EA"/>
          </w:tcPr>
          <w:p>
            <w:pPr>
              <w:ind w:left="380"/>
              <w:spacing w:after="0"/>
              <w:rPr>
                <w:sz w:val="20"/>
                <w:szCs w:val="20"/>
                <w:color w:val="auto"/>
              </w:rPr>
            </w:pPr>
            <w:r>
              <w:rPr>
                <w:rFonts w:ascii="Arial" w:cs="Arial" w:eastAsia="Arial" w:hAnsi="Arial"/>
                <w:sz w:val="15"/>
                <w:szCs w:val="15"/>
                <w:b w:val="1"/>
                <w:bCs w:val="1"/>
                <w:color w:val="auto"/>
              </w:rPr>
              <w:t>Total</w:t>
            </w:r>
          </w:p>
        </w:tc>
        <w:tc>
          <w:tcPr>
            <w:tcW w:w="380" w:type="dxa"/>
            <w:vAlign w:val="bottom"/>
            <w:tcBorders>
              <w:bottom w:val="single" w:sz="8" w:color="auto"/>
            </w:tcBorders>
            <w:shd w:val="clear" w:color="auto" w:fill="BAD3EA"/>
          </w:tcPr>
          <w:p>
            <w:pPr>
              <w:spacing w:after="0"/>
              <w:rPr>
                <w:sz w:val="18"/>
                <w:szCs w:val="18"/>
                <w:color w:val="auto"/>
              </w:rPr>
            </w:pPr>
          </w:p>
        </w:tc>
        <w:tc>
          <w:tcPr>
            <w:tcW w:w="500" w:type="dxa"/>
            <w:vAlign w:val="bottom"/>
            <w:tcBorders>
              <w:bottom w:val="single" w:sz="8" w:color="auto"/>
            </w:tcBorders>
            <w:shd w:val="clear" w:color="auto" w:fill="BAD3EA"/>
          </w:tcPr>
          <w:p>
            <w:pPr>
              <w:jc w:val="right"/>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auto"/>
            </w:tcBorders>
            <w:shd w:val="clear" w:color="auto" w:fill="BAD3EA"/>
          </w:tcPr>
          <w:p>
            <w:pPr>
              <w:jc w:val="right"/>
              <w:ind w:right="324"/>
              <w:spacing w:after="0"/>
              <w:rPr>
                <w:sz w:val="20"/>
                <w:szCs w:val="20"/>
                <w:color w:val="auto"/>
              </w:rPr>
            </w:pPr>
            <w:r>
              <w:rPr>
                <w:rFonts w:ascii="Arial" w:cs="Arial" w:eastAsia="Arial" w:hAnsi="Arial"/>
                <w:sz w:val="15"/>
                <w:szCs w:val="15"/>
                <w:b w:val="1"/>
                <w:bCs w:val="1"/>
                <w:color w:val="auto"/>
                <w:w w:val="98"/>
              </w:rPr>
              <w:t>5,523,744</w:t>
            </w:r>
          </w:p>
        </w:tc>
        <w:tc>
          <w:tcPr>
            <w:tcW w:w="1040" w:type="dxa"/>
            <w:vAlign w:val="bottom"/>
            <w:tcBorders>
              <w:bottom w:val="single" w:sz="8" w:color="auto"/>
            </w:tcBorders>
            <w:shd w:val="clear" w:color="auto" w:fill="BAD3EA"/>
          </w:tcPr>
          <w:p>
            <w:pPr>
              <w:ind w:left="940"/>
              <w:spacing w:after="0"/>
              <w:rPr>
                <w:sz w:val="20"/>
                <w:szCs w:val="20"/>
                <w:color w:val="auto"/>
              </w:rPr>
            </w:pPr>
            <w:r>
              <w:rPr>
                <w:rFonts w:ascii="Arial" w:cs="Arial" w:eastAsia="Arial" w:hAnsi="Arial"/>
                <w:sz w:val="15"/>
                <w:szCs w:val="15"/>
                <w:b w:val="1"/>
                <w:bCs w:val="1"/>
                <w:color w:val="auto"/>
                <w:w w:val="95"/>
              </w:rPr>
              <w:t>$</w:t>
            </w:r>
          </w:p>
        </w:tc>
        <w:tc>
          <w:tcPr>
            <w:tcW w:w="1480" w:type="dxa"/>
            <w:vAlign w:val="bottom"/>
            <w:tcBorders>
              <w:bottom w:val="single" w:sz="8" w:color="auto"/>
            </w:tcBorders>
            <w:shd w:val="clear" w:color="auto" w:fill="BAD3EA"/>
          </w:tcPr>
          <w:p>
            <w:pPr>
              <w:jc w:val="right"/>
              <w:ind w:right="704"/>
              <w:spacing w:after="0"/>
              <w:rPr>
                <w:sz w:val="20"/>
                <w:szCs w:val="20"/>
                <w:color w:val="auto"/>
              </w:rPr>
            </w:pPr>
            <w:r>
              <w:rPr>
                <w:rFonts w:ascii="Arial" w:cs="Arial" w:eastAsia="Arial" w:hAnsi="Arial"/>
                <w:sz w:val="15"/>
                <w:szCs w:val="15"/>
                <w:b w:val="1"/>
                <w:bCs w:val="1"/>
                <w:color w:val="auto"/>
              </w:rPr>
              <w:t>7,808,090</w:t>
            </w:r>
          </w:p>
        </w:tc>
        <w:tc>
          <w:tcPr>
            <w:tcW w:w="880" w:type="dxa"/>
            <w:vAlign w:val="bottom"/>
            <w:tcBorders>
              <w:bottom w:val="single" w:sz="8" w:color="auto"/>
            </w:tcBorders>
            <w:shd w:val="clear" w:color="auto" w:fill="BAD3EA"/>
          </w:tcPr>
          <w:p>
            <w:pPr>
              <w:ind w:left="800"/>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bottom w:val="single" w:sz="8" w:color="auto"/>
            </w:tcBorders>
            <w:shd w:val="clear" w:color="auto" w:fill="BAD3EA"/>
          </w:tcPr>
          <w:p>
            <w:pPr>
              <w:jc w:val="right"/>
              <w:ind w:right="544"/>
              <w:spacing w:after="0"/>
              <w:rPr>
                <w:sz w:val="20"/>
                <w:szCs w:val="20"/>
                <w:color w:val="auto"/>
              </w:rPr>
            </w:pPr>
            <w:r>
              <w:rPr>
                <w:rFonts w:ascii="Arial" w:cs="Arial" w:eastAsia="Arial" w:hAnsi="Arial"/>
                <w:sz w:val="15"/>
                <w:szCs w:val="15"/>
                <w:b w:val="1"/>
                <w:bCs w:val="1"/>
                <w:color w:val="auto"/>
              </w:rPr>
              <w:t>10,497,172</w:t>
            </w:r>
          </w:p>
        </w:tc>
        <w:tc>
          <w:tcPr>
            <w:tcW w:w="0" w:type="dxa"/>
            <w:vAlign w:val="bottom"/>
          </w:tcPr>
          <w:p>
            <w:pPr>
              <w:spacing w:after="0"/>
              <w:rPr>
                <w:sz w:val="1"/>
                <w:szCs w:val="1"/>
                <w:color w:val="auto"/>
              </w:rPr>
            </w:pPr>
          </w:p>
        </w:tc>
      </w:tr>
      <w:tr>
        <w:trPr>
          <w:trHeight w:val="212"/>
        </w:trPr>
        <w:tc>
          <w:tcPr>
            <w:tcW w:w="4260" w:type="dxa"/>
            <w:vAlign w:val="bottom"/>
            <w:shd w:val="clear" w:color="auto" w:fill="E8F0F8"/>
          </w:tcPr>
          <w:p>
            <w:pPr>
              <w:ind w:left="80"/>
              <w:spacing w:after="0"/>
              <w:rPr>
                <w:sz w:val="20"/>
                <w:szCs w:val="20"/>
                <w:color w:val="auto"/>
              </w:rPr>
            </w:pPr>
            <w:r>
              <w:rPr>
                <w:rFonts w:ascii="Arial" w:cs="Arial" w:eastAsia="Arial" w:hAnsi="Arial"/>
                <w:sz w:val="16"/>
                <w:szCs w:val="16"/>
                <w:b w:val="1"/>
                <w:bCs w:val="1"/>
                <w:color w:val="auto"/>
              </w:rPr>
              <w:t>Paul F. McKenzie</w:t>
            </w:r>
          </w:p>
        </w:tc>
        <w:tc>
          <w:tcPr>
            <w:tcW w:w="380" w:type="dxa"/>
            <w:vAlign w:val="bottom"/>
            <w:shd w:val="clear" w:color="auto" w:fill="E8F0F8"/>
          </w:tcPr>
          <w:p>
            <w:pPr>
              <w:spacing w:after="0"/>
              <w:rPr>
                <w:sz w:val="18"/>
                <w:szCs w:val="18"/>
                <w:color w:val="auto"/>
              </w:rPr>
            </w:pPr>
          </w:p>
        </w:tc>
        <w:tc>
          <w:tcPr>
            <w:tcW w:w="500" w:type="dxa"/>
            <w:vAlign w:val="bottom"/>
            <w:shd w:val="clear" w:color="auto" w:fill="E8F0F8"/>
          </w:tcPr>
          <w:p>
            <w:pPr>
              <w:spacing w:after="0"/>
              <w:rPr>
                <w:sz w:val="18"/>
                <w:szCs w:val="18"/>
                <w:color w:val="auto"/>
              </w:rPr>
            </w:pPr>
          </w:p>
        </w:tc>
        <w:tc>
          <w:tcPr>
            <w:tcW w:w="1080" w:type="dxa"/>
            <w:vAlign w:val="bottom"/>
            <w:shd w:val="clear" w:color="auto" w:fill="E8F0F8"/>
          </w:tcPr>
          <w:p>
            <w:pPr>
              <w:spacing w:after="0"/>
              <w:rPr>
                <w:sz w:val="18"/>
                <w:szCs w:val="18"/>
                <w:color w:val="auto"/>
              </w:rPr>
            </w:pPr>
          </w:p>
        </w:tc>
        <w:tc>
          <w:tcPr>
            <w:tcW w:w="1040" w:type="dxa"/>
            <w:vAlign w:val="bottom"/>
            <w:shd w:val="clear" w:color="auto" w:fill="E8F0F8"/>
          </w:tcPr>
          <w:p>
            <w:pPr>
              <w:spacing w:after="0"/>
              <w:rPr>
                <w:sz w:val="18"/>
                <w:szCs w:val="18"/>
                <w:color w:val="auto"/>
              </w:rPr>
            </w:pPr>
          </w:p>
        </w:tc>
        <w:tc>
          <w:tcPr>
            <w:tcW w:w="1480" w:type="dxa"/>
            <w:vAlign w:val="bottom"/>
            <w:shd w:val="clear" w:color="auto" w:fill="E8F0F8"/>
          </w:tcPr>
          <w:p>
            <w:pPr>
              <w:spacing w:after="0"/>
              <w:rPr>
                <w:sz w:val="18"/>
                <w:szCs w:val="18"/>
                <w:color w:val="auto"/>
              </w:rPr>
            </w:pPr>
          </w:p>
        </w:tc>
        <w:tc>
          <w:tcPr>
            <w:tcW w:w="880" w:type="dxa"/>
            <w:vAlign w:val="bottom"/>
            <w:shd w:val="clear" w:color="auto" w:fill="E8F0F8"/>
          </w:tcPr>
          <w:p>
            <w:pPr>
              <w:spacing w:after="0"/>
              <w:rPr>
                <w:sz w:val="18"/>
                <w:szCs w:val="18"/>
                <w:color w:val="auto"/>
              </w:rPr>
            </w:pPr>
          </w:p>
        </w:tc>
        <w:tc>
          <w:tcPr>
            <w:tcW w:w="1400" w:type="dxa"/>
            <w:vAlign w:val="bottom"/>
            <w:shd w:val="clear" w:color="auto" w:fill="E8F0F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shd w:val="clear" w:color="auto" w:fill="E8F0F8"/>
          </w:tcPr>
          <w:p>
            <w:pPr>
              <w:ind w:left="380"/>
              <w:spacing w:after="0"/>
              <w:rPr>
                <w:sz w:val="20"/>
                <w:szCs w:val="20"/>
                <w:color w:val="auto"/>
              </w:rPr>
            </w:pPr>
            <w:r>
              <w:rPr>
                <w:rFonts w:ascii="Arial" w:cs="Arial" w:eastAsia="Arial" w:hAnsi="Arial"/>
                <w:sz w:val="15"/>
                <w:szCs w:val="15"/>
                <w:color w:val="auto"/>
              </w:rPr>
              <w:t>Severance</w:t>
            </w:r>
          </w:p>
        </w:tc>
        <w:tc>
          <w:tcPr>
            <w:tcW w:w="380" w:type="dxa"/>
            <w:vAlign w:val="bottom"/>
            <w:shd w:val="clear" w:color="auto" w:fill="E8F0F8"/>
          </w:tcPr>
          <w:p>
            <w:pPr>
              <w:spacing w:after="0"/>
              <w:rPr>
                <w:sz w:val="18"/>
                <w:szCs w:val="18"/>
                <w:color w:val="auto"/>
              </w:rPr>
            </w:pPr>
          </w:p>
        </w:tc>
        <w:tc>
          <w:tcPr>
            <w:tcW w:w="500" w:type="dxa"/>
            <w:vAlign w:val="bottom"/>
            <w:shd w:val="clear" w:color="auto" w:fill="E8F0F8"/>
          </w:tcPr>
          <w:p>
            <w:pPr>
              <w:spacing w:after="0"/>
              <w:rPr>
                <w:sz w:val="18"/>
                <w:szCs w:val="18"/>
                <w:color w:val="auto"/>
              </w:rPr>
            </w:pPr>
          </w:p>
        </w:tc>
        <w:tc>
          <w:tcPr>
            <w:tcW w:w="1080" w:type="dxa"/>
            <w:vAlign w:val="bottom"/>
            <w:shd w:val="clear" w:color="auto" w:fill="E8F0F8"/>
          </w:tcPr>
          <w:p>
            <w:pPr>
              <w:jc w:val="right"/>
              <w:ind w:right="584"/>
              <w:spacing w:after="0"/>
              <w:rPr>
                <w:sz w:val="20"/>
                <w:szCs w:val="20"/>
                <w:color w:val="auto"/>
              </w:rPr>
            </w:pPr>
            <w:r>
              <w:rPr>
                <w:rFonts w:ascii="Arial" w:cs="Arial" w:eastAsia="Arial" w:hAnsi="Arial"/>
                <w:sz w:val="15"/>
                <w:szCs w:val="15"/>
                <w:color w:val="auto"/>
              </w:rPr>
              <w:t>—</w:t>
            </w:r>
          </w:p>
        </w:tc>
        <w:tc>
          <w:tcPr>
            <w:tcW w:w="1040" w:type="dxa"/>
            <w:vAlign w:val="bottom"/>
            <w:shd w:val="clear" w:color="auto" w:fill="E8F0F8"/>
          </w:tcPr>
          <w:p>
            <w:pPr>
              <w:ind w:left="940"/>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E8F0F8"/>
          </w:tcPr>
          <w:p>
            <w:pPr>
              <w:jc w:val="right"/>
              <w:ind w:right="704"/>
              <w:spacing w:after="0"/>
              <w:rPr>
                <w:sz w:val="20"/>
                <w:szCs w:val="20"/>
                <w:color w:val="auto"/>
              </w:rPr>
            </w:pPr>
            <w:r>
              <w:rPr>
                <w:rFonts w:ascii="Arial" w:cs="Arial" w:eastAsia="Arial" w:hAnsi="Arial"/>
                <w:sz w:val="15"/>
                <w:szCs w:val="15"/>
                <w:color w:val="auto"/>
              </w:rPr>
              <w:t>1,436,926</w:t>
            </w:r>
          </w:p>
        </w:tc>
        <w:tc>
          <w:tcPr>
            <w:tcW w:w="880" w:type="dxa"/>
            <w:vAlign w:val="bottom"/>
            <w:shd w:val="clear" w:color="auto" w:fill="E8F0F8"/>
          </w:tcPr>
          <w:p>
            <w:pPr>
              <w:ind w:left="80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E8F0F8"/>
          </w:tcPr>
          <w:p>
            <w:pPr>
              <w:jc w:val="right"/>
              <w:ind w:right="544"/>
              <w:spacing w:after="0"/>
              <w:rPr>
                <w:sz w:val="20"/>
                <w:szCs w:val="20"/>
                <w:color w:val="auto"/>
              </w:rPr>
            </w:pPr>
            <w:r>
              <w:rPr>
                <w:rFonts w:ascii="Arial" w:cs="Arial" w:eastAsia="Arial" w:hAnsi="Arial"/>
                <w:sz w:val="15"/>
                <w:szCs w:val="15"/>
                <w:color w:val="auto"/>
              </w:rPr>
              <w:t>2,155,389</w:t>
            </w:r>
          </w:p>
        </w:tc>
        <w:tc>
          <w:tcPr>
            <w:tcW w:w="0" w:type="dxa"/>
            <w:vAlign w:val="bottom"/>
          </w:tcPr>
          <w:p>
            <w:pPr>
              <w:spacing w:after="0"/>
              <w:rPr>
                <w:sz w:val="1"/>
                <w:szCs w:val="1"/>
                <w:color w:val="auto"/>
              </w:rPr>
            </w:pPr>
          </w:p>
        </w:tc>
      </w:tr>
      <w:tr>
        <w:trPr>
          <w:trHeight w:val="216"/>
        </w:trPr>
        <w:tc>
          <w:tcPr>
            <w:tcW w:w="4260" w:type="dxa"/>
            <w:vAlign w:val="bottom"/>
            <w:shd w:val="clear" w:color="auto" w:fill="E8F0F8"/>
          </w:tcPr>
          <w:p>
            <w:pPr>
              <w:ind w:left="380"/>
              <w:spacing w:after="0"/>
              <w:rPr>
                <w:sz w:val="20"/>
                <w:szCs w:val="20"/>
                <w:color w:val="auto"/>
              </w:rPr>
            </w:pPr>
            <w:r>
              <w:rPr>
                <w:rFonts w:ascii="Arial" w:cs="Arial" w:eastAsia="Arial" w:hAnsi="Arial"/>
                <w:sz w:val="15"/>
                <w:szCs w:val="15"/>
                <w:color w:val="auto"/>
              </w:rPr>
              <w:t>Performance-based RSUs</w:t>
            </w:r>
          </w:p>
        </w:tc>
        <w:tc>
          <w:tcPr>
            <w:tcW w:w="380" w:type="dxa"/>
            <w:vAlign w:val="bottom"/>
            <w:shd w:val="clear" w:color="auto" w:fill="E8F0F8"/>
          </w:tcPr>
          <w:p>
            <w:pPr>
              <w:spacing w:after="0"/>
              <w:rPr>
                <w:sz w:val="18"/>
                <w:szCs w:val="18"/>
                <w:color w:val="auto"/>
              </w:rPr>
            </w:pPr>
          </w:p>
        </w:tc>
        <w:tc>
          <w:tcPr>
            <w:tcW w:w="500" w:type="dxa"/>
            <w:vAlign w:val="bottom"/>
            <w:shd w:val="clear" w:color="auto" w:fill="E8F0F8"/>
          </w:tcPr>
          <w:p>
            <w:pPr>
              <w:spacing w:after="0"/>
              <w:rPr>
                <w:sz w:val="18"/>
                <w:szCs w:val="18"/>
                <w:color w:val="auto"/>
              </w:rPr>
            </w:pPr>
          </w:p>
        </w:tc>
        <w:tc>
          <w:tcPr>
            <w:tcW w:w="1080" w:type="dxa"/>
            <w:vAlign w:val="bottom"/>
            <w:shd w:val="clear" w:color="auto" w:fill="E8F0F8"/>
          </w:tcPr>
          <w:p>
            <w:pPr>
              <w:jc w:val="right"/>
              <w:ind w:right="584"/>
              <w:spacing w:after="0"/>
              <w:rPr>
                <w:sz w:val="20"/>
                <w:szCs w:val="20"/>
                <w:color w:val="auto"/>
              </w:rPr>
            </w:pPr>
            <w:r>
              <w:rPr>
                <w:rFonts w:ascii="Arial" w:cs="Arial" w:eastAsia="Arial" w:hAnsi="Arial"/>
                <w:sz w:val="15"/>
                <w:szCs w:val="15"/>
                <w:color w:val="auto"/>
              </w:rPr>
              <w:t>—</w:t>
            </w:r>
          </w:p>
        </w:tc>
        <w:tc>
          <w:tcPr>
            <w:tcW w:w="1040" w:type="dxa"/>
            <w:vAlign w:val="bottom"/>
            <w:shd w:val="clear" w:color="auto" w:fill="E8F0F8"/>
          </w:tcPr>
          <w:p>
            <w:pPr>
              <w:spacing w:after="0"/>
              <w:rPr>
                <w:sz w:val="18"/>
                <w:szCs w:val="18"/>
                <w:color w:val="auto"/>
              </w:rPr>
            </w:pPr>
          </w:p>
        </w:tc>
        <w:tc>
          <w:tcPr>
            <w:tcW w:w="1480" w:type="dxa"/>
            <w:vAlign w:val="bottom"/>
            <w:shd w:val="clear" w:color="auto" w:fill="E8F0F8"/>
          </w:tcPr>
          <w:p>
            <w:pPr>
              <w:jc w:val="right"/>
              <w:ind w:right="704"/>
              <w:spacing w:after="0"/>
              <w:rPr>
                <w:sz w:val="20"/>
                <w:szCs w:val="20"/>
                <w:color w:val="auto"/>
              </w:rPr>
            </w:pPr>
            <w:r>
              <w:rPr>
                <w:rFonts w:ascii="Arial" w:cs="Arial" w:eastAsia="Arial" w:hAnsi="Arial"/>
                <w:sz w:val="15"/>
                <w:szCs w:val="15"/>
                <w:color w:val="auto"/>
              </w:rPr>
              <w:t>—</w:t>
            </w:r>
          </w:p>
        </w:tc>
        <w:tc>
          <w:tcPr>
            <w:tcW w:w="880" w:type="dxa"/>
            <w:vAlign w:val="bottom"/>
            <w:shd w:val="clear" w:color="auto" w:fill="E8F0F8"/>
          </w:tcPr>
          <w:p>
            <w:pPr>
              <w:ind w:left="80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E8F0F8"/>
          </w:tcPr>
          <w:p>
            <w:pPr>
              <w:jc w:val="right"/>
              <w:ind w:right="544"/>
              <w:spacing w:after="0"/>
              <w:rPr>
                <w:sz w:val="20"/>
                <w:szCs w:val="20"/>
                <w:color w:val="auto"/>
              </w:rPr>
            </w:pPr>
            <w:r>
              <w:rPr>
                <w:rFonts w:ascii="Arial" w:cs="Arial" w:eastAsia="Arial" w:hAnsi="Arial"/>
                <w:sz w:val="15"/>
                <w:szCs w:val="15"/>
                <w:color w:val="auto"/>
              </w:rPr>
              <w:t>5,463,914</w:t>
            </w:r>
          </w:p>
        </w:tc>
        <w:tc>
          <w:tcPr>
            <w:tcW w:w="0" w:type="dxa"/>
            <w:vAlign w:val="bottom"/>
          </w:tcPr>
          <w:p>
            <w:pPr>
              <w:spacing w:after="0"/>
              <w:rPr>
                <w:sz w:val="1"/>
                <w:szCs w:val="1"/>
                <w:color w:val="auto"/>
              </w:rPr>
            </w:pPr>
          </w:p>
        </w:tc>
      </w:tr>
      <w:tr>
        <w:trPr>
          <w:trHeight w:val="216"/>
        </w:trPr>
        <w:tc>
          <w:tcPr>
            <w:tcW w:w="4260" w:type="dxa"/>
            <w:vAlign w:val="bottom"/>
            <w:shd w:val="clear" w:color="auto" w:fill="E8F0F8"/>
          </w:tcPr>
          <w:p>
            <w:pPr>
              <w:ind w:left="380"/>
              <w:spacing w:after="0"/>
              <w:rPr>
                <w:sz w:val="20"/>
                <w:szCs w:val="20"/>
                <w:color w:val="auto"/>
              </w:rPr>
            </w:pPr>
            <w:r>
              <w:rPr>
                <w:rFonts w:ascii="Arial" w:cs="Arial" w:eastAsia="Arial" w:hAnsi="Arial"/>
                <w:sz w:val="15"/>
                <w:szCs w:val="15"/>
                <w:color w:val="auto"/>
              </w:rPr>
              <w:t>Time-based RSUs</w:t>
            </w:r>
          </w:p>
        </w:tc>
        <w:tc>
          <w:tcPr>
            <w:tcW w:w="380" w:type="dxa"/>
            <w:vAlign w:val="bottom"/>
            <w:shd w:val="clear" w:color="auto" w:fill="E8F0F8"/>
          </w:tcPr>
          <w:p>
            <w:pPr>
              <w:spacing w:after="0"/>
              <w:rPr>
                <w:sz w:val="18"/>
                <w:szCs w:val="18"/>
                <w:color w:val="auto"/>
              </w:rPr>
            </w:pPr>
          </w:p>
        </w:tc>
        <w:tc>
          <w:tcPr>
            <w:tcW w:w="500" w:type="dxa"/>
            <w:vAlign w:val="bottom"/>
            <w:shd w:val="clear" w:color="auto" w:fill="E8F0F8"/>
          </w:tcPr>
          <w:p>
            <w:pPr>
              <w:spacing w:after="0"/>
              <w:rPr>
                <w:sz w:val="18"/>
                <w:szCs w:val="18"/>
                <w:color w:val="auto"/>
              </w:rPr>
            </w:pPr>
          </w:p>
        </w:tc>
        <w:tc>
          <w:tcPr>
            <w:tcW w:w="1080" w:type="dxa"/>
            <w:vAlign w:val="bottom"/>
            <w:shd w:val="clear" w:color="auto" w:fill="E8F0F8"/>
          </w:tcPr>
          <w:p>
            <w:pPr>
              <w:jc w:val="right"/>
              <w:ind w:right="584"/>
              <w:spacing w:after="0"/>
              <w:rPr>
                <w:sz w:val="20"/>
                <w:szCs w:val="20"/>
                <w:color w:val="auto"/>
              </w:rPr>
            </w:pPr>
            <w:r>
              <w:rPr>
                <w:rFonts w:ascii="Arial" w:cs="Arial" w:eastAsia="Arial" w:hAnsi="Arial"/>
                <w:sz w:val="15"/>
                <w:szCs w:val="15"/>
                <w:color w:val="auto"/>
              </w:rPr>
              <w:t>—</w:t>
            </w:r>
          </w:p>
        </w:tc>
        <w:tc>
          <w:tcPr>
            <w:tcW w:w="1040" w:type="dxa"/>
            <w:vAlign w:val="bottom"/>
            <w:shd w:val="clear" w:color="auto" w:fill="E8F0F8"/>
          </w:tcPr>
          <w:p>
            <w:pPr>
              <w:spacing w:after="0"/>
              <w:rPr>
                <w:sz w:val="18"/>
                <w:szCs w:val="18"/>
                <w:color w:val="auto"/>
              </w:rPr>
            </w:pPr>
          </w:p>
        </w:tc>
        <w:tc>
          <w:tcPr>
            <w:tcW w:w="1480" w:type="dxa"/>
            <w:vAlign w:val="bottom"/>
            <w:shd w:val="clear" w:color="auto" w:fill="E8F0F8"/>
          </w:tcPr>
          <w:p>
            <w:pPr>
              <w:jc w:val="right"/>
              <w:ind w:right="704"/>
              <w:spacing w:after="0"/>
              <w:rPr>
                <w:sz w:val="20"/>
                <w:szCs w:val="20"/>
                <w:color w:val="auto"/>
              </w:rPr>
            </w:pPr>
            <w:r>
              <w:rPr>
                <w:rFonts w:ascii="Arial" w:cs="Arial" w:eastAsia="Arial" w:hAnsi="Arial"/>
                <w:sz w:val="15"/>
                <w:szCs w:val="15"/>
                <w:color w:val="auto"/>
              </w:rPr>
              <w:t>—</w:t>
            </w:r>
          </w:p>
        </w:tc>
        <w:tc>
          <w:tcPr>
            <w:tcW w:w="880" w:type="dxa"/>
            <w:vAlign w:val="bottom"/>
            <w:shd w:val="clear" w:color="auto" w:fill="E8F0F8"/>
          </w:tcPr>
          <w:p>
            <w:pPr>
              <w:ind w:left="80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E8F0F8"/>
          </w:tcPr>
          <w:p>
            <w:pPr>
              <w:jc w:val="right"/>
              <w:ind w:right="544"/>
              <w:spacing w:after="0"/>
              <w:rPr>
                <w:sz w:val="20"/>
                <w:szCs w:val="20"/>
                <w:color w:val="auto"/>
              </w:rPr>
            </w:pPr>
            <w:r>
              <w:rPr>
                <w:rFonts w:ascii="Arial" w:cs="Arial" w:eastAsia="Arial" w:hAnsi="Arial"/>
                <w:sz w:val="15"/>
                <w:szCs w:val="15"/>
                <w:color w:val="auto"/>
              </w:rPr>
              <w:t>1,688,161</w:t>
            </w:r>
          </w:p>
        </w:tc>
        <w:tc>
          <w:tcPr>
            <w:tcW w:w="0" w:type="dxa"/>
            <w:vAlign w:val="bottom"/>
          </w:tcPr>
          <w:p>
            <w:pPr>
              <w:spacing w:after="0"/>
              <w:rPr>
                <w:sz w:val="1"/>
                <w:szCs w:val="1"/>
                <w:color w:val="auto"/>
              </w:rPr>
            </w:pPr>
          </w:p>
        </w:tc>
      </w:tr>
      <w:tr>
        <w:trPr>
          <w:trHeight w:val="216"/>
        </w:trPr>
        <w:tc>
          <w:tcPr>
            <w:tcW w:w="4260" w:type="dxa"/>
            <w:vAlign w:val="bottom"/>
            <w:shd w:val="clear" w:color="auto" w:fill="E8F0F8"/>
          </w:tcPr>
          <w:p>
            <w:pPr>
              <w:ind w:left="380"/>
              <w:spacing w:after="0"/>
              <w:rPr>
                <w:sz w:val="20"/>
                <w:szCs w:val="20"/>
                <w:color w:val="auto"/>
              </w:rPr>
            </w:pPr>
            <w:r>
              <w:rPr>
                <w:rFonts w:ascii="Arial" w:cs="Arial" w:eastAsia="Arial" w:hAnsi="Arial"/>
                <w:sz w:val="15"/>
                <w:szCs w:val="15"/>
                <w:color w:val="auto"/>
              </w:rPr>
              <w:t>Medical, Dental and Vision</w:t>
            </w:r>
          </w:p>
        </w:tc>
        <w:tc>
          <w:tcPr>
            <w:tcW w:w="380" w:type="dxa"/>
            <w:vAlign w:val="bottom"/>
            <w:shd w:val="clear" w:color="auto" w:fill="E8F0F8"/>
          </w:tcPr>
          <w:p>
            <w:pPr>
              <w:spacing w:after="0"/>
              <w:rPr>
                <w:sz w:val="18"/>
                <w:szCs w:val="18"/>
                <w:color w:val="auto"/>
              </w:rPr>
            </w:pPr>
          </w:p>
        </w:tc>
        <w:tc>
          <w:tcPr>
            <w:tcW w:w="500" w:type="dxa"/>
            <w:vAlign w:val="bottom"/>
            <w:shd w:val="clear" w:color="auto" w:fill="E8F0F8"/>
          </w:tcPr>
          <w:p>
            <w:pPr>
              <w:spacing w:after="0"/>
              <w:rPr>
                <w:sz w:val="18"/>
                <w:szCs w:val="18"/>
                <w:color w:val="auto"/>
              </w:rPr>
            </w:pPr>
          </w:p>
        </w:tc>
        <w:tc>
          <w:tcPr>
            <w:tcW w:w="1080" w:type="dxa"/>
            <w:vAlign w:val="bottom"/>
            <w:shd w:val="clear" w:color="auto" w:fill="E8F0F8"/>
          </w:tcPr>
          <w:p>
            <w:pPr>
              <w:jc w:val="right"/>
              <w:ind w:right="584"/>
              <w:spacing w:after="0"/>
              <w:rPr>
                <w:sz w:val="20"/>
                <w:szCs w:val="20"/>
                <w:color w:val="auto"/>
              </w:rPr>
            </w:pPr>
            <w:r>
              <w:rPr>
                <w:rFonts w:ascii="Arial" w:cs="Arial" w:eastAsia="Arial" w:hAnsi="Arial"/>
                <w:sz w:val="15"/>
                <w:szCs w:val="15"/>
                <w:color w:val="auto"/>
              </w:rPr>
              <w:t>—</w:t>
            </w:r>
          </w:p>
        </w:tc>
        <w:tc>
          <w:tcPr>
            <w:tcW w:w="1040" w:type="dxa"/>
            <w:vAlign w:val="bottom"/>
            <w:shd w:val="clear" w:color="auto" w:fill="E8F0F8"/>
          </w:tcPr>
          <w:p>
            <w:pPr>
              <w:ind w:left="940"/>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E8F0F8"/>
          </w:tcPr>
          <w:p>
            <w:pPr>
              <w:jc w:val="right"/>
              <w:ind w:right="704"/>
              <w:spacing w:after="0"/>
              <w:rPr>
                <w:sz w:val="20"/>
                <w:szCs w:val="20"/>
                <w:color w:val="auto"/>
              </w:rPr>
            </w:pPr>
            <w:r>
              <w:rPr>
                <w:rFonts w:ascii="Arial" w:cs="Arial" w:eastAsia="Arial" w:hAnsi="Arial"/>
                <w:sz w:val="15"/>
                <w:szCs w:val="15"/>
                <w:color w:val="auto"/>
              </w:rPr>
              <w:t>26,183</w:t>
            </w:r>
          </w:p>
        </w:tc>
        <w:tc>
          <w:tcPr>
            <w:tcW w:w="880" w:type="dxa"/>
            <w:vAlign w:val="bottom"/>
            <w:shd w:val="clear" w:color="auto" w:fill="E8F0F8"/>
          </w:tcPr>
          <w:p>
            <w:pPr>
              <w:ind w:left="80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E8F0F8"/>
          </w:tcPr>
          <w:p>
            <w:pPr>
              <w:jc w:val="right"/>
              <w:ind w:right="544"/>
              <w:spacing w:after="0"/>
              <w:rPr>
                <w:sz w:val="20"/>
                <w:szCs w:val="20"/>
                <w:color w:val="auto"/>
              </w:rPr>
            </w:pPr>
            <w:r>
              <w:rPr>
                <w:rFonts w:ascii="Arial" w:cs="Arial" w:eastAsia="Arial" w:hAnsi="Arial"/>
                <w:sz w:val="15"/>
                <w:szCs w:val="15"/>
                <w:color w:val="auto"/>
              </w:rPr>
              <w:t>39,274</w:t>
            </w:r>
          </w:p>
        </w:tc>
        <w:tc>
          <w:tcPr>
            <w:tcW w:w="0" w:type="dxa"/>
            <w:vAlign w:val="bottom"/>
          </w:tcPr>
          <w:p>
            <w:pPr>
              <w:spacing w:after="0"/>
              <w:rPr>
                <w:sz w:val="1"/>
                <w:szCs w:val="1"/>
                <w:color w:val="auto"/>
              </w:rPr>
            </w:pPr>
          </w:p>
        </w:tc>
      </w:tr>
      <w:tr>
        <w:trPr>
          <w:trHeight w:val="224"/>
        </w:trPr>
        <w:tc>
          <w:tcPr>
            <w:tcW w:w="4260" w:type="dxa"/>
            <w:vAlign w:val="bottom"/>
            <w:shd w:val="clear" w:color="auto" w:fill="E8F0F8"/>
          </w:tcPr>
          <w:p>
            <w:pPr>
              <w:ind w:left="420"/>
              <w:spacing w:after="0" w:line="224" w:lineRule="exact"/>
              <w:rPr>
                <w:sz w:val="20"/>
                <w:szCs w:val="20"/>
                <w:color w:val="auto"/>
              </w:rPr>
            </w:pPr>
            <w:r>
              <w:rPr>
                <w:rFonts w:ascii="Arial" w:cs="Arial" w:eastAsia="Arial" w:hAnsi="Arial"/>
                <w:sz w:val="15"/>
                <w:szCs w:val="15"/>
                <w:color w:val="auto"/>
              </w:rPr>
              <w:t>Outplacement</w:t>
            </w:r>
            <w:r>
              <w:rPr>
                <w:rFonts w:ascii="Arial" w:cs="Arial" w:eastAsia="Arial" w:hAnsi="Arial"/>
                <w:sz w:val="25"/>
                <w:szCs w:val="25"/>
                <w:color w:val="auto"/>
                <w:vertAlign w:val="superscript"/>
              </w:rPr>
              <w:t>(5)</w:t>
            </w:r>
          </w:p>
        </w:tc>
        <w:tc>
          <w:tcPr>
            <w:tcW w:w="380" w:type="dxa"/>
            <w:vAlign w:val="bottom"/>
            <w:shd w:val="clear" w:color="auto" w:fill="E8F0F8"/>
          </w:tcPr>
          <w:p>
            <w:pPr>
              <w:spacing w:after="0"/>
              <w:rPr>
                <w:sz w:val="19"/>
                <w:szCs w:val="19"/>
                <w:color w:val="auto"/>
              </w:rPr>
            </w:pPr>
          </w:p>
        </w:tc>
        <w:tc>
          <w:tcPr>
            <w:tcW w:w="500" w:type="dxa"/>
            <w:vAlign w:val="bottom"/>
            <w:shd w:val="clear" w:color="auto" w:fill="E8F0F8"/>
          </w:tcPr>
          <w:p>
            <w:pPr>
              <w:spacing w:after="0"/>
              <w:rPr>
                <w:sz w:val="19"/>
                <w:szCs w:val="19"/>
                <w:color w:val="auto"/>
              </w:rPr>
            </w:pPr>
          </w:p>
        </w:tc>
        <w:tc>
          <w:tcPr>
            <w:tcW w:w="1080" w:type="dxa"/>
            <w:vAlign w:val="bottom"/>
            <w:shd w:val="clear" w:color="auto" w:fill="E8F0F8"/>
          </w:tcPr>
          <w:p>
            <w:pPr>
              <w:jc w:val="right"/>
              <w:ind w:right="584"/>
              <w:spacing w:after="0"/>
              <w:rPr>
                <w:sz w:val="20"/>
                <w:szCs w:val="20"/>
                <w:color w:val="auto"/>
              </w:rPr>
            </w:pPr>
            <w:r>
              <w:rPr>
                <w:rFonts w:ascii="Arial" w:cs="Arial" w:eastAsia="Arial" w:hAnsi="Arial"/>
                <w:sz w:val="15"/>
                <w:szCs w:val="15"/>
                <w:color w:val="auto"/>
              </w:rPr>
              <w:t>—</w:t>
            </w:r>
          </w:p>
        </w:tc>
        <w:tc>
          <w:tcPr>
            <w:tcW w:w="1040" w:type="dxa"/>
            <w:vAlign w:val="bottom"/>
            <w:shd w:val="clear" w:color="auto" w:fill="E8F0F8"/>
          </w:tcPr>
          <w:p>
            <w:pPr>
              <w:ind w:left="940"/>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E8F0F8"/>
          </w:tcPr>
          <w:p>
            <w:pPr>
              <w:jc w:val="right"/>
              <w:ind w:right="704"/>
              <w:spacing w:after="0"/>
              <w:rPr>
                <w:sz w:val="20"/>
                <w:szCs w:val="20"/>
                <w:color w:val="auto"/>
              </w:rPr>
            </w:pPr>
            <w:r>
              <w:rPr>
                <w:rFonts w:ascii="Arial" w:cs="Arial" w:eastAsia="Arial" w:hAnsi="Arial"/>
                <w:sz w:val="15"/>
                <w:szCs w:val="15"/>
                <w:color w:val="auto"/>
              </w:rPr>
              <w:t>32,000</w:t>
            </w:r>
          </w:p>
        </w:tc>
        <w:tc>
          <w:tcPr>
            <w:tcW w:w="880" w:type="dxa"/>
            <w:vAlign w:val="bottom"/>
            <w:shd w:val="clear" w:color="auto" w:fill="E8F0F8"/>
          </w:tcPr>
          <w:p>
            <w:pPr>
              <w:ind w:left="80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E8F0F8"/>
          </w:tcPr>
          <w:p>
            <w:pPr>
              <w:jc w:val="right"/>
              <w:ind w:right="544"/>
              <w:spacing w:after="0"/>
              <w:rPr>
                <w:sz w:val="20"/>
                <w:szCs w:val="20"/>
                <w:color w:val="auto"/>
              </w:rPr>
            </w:pPr>
            <w:r>
              <w:rPr>
                <w:rFonts w:ascii="Arial" w:cs="Arial" w:eastAsia="Arial" w:hAnsi="Arial"/>
                <w:sz w:val="15"/>
                <w:szCs w:val="15"/>
                <w:color w:val="auto"/>
              </w:rPr>
              <w:t>32,000</w:t>
            </w:r>
          </w:p>
        </w:tc>
        <w:tc>
          <w:tcPr>
            <w:tcW w:w="0" w:type="dxa"/>
            <w:vAlign w:val="bottom"/>
          </w:tcPr>
          <w:p>
            <w:pPr>
              <w:spacing w:after="0"/>
              <w:rPr>
                <w:sz w:val="1"/>
                <w:szCs w:val="1"/>
                <w:color w:val="auto"/>
              </w:rPr>
            </w:pPr>
          </w:p>
        </w:tc>
      </w:tr>
      <w:tr>
        <w:trPr>
          <w:trHeight w:val="212"/>
        </w:trPr>
        <w:tc>
          <w:tcPr>
            <w:tcW w:w="4260" w:type="dxa"/>
            <w:vAlign w:val="bottom"/>
            <w:tcBorders>
              <w:bottom w:val="single" w:sz="8" w:color="auto"/>
            </w:tcBorders>
            <w:shd w:val="clear" w:color="auto" w:fill="E8F0F8"/>
          </w:tcPr>
          <w:p>
            <w:pPr>
              <w:ind w:left="380"/>
              <w:spacing w:after="0"/>
              <w:rPr>
                <w:sz w:val="20"/>
                <w:szCs w:val="20"/>
                <w:color w:val="auto"/>
              </w:rPr>
            </w:pPr>
            <w:r>
              <w:rPr>
                <w:rFonts w:ascii="Arial" w:cs="Arial" w:eastAsia="Arial" w:hAnsi="Arial"/>
                <w:sz w:val="15"/>
                <w:szCs w:val="15"/>
                <w:b w:val="1"/>
                <w:bCs w:val="1"/>
                <w:color w:val="auto"/>
              </w:rPr>
              <w:t>Total</w:t>
            </w:r>
          </w:p>
        </w:tc>
        <w:tc>
          <w:tcPr>
            <w:tcW w:w="380" w:type="dxa"/>
            <w:vAlign w:val="bottom"/>
            <w:tcBorders>
              <w:bottom w:val="single" w:sz="8" w:color="auto"/>
            </w:tcBorders>
            <w:shd w:val="clear" w:color="auto" w:fill="E8F0F8"/>
          </w:tcPr>
          <w:p>
            <w:pPr>
              <w:spacing w:after="0"/>
              <w:rPr>
                <w:sz w:val="18"/>
                <w:szCs w:val="18"/>
                <w:color w:val="auto"/>
              </w:rPr>
            </w:pPr>
          </w:p>
        </w:tc>
        <w:tc>
          <w:tcPr>
            <w:tcW w:w="500" w:type="dxa"/>
            <w:vAlign w:val="bottom"/>
            <w:tcBorders>
              <w:bottom w:val="single" w:sz="8" w:color="auto"/>
            </w:tcBorders>
            <w:shd w:val="clear" w:color="auto" w:fill="E8F0F8"/>
          </w:tcPr>
          <w:p>
            <w:pPr>
              <w:spacing w:after="0"/>
              <w:rPr>
                <w:sz w:val="18"/>
                <w:szCs w:val="18"/>
                <w:color w:val="auto"/>
              </w:rPr>
            </w:pPr>
          </w:p>
        </w:tc>
        <w:tc>
          <w:tcPr>
            <w:tcW w:w="1080" w:type="dxa"/>
            <w:vAlign w:val="bottom"/>
            <w:tcBorders>
              <w:bottom w:val="single" w:sz="8" w:color="auto"/>
            </w:tcBorders>
            <w:shd w:val="clear" w:color="auto" w:fill="E8F0F8"/>
          </w:tcPr>
          <w:p>
            <w:pPr>
              <w:jc w:val="right"/>
              <w:ind w:right="584"/>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shd w:val="clear" w:color="auto" w:fill="E8F0F8"/>
          </w:tcPr>
          <w:p>
            <w:pPr>
              <w:ind w:left="940"/>
              <w:spacing w:after="0"/>
              <w:rPr>
                <w:sz w:val="20"/>
                <w:szCs w:val="20"/>
                <w:color w:val="auto"/>
              </w:rPr>
            </w:pPr>
            <w:r>
              <w:rPr>
                <w:rFonts w:ascii="Arial" w:cs="Arial" w:eastAsia="Arial" w:hAnsi="Arial"/>
                <w:sz w:val="15"/>
                <w:szCs w:val="15"/>
                <w:b w:val="1"/>
                <w:bCs w:val="1"/>
                <w:color w:val="auto"/>
                <w:w w:val="95"/>
              </w:rPr>
              <w:t>$</w:t>
            </w:r>
          </w:p>
        </w:tc>
        <w:tc>
          <w:tcPr>
            <w:tcW w:w="1480" w:type="dxa"/>
            <w:vAlign w:val="bottom"/>
            <w:tcBorders>
              <w:bottom w:val="single" w:sz="8" w:color="auto"/>
            </w:tcBorders>
            <w:shd w:val="clear" w:color="auto" w:fill="E8F0F8"/>
          </w:tcPr>
          <w:p>
            <w:pPr>
              <w:jc w:val="right"/>
              <w:ind w:right="704"/>
              <w:spacing w:after="0"/>
              <w:rPr>
                <w:sz w:val="20"/>
                <w:szCs w:val="20"/>
                <w:color w:val="auto"/>
              </w:rPr>
            </w:pPr>
            <w:r>
              <w:rPr>
                <w:rFonts w:ascii="Arial" w:cs="Arial" w:eastAsia="Arial" w:hAnsi="Arial"/>
                <w:sz w:val="15"/>
                <w:szCs w:val="15"/>
                <w:b w:val="1"/>
                <w:bCs w:val="1"/>
                <w:color w:val="auto"/>
              </w:rPr>
              <w:t>1,495,109</w:t>
            </w:r>
          </w:p>
        </w:tc>
        <w:tc>
          <w:tcPr>
            <w:tcW w:w="880" w:type="dxa"/>
            <w:vAlign w:val="bottom"/>
            <w:tcBorders>
              <w:bottom w:val="single" w:sz="8" w:color="auto"/>
            </w:tcBorders>
            <w:shd w:val="clear" w:color="auto" w:fill="E8F0F8"/>
          </w:tcPr>
          <w:p>
            <w:pPr>
              <w:ind w:left="800"/>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bottom w:val="single" w:sz="8" w:color="auto"/>
            </w:tcBorders>
            <w:shd w:val="clear" w:color="auto" w:fill="E8F0F8"/>
          </w:tcPr>
          <w:p>
            <w:pPr>
              <w:jc w:val="right"/>
              <w:ind w:right="544"/>
              <w:spacing w:after="0"/>
              <w:rPr>
                <w:sz w:val="20"/>
                <w:szCs w:val="20"/>
                <w:color w:val="auto"/>
              </w:rPr>
            </w:pPr>
            <w:r>
              <w:rPr>
                <w:rFonts w:ascii="Arial" w:cs="Arial" w:eastAsia="Arial" w:hAnsi="Arial"/>
                <w:sz w:val="15"/>
                <w:szCs w:val="15"/>
                <w:b w:val="1"/>
                <w:bCs w:val="1"/>
                <w:color w:val="auto"/>
              </w:rPr>
              <w:t>9,378,738</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Notes to the Potential Post-Termination Payments Table</w:t>
      </w:r>
    </w:p>
    <w:p>
      <w:pPr>
        <w:spacing w:after="0" w:line="137" w:lineRule="exact"/>
        <w:rPr>
          <w:sz w:val="20"/>
          <w:szCs w:val="20"/>
          <w:color w:val="auto"/>
        </w:rPr>
      </w:pPr>
    </w:p>
    <w:p>
      <w:pPr>
        <w:ind w:left="640" w:right="100" w:hanging="436"/>
        <w:spacing w:after="0" w:line="242" w:lineRule="auto"/>
        <w:tabs>
          <w:tab w:leader="none" w:pos="6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In the event of an executive’s death or disability, all outstanding time-based equity awards and earned performance-based equity awards under the Company’s LTI program will vest in full and all unearned performance-based equity awards will remain outstanding and eligible to vest based on actual performance. The value of such accelerated awards for all NEOs would be the same amount as shown in column (d) for such NEO (based on actual performance estimated as of December 31, 2018).</w:t>
      </w:r>
    </w:p>
    <w:p>
      <w:pPr>
        <w:spacing w:after="0" w:line="161" w:lineRule="exact"/>
        <w:rPr>
          <w:rFonts w:ascii="Arial" w:cs="Arial" w:eastAsia="Arial" w:hAnsi="Arial"/>
          <w:sz w:val="14"/>
          <w:szCs w:val="14"/>
          <w:color w:val="auto"/>
        </w:rPr>
      </w:pPr>
    </w:p>
    <w:p>
      <w:pPr>
        <w:ind w:left="640" w:right="60" w:hanging="436"/>
        <w:spacing w:after="0" w:line="241" w:lineRule="auto"/>
        <w:tabs>
          <w:tab w:leader="none" w:pos="6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Ms. Alexander was eligible for potential payments upon retirement at December 31, 2018. Upon retirement, 70% of any vested CSPU awards would be paid following, if applicable, the six-month delay required by Section 409A of the Internal Revenue Code, 70% of any unvested CSPU awards would vest immediately upon certification of the achievement of the applicable performance goals and would be paid following, if applicable, the six-month delay required by Section 409A of the Internal Revenue Code. Any unvested PSU and MSU awards would, subject to the achievement of any applicable performance goals, remain outstanding and vest in accordance with the terms of such awards based on actual performance as to 70% of the earned shares. The amount listed in column (b) is the estimated value of 70% of all unvested awards held by Ms. Alexander, based on actual performance estimated as of December 31, 2018, for unearned performance-based awards. Based on years of service, Ms. Alexander was eligible for accelerated vesting on 70% of her outstanding awards as of December 31, 2018.</w:t>
      </w:r>
    </w:p>
    <w:p>
      <w:pPr>
        <w:spacing w:after="0" w:line="2" w:lineRule="exact"/>
        <w:rPr>
          <w:rFonts w:ascii="Arial" w:cs="Arial" w:eastAsia="Arial" w:hAnsi="Arial"/>
          <w:sz w:val="14"/>
          <w:szCs w:val="14"/>
          <w:color w:val="auto"/>
        </w:rPr>
      </w:pPr>
    </w:p>
    <w:p>
      <w:pPr>
        <w:ind w:left="640" w:right="160" w:hanging="436"/>
        <w:spacing w:after="0" w:line="241" w:lineRule="auto"/>
        <w:tabs>
          <w:tab w:leader="none" w:pos="6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The amounts listed in column (c) and column (d) for Performance-based RSUs for the applicable named executive officers includes the value of applicable unvested awards based on actual performance estimated as of December 31, 2018.</w:t>
      </w:r>
    </w:p>
    <w:p>
      <w:pPr>
        <w:ind w:left="640" w:right="240" w:hanging="436"/>
        <w:spacing w:after="0" w:line="258" w:lineRule="auto"/>
        <w:tabs>
          <w:tab w:leader="none" w:pos="6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Pursuant to his employment agreement, upon an involuntary termination by the Company without cause or involuntary employment action not following a corporate transaction or CIC, Mr. Vounatsos is eligible to receive a lump sum payment within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69215</wp:posOffset>
            </wp:positionV>
            <wp:extent cx="685800" cy="15430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-71120</wp:posOffset>
            </wp:positionV>
            <wp:extent cx="102870" cy="9461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40"/>
          </w:cols>
          <w:pgMar w:left="240" w:top="459" w:right="419" w:bottom="1097"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140"/>
        </w:numPr>
        <w:rPr>
          <w:rFonts w:ascii="Arial" w:cs="Arial" w:eastAsia="Arial" w:hAnsi="Arial"/>
          <w:sz w:val="90"/>
          <w:szCs w:val="90"/>
          <w:color w:val="1A6DBB"/>
        </w:rPr>
      </w:pPr>
      <w:r>
        <w:rPr>
          <w:rFonts w:ascii="Arial" w:cs="Arial" w:eastAsia="Arial" w:hAnsi="Arial"/>
          <w:sz w:val="41"/>
          <w:szCs w:val="41"/>
          <w:color w:val="1A6DBB"/>
        </w:rPr>
        <w:t xml:space="preserve">Executive Compensation Matters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right="40"/>
        <w:spacing w:after="0" w:line="241" w:lineRule="auto"/>
        <w:rPr>
          <w:sz w:val="20"/>
          <w:szCs w:val="20"/>
          <w:color w:val="auto"/>
        </w:rPr>
      </w:pPr>
      <w:r>
        <w:rPr>
          <w:rFonts w:ascii="Arial" w:cs="Arial" w:eastAsia="Arial" w:hAnsi="Arial"/>
          <w:sz w:val="14"/>
          <w:szCs w:val="14"/>
          <w:color w:val="auto"/>
        </w:rPr>
        <w:t>consisting of the pro rata portion of the target bonus for the year of termination and an amount equal to the sum of the annual base salary rate and target bonus in effect at the time of termination multiplied by a factor of 1.5, continuation of medical, dental and vision insurance for up to 18 months and up to 12 months of executive outplacement services. Upon an involuntary termination by the Company without cause or an involuntary employment action following a corporate transaction or CIC, Mr. Vounatsos is eligible to receive a lump sum payment within 60 days consisting of the pro rata portion of the target bonus for the year of termination and an amount equal to the sum of the annual base salary rate and target bonus in effect at the time of termination multiplied by a factor of 2.0, continuation of medical, dental and vision insurance for up to 24 months and up to 12 months of outplacement services.</w:t>
      </w:r>
    </w:p>
    <w:p>
      <w:pPr>
        <w:spacing w:after="0" w:line="2" w:lineRule="exact"/>
        <w:rPr>
          <w:sz w:val="20"/>
          <w:szCs w:val="20"/>
          <w:color w:val="auto"/>
        </w:rPr>
      </w:pPr>
    </w:p>
    <w:p>
      <w:pPr>
        <w:ind w:left="640" w:hanging="436"/>
        <w:spacing w:after="0"/>
        <w:tabs>
          <w:tab w:leader="none" w:pos="6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The named executive officers are provided outplacement services at a cost of up to $32,000 for the Executive Vice President level.</w:t>
      </w:r>
    </w:p>
    <w:p>
      <w:pPr>
        <w:spacing w:after="0" w:line="1" w:lineRule="exact"/>
        <w:rPr>
          <w:rFonts w:ascii="Arial" w:cs="Arial" w:eastAsia="Arial" w:hAnsi="Arial"/>
          <w:sz w:val="14"/>
          <w:szCs w:val="14"/>
          <w:color w:val="auto"/>
        </w:rPr>
      </w:pPr>
    </w:p>
    <w:p>
      <w:pPr>
        <w:ind w:left="640" w:right="880" w:hanging="436"/>
        <w:spacing w:after="0" w:line="258" w:lineRule="auto"/>
        <w:tabs>
          <w:tab w:leader="none" w:pos="6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The payments for Ms. Alexander upon a corporate transaction or a corporate change in control on December 31, 2018, would not have been subject to a Section 280G excise tax.</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1A6DBB"/>
        </w:rPr>
        <w:t>CEO Pay Ratio</w:t>
      </w:r>
    </w:p>
    <w:p>
      <w:pPr>
        <w:spacing w:after="0" w:line="133" w:lineRule="exact"/>
        <w:rPr>
          <w:sz w:val="20"/>
          <w:szCs w:val="20"/>
          <w:color w:val="auto"/>
        </w:rPr>
      </w:pPr>
    </w:p>
    <w:p>
      <w:pPr>
        <w:ind w:left="200" w:right="120"/>
        <w:spacing w:after="0" w:line="250" w:lineRule="auto"/>
        <w:rPr>
          <w:sz w:val="20"/>
          <w:szCs w:val="20"/>
          <w:color w:val="auto"/>
        </w:rPr>
      </w:pPr>
      <w:r>
        <w:rPr>
          <w:rFonts w:ascii="Arial" w:cs="Arial" w:eastAsia="Arial" w:hAnsi="Arial"/>
          <w:sz w:val="16"/>
          <w:szCs w:val="16"/>
          <w:color w:val="auto"/>
        </w:rPr>
        <w:t>We believe executive pay must be internally consistent and equitable to motivate our employees to create stockholder value and we are committed to internal pay equity. As discussed earlier in this Proxy Statement, our compensation programs are designed to drive the creation of long-term stockholder value by delivering performance-based compensation. We invest in our employees at all levels in the Company by rewarding performance that balances risk and reward, empowering professional growth and development and by offering affordable benefits and programs that meet the diverse needs of our employees.</w:t>
      </w:r>
    </w:p>
    <w:p>
      <w:pPr>
        <w:spacing w:after="0" w:line="95" w:lineRule="exact"/>
        <w:rPr>
          <w:sz w:val="20"/>
          <w:szCs w:val="20"/>
          <w:color w:val="auto"/>
        </w:rPr>
      </w:pPr>
    </w:p>
    <w:p>
      <w:pPr>
        <w:ind w:left="200" w:right="20"/>
        <w:spacing w:after="0" w:line="251" w:lineRule="auto"/>
        <w:rPr>
          <w:sz w:val="20"/>
          <w:szCs w:val="20"/>
          <w:color w:val="auto"/>
        </w:rPr>
      </w:pPr>
      <w:r>
        <w:rPr>
          <w:rFonts w:ascii="Arial" w:cs="Arial" w:eastAsia="Arial" w:hAnsi="Arial"/>
          <w:sz w:val="16"/>
          <w:szCs w:val="16"/>
          <w:color w:val="auto"/>
        </w:rPr>
        <w:t>We believe strongly in pay-for-performance and all of our employees are eligible to participate in our annual bonus plan, our LTI programs and our benefit plans. Our annual bonus plan is consistently maintained for all participants globally, with the same Company performance goals, payout levels (as a percentage of target) and administrative provisions regardless of the participant’s job level, location or function in the Company. We also have a long-term incentive program that provides different forms of awards depending upon an employee’s level but is otherwise consistent throughout the Company.</w:t>
      </w:r>
    </w:p>
    <w:p>
      <w:pPr>
        <w:spacing w:after="0" w:line="95"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color w:val="auto"/>
        </w:rPr>
        <w:t>The following is a reasonable estimate, prepared under applicable SEC rules, of the ratio of the annual total compensation of our CEO to the median of the annual total compensation of our other employees. Under SEC rules, we used the same median employee as we used for our 2017 pay ratio because we reasonably believe there have been no changes to our employee population or compensation programs that would result in a significant change to our pay ratio disclosure. The methodology used to identify our median employee for our 2017 pay ratio is described in our 2018 proxy statement.</w:t>
      </w:r>
    </w:p>
    <w:p>
      <w:pPr>
        <w:spacing w:after="0" w:line="95" w:lineRule="exact"/>
        <w:rPr>
          <w:sz w:val="20"/>
          <w:szCs w:val="20"/>
          <w:color w:val="auto"/>
        </w:rPr>
      </w:pPr>
    </w:p>
    <w:p>
      <w:pPr>
        <w:jc w:val="both"/>
        <w:ind w:left="200" w:right="100"/>
        <w:spacing w:after="0" w:line="253" w:lineRule="auto"/>
        <w:rPr>
          <w:sz w:val="20"/>
          <w:szCs w:val="20"/>
          <w:color w:val="auto"/>
        </w:rPr>
      </w:pPr>
      <w:r>
        <w:rPr>
          <w:rFonts w:ascii="Arial" w:cs="Arial" w:eastAsia="Arial" w:hAnsi="Arial"/>
          <w:sz w:val="16"/>
          <w:szCs w:val="16"/>
          <w:color w:val="auto"/>
        </w:rPr>
        <w:t>Our median employee is a full-time employee based in the U.S. In October 2017, when we determined the median employee, approximately 59% of our workforce was based in the U.S. with the remaining approximately 41% of our workforce based in the rest of the world. In addition, approximately 98% of our workforce was full-time.</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For our median employee, annual total compensation was calculated in accordance with the SEC’s rules for the Summary Compensation Table, including</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salary, bonus, LTI grant date fair value and value of certain benefits provided, including relocation benefits. For our CEO, annual total compensation is</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equal to the amount included in the “Total” column of the Summary Compensation Table, and our CEO’s annual total compensation for 2018 was</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$16,168,646. The annual total compensation of the median employee for 2018 was $170,521, including base salary, annual bonus, LTI grant value, and</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certain benefits including one-time relocation benefit. Based on the foregoing, our estimate of the ratio of the annual total compensation of our CEO to the</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median of the annual total compensation of our other employees was 95 to 1. This pay ratio is a reasonable estimate calculated in a manner consistent</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with SEC rules based on our payroll and employment records and the methodology described above. Given the different methodologies, estimates,</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assumptions and exclusions that other public companies use to determine an estimate of their pay ratio, the estimated ratio reported above should not be</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used as a basis for comparison between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88265</wp:posOffset>
            </wp:positionV>
            <wp:extent cx="685800" cy="15430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-71120</wp:posOffset>
            </wp:positionV>
            <wp:extent cx="102870" cy="9461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142"/>
        </w:numPr>
        <w:rPr>
          <w:rFonts w:ascii="Arial" w:cs="Arial" w:eastAsia="Arial" w:hAnsi="Arial"/>
          <w:sz w:val="90"/>
          <w:szCs w:val="90"/>
          <w:color w:val="1A6DBB"/>
        </w:rPr>
      </w:pPr>
      <w:r>
        <w:rPr>
          <w:rFonts w:ascii="Arial" w:cs="Arial" w:eastAsia="Arial" w:hAnsi="Arial"/>
          <w:sz w:val="41"/>
          <w:szCs w:val="41"/>
          <w:color w:val="1A6DBB"/>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
        <w:spacing w:after="0"/>
        <w:rPr>
          <w:sz w:val="20"/>
          <w:szCs w:val="20"/>
          <w:color w:val="auto"/>
        </w:rPr>
      </w:pPr>
      <w:r>
        <w:rPr>
          <w:rFonts w:ascii="Arial" w:cs="Arial" w:eastAsia="Arial" w:hAnsi="Arial"/>
          <w:sz w:val="41"/>
          <w:szCs w:val="41"/>
          <w:color w:val="1A6DBB"/>
        </w:rPr>
        <w:t>STOCK OWNERSHIP</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and accompanying notes provide information about the beneficial ownership of our common stock by:</w:t>
      </w:r>
    </w:p>
    <w:p>
      <w:pPr>
        <w:spacing w:after="0" w:line="127" w:lineRule="exact"/>
        <w:rPr>
          <w:sz w:val="20"/>
          <w:szCs w:val="20"/>
          <w:color w:val="auto"/>
        </w:rPr>
      </w:pPr>
    </w:p>
    <w:p>
      <w:pPr>
        <w:ind w:left="420" w:hanging="216"/>
        <w:spacing w:after="0"/>
        <w:tabs>
          <w:tab w:leader="none" w:pos="420" w:val="left"/>
        </w:tabs>
        <w:numPr>
          <w:ilvl w:val="0"/>
          <w:numId w:val="143"/>
        </w:numPr>
        <w:rPr>
          <w:rFonts w:ascii="Arial" w:cs="Arial" w:eastAsia="Arial" w:hAnsi="Arial"/>
          <w:sz w:val="16"/>
          <w:szCs w:val="16"/>
          <w:color w:val="1A6DBB"/>
        </w:rPr>
      </w:pPr>
      <w:r>
        <w:rPr>
          <w:rFonts w:ascii="Arial" w:cs="Arial" w:eastAsia="Arial" w:hAnsi="Arial"/>
          <w:sz w:val="16"/>
          <w:szCs w:val="16"/>
          <w:color w:val="auto"/>
        </w:rPr>
        <w:t>each stockholder known by us to be the beneficial owner of more than 5% of our common stock;</w:t>
      </w:r>
    </w:p>
    <w:p>
      <w:pPr>
        <w:spacing w:after="0" w:line="5" w:lineRule="exact"/>
        <w:rPr>
          <w:rFonts w:ascii="Arial" w:cs="Arial" w:eastAsia="Arial" w:hAnsi="Arial"/>
          <w:sz w:val="16"/>
          <w:szCs w:val="16"/>
          <w:color w:val="1A6DBB"/>
        </w:rPr>
      </w:pPr>
    </w:p>
    <w:p>
      <w:pPr>
        <w:ind w:left="420" w:hanging="216"/>
        <w:spacing w:after="0"/>
        <w:tabs>
          <w:tab w:leader="none" w:pos="420" w:val="left"/>
        </w:tabs>
        <w:numPr>
          <w:ilvl w:val="0"/>
          <w:numId w:val="143"/>
        </w:numPr>
        <w:rPr>
          <w:rFonts w:ascii="Arial" w:cs="Arial" w:eastAsia="Arial" w:hAnsi="Arial"/>
          <w:sz w:val="16"/>
          <w:szCs w:val="16"/>
          <w:color w:val="1A6DBB"/>
        </w:rPr>
      </w:pPr>
      <w:r>
        <w:rPr>
          <w:rFonts w:ascii="Arial" w:cs="Arial" w:eastAsia="Arial" w:hAnsi="Arial"/>
          <w:sz w:val="16"/>
          <w:szCs w:val="16"/>
          <w:color w:val="auto"/>
        </w:rPr>
        <w:t>each of our named executive officers;</w:t>
      </w:r>
    </w:p>
    <w:p>
      <w:pPr>
        <w:spacing w:after="0" w:line="5" w:lineRule="exact"/>
        <w:rPr>
          <w:rFonts w:ascii="Arial" w:cs="Arial" w:eastAsia="Arial" w:hAnsi="Arial"/>
          <w:sz w:val="16"/>
          <w:szCs w:val="16"/>
          <w:color w:val="1A6DBB"/>
        </w:rPr>
      </w:pPr>
    </w:p>
    <w:p>
      <w:pPr>
        <w:ind w:left="420" w:hanging="216"/>
        <w:spacing w:after="0"/>
        <w:tabs>
          <w:tab w:leader="none" w:pos="420" w:val="left"/>
        </w:tabs>
        <w:numPr>
          <w:ilvl w:val="0"/>
          <w:numId w:val="143"/>
        </w:numPr>
        <w:rPr>
          <w:rFonts w:ascii="Arial" w:cs="Arial" w:eastAsia="Arial" w:hAnsi="Arial"/>
          <w:sz w:val="16"/>
          <w:szCs w:val="16"/>
          <w:color w:val="1A6DBB"/>
        </w:rPr>
      </w:pPr>
      <w:r>
        <w:rPr>
          <w:rFonts w:ascii="Arial" w:cs="Arial" w:eastAsia="Arial" w:hAnsi="Arial"/>
          <w:sz w:val="16"/>
          <w:szCs w:val="16"/>
          <w:color w:val="auto"/>
        </w:rPr>
        <w:t>each of our directors and nominees for director; and</w:t>
      </w:r>
    </w:p>
    <w:p>
      <w:pPr>
        <w:spacing w:after="0" w:line="5" w:lineRule="exact"/>
        <w:rPr>
          <w:rFonts w:ascii="Arial" w:cs="Arial" w:eastAsia="Arial" w:hAnsi="Arial"/>
          <w:sz w:val="16"/>
          <w:szCs w:val="16"/>
          <w:color w:val="1A6DBB"/>
        </w:rPr>
      </w:pPr>
    </w:p>
    <w:p>
      <w:pPr>
        <w:ind w:left="420" w:hanging="216"/>
        <w:spacing w:after="0"/>
        <w:tabs>
          <w:tab w:leader="none" w:pos="420" w:val="left"/>
        </w:tabs>
        <w:numPr>
          <w:ilvl w:val="0"/>
          <w:numId w:val="143"/>
        </w:numPr>
        <w:rPr>
          <w:rFonts w:ascii="Arial" w:cs="Arial" w:eastAsia="Arial" w:hAnsi="Arial"/>
          <w:sz w:val="16"/>
          <w:szCs w:val="16"/>
          <w:color w:val="1A6DBB"/>
        </w:rPr>
      </w:pPr>
      <w:r>
        <w:rPr>
          <w:rFonts w:ascii="Arial" w:cs="Arial" w:eastAsia="Arial" w:hAnsi="Arial"/>
          <w:sz w:val="16"/>
          <w:szCs w:val="16"/>
          <w:color w:val="auto"/>
        </w:rPr>
        <w:t>all of our directors and executive officers as a group.</w:t>
      </w:r>
    </w:p>
    <w:p>
      <w:pPr>
        <w:spacing w:after="0" w:line="113" w:lineRule="exact"/>
        <w:rPr>
          <w:sz w:val="20"/>
          <w:szCs w:val="20"/>
          <w:color w:val="auto"/>
        </w:rPr>
      </w:pPr>
    </w:p>
    <w:p>
      <w:pPr>
        <w:ind w:left="200" w:right="80"/>
        <w:spacing w:after="0" w:line="253" w:lineRule="auto"/>
        <w:rPr>
          <w:sz w:val="20"/>
          <w:szCs w:val="20"/>
          <w:color w:val="auto"/>
        </w:rPr>
      </w:pPr>
      <w:r>
        <w:rPr>
          <w:rFonts w:ascii="Arial" w:cs="Arial" w:eastAsia="Arial" w:hAnsi="Arial"/>
          <w:sz w:val="16"/>
          <w:szCs w:val="16"/>
          <w:color w:val="auto"/>
        </w:rPr>
        <w:t>Except as otherwise noted, the persons identified have sole voting and investment power with respect to the shares of our common stock beneficially owned. Beneficial ownership is determined in accordance with the rules of the SEC and includes voting and investment power with respect to the shares. Except as otherwise noted, the information below is as of April 19, 2019 (Ownership Date).</w:t>
      </w:r>
    </w:p>
    <w:p>
      <w:pPr>
        <w:spacing w:after="0" w:line="93" w:lineRule="exact"/>
        <w:rPr>
          <w:sz w:val="20"/>
          <w:szCs w:val="20"/>
          <w:color w:val="auto"/>
        </w:rPr>
      </w:pPr>
    </w:p>
    <w:p>
      <w:pPr>
        <w:ind w:left="200" w:right="560"/>
        <w:spacing w:after="0" w:line="260" w:lineRule="auto"/>
        <w:rPr>
          <w:sz w:val="20"/>
          <w:szCs w:val="20"/>
          <w:color w:val="auto"/>
        </w:rPr>
      </w:pPr>
      <w:r>
        <w:rPr>
          <w:rFonts w:ascii="Arial" w:cs="Arial" w:eastAsia="Arial" w:hAnsi="Arial"/>
          <w:sz w:val="16"/>
          <w:szCs w:val="16"/>
          <w:color w:val="auto"/>
        </w:rPr>
        <w:t>Unless otherwise indicated in the footnotes, the address of each of the individuals named below is: c/o Biogen Inc., 225 Binney Street, Cambridge, Massachusetts 02142.</w:t>
      </w:r>
    </w:p>
    <w:p>
      <w:pPr>
        <w:spacing w:after="0" w:line="221" w:lineRule="exact"/>
        <w:rPr>
          <w:sz w:val="20"/>
          <w:szCs w:val="20"/>
          <w:color w:val="auto"/>
        </w:rPr>
      </w:pPr>
    </w:p>
    <w:tbl>
      <w:tblPr>
        <w:tblLayout w:type="fixed"/>
        <w:tblInd w:w="220" w:type="dxa"/>
        <w:tblCellMar>
          <w:top w:w="0" w:type="dxa"/>
          <w:left w:w="0" w:type="dxa"/>
          <w:bottom w:w="0" w:type="dxa"/>
          <w:right w:w="0" w:type="dxa"/>
        </w:tblCellMar>
      </w:tblPr>
      <w:tr>
        <w:trPr>
          <w:trHeight w:val="180"/>
        </w:trPr>
        <w:tc>
          <w:tcPr>
            <w:tcW w:w="4970" w:type="dxa"/>
            <w:vAlign w:val="bottom"/>
            <w:shd w:val="clear" w:color="auto" w:fill="1A6DBB"/>
          </w:tcPr>
          <w:p>
            <w:pPr>
              <w:spacing w:after="0"/>
              <w:rPr>
                <w:sz w:val="15"/>
                <w:szCs w:val="15"/>
                <w:color w:val="auto"/>
              </w:rPr>
            </w:pPr>
          </w:p>
        </w:tc>
        <w:tc>
          <w:tcPr>
            <w:tcW w:w="1140" w:type="dxa"/>
            <w:vAlign w:val="bottom"/>
            <w:shd w:val="clear" w:color="auto" w:fill="1A6DBB"/>
          </w:tcPr>
          <w:p>
            <w:pPr>
              <w:spacing w:after="0"/>
              <w:rPr>
                <w:sz w:val="15"/>
                <w:szCs w:val="15"/>
                <w:color w:val="auto"/>
              </w:rPr>
            </w:pPr>
          </w:p>
        </w:tc>
        <w:tc>
          <w:tcPr>
            <w:tcW w:w="1650" w:type="dxa"/>
            <w:vAlign w:val="bottom"/>
            <w:shd w:val="clear" w:color="auto" w:fill="1A6DBB"/>
          </w:tcPr>
          <w:p>
            <w:pPr>
              <w:jc w:val="center"/>
              <w:ind w:left="390"/>
              <w:spacing w:after="0"/>
              <w:rPr>
                <w:sz w:val="20"/>
                <w:szCs w:val="20"/>
                <w:color w:val="auto"/>
              </w:rPr>
            </w:pPr>
            <w:r>
              <w:rPr>
                <w:rFonts w:ascii="Arial" w:cs="Arial" w:eastAsia="Arial" w:hAnsi="Arial"/>
                <w:sz w:val="14"/>
                <w:szCs w:val="14"/>
                <w:color w:val="FFFFFF"/>
              </w:rPr>
              <w:t>Shares Subject to</w:t>
            </w:r>
          </w:p>
        </w:tc>
        <w:tc>
          <w:tcPr>
            <w:tcW w:w="1760" w:type="dxa"/>
            <w:vAlign w:val="bottom"/>
            <w:shd w:val="clear" w:color="auto" w:fill="1A6DBB"/>
          </w:tcPr>
          <w:p>
            <w:pPr>
              <w:jc w:val="center"/>
              <w:ind w:left="420"/>
              <w:spacing w:after="0"/>
              <w:rPr>
                <w:sz w:val="20"/>
                <w:szCs w:val="20"/>
                <w:color w:val="auto"/>
              </w:rPr>
            </w:pPr>
            <w:r>
              <w:rPr>
                <w:rFonts w:ascii="Arial" w:cs="Arial" w:eastAsia="Arial" w:hAnsi="Arial"/>
                <w:sz w:val="14"/>
                <w:szCs w:val="14"/>
                <w:color w:val="FFFFFF"/>
              </w:rPr>
              <w:t>Total Number of</w:t>
            </w:r>
          </w:p>
        </w:tc>
        <w:tc>
          <w:tcPr>
            <w:tcW w:w="1500" w:type="dxa"/>
            <w:vAlign w:val="bottom"/>
            <w:shd w:val="clear" w:color="auto" w:fill="1A6DBB"/>
          </w:tcPr>
          <w:p>
            <w:pPr>
              <w:jc w:val="center"/>
              <w:ind w:left="40"/>
              <w:spacing w:after="0"/>
              <w:rPr>
                <w:sz w:val="20"/>
                <w:szCs w:val="20"/>
                <w:color w:val="auto"/>
              </w:rPr>
            </w:pPr>
            <w:r>
              <w:rPr>
                <w:rFonts w:ascii="Arial" w:cs="Arial" w:eastAsia="Arial" w:hAnsi="Arial"/>
                <w:sz w:val="14"/>
                <w:szCs w:val="14"/>
                <w:color w:val="FFFFFF"/>
              </w:rPr>
              <w:t>Percentage of</w:t>
            </w:r>
          </w:p>
        </w:tc>
      </w:tr>
      <w:tr>
        <w:trPr>
          <w:trHeight w:val="155"/>
        </w:trPr>
        <w:tc>
          <w:tcPr>
            <w:tcW w:w="4970" w:type="dxa"/>
            <w:vAlign w:val="bottom"/>
            <w:shd w:val="clear" w:color="auto" w:fill="1A6DBB"/>
          </w:tcPr>
          <w:p>
            <w:pPr>
              <w:spacing w:after="0"/>
              <w:rPr>
                <w:sz w:val="13"/>
                <w:szCs w:val="13"/>
                <w:color w:val="auto"/>
              </w:rPr>
            </w:pPr>
          </w:p>
        </w:tc>
        <w:tc>
          <w:tcPr>
            <w:tcW w:w="1140" w:type="dxa"/>
            <w:vAlign w:val="bottom"/>
            <w:shd w:val="clear" w:color="auto" w:fill="1A6DBB"/>
          </w:tcPr>
          <w:p>
            <w:pPr>
              <w:jc w:val="right"/>
              <w:ind w:right="170"/>
              <w:spacing w:after="0" w:line="155" w:lineRule="exact"/>
              <w:rPr>
                <w:sz w:val="20"/>
                <w:szCs w:val="20"/>
                <w:color w:val="auto"/>
              </w:rPr>
            </w:pPr>
            <w:r>
              <w:rPr>
                <w:rFonts w:ascii="Arial" w:cs="Arial" w:eastAsia="Arial" w:hAnsi="Arial"/>
                <w:sz w:val="14"/>
                <w:szCs w:val="14"/>
                <w:color w:val="FFFFFF"/>
              </w:rPr>
              <w:t>Shares</w:t>
            </w:r>
          </w:p>
        </w:tc>
        <w:tc>
          <w:tcPr>
            <w:tcW w:w="1650" w:type="dxa"/>
            <w:vAlign w:val="bottom"/>
            <w:shd w:val="clear" w:color="auto" w:fill="1A6DBB"/>
          </w:tcPr>
          <w:p>
            <w:pPr>
              <w:jc w:val="center"/>
              <w:ind w:left="390"/>
              <w:spacing w:after="0" w:line="155" w:lineRule="exact"/>
              <w:rPr>
                <w:sz w:val="20"/>
                <w:szCs w:val="20"/>
                <w:color w:val="auto"/>
              </w:rPr>
            </w:pPr>
            <w:r>
              <w:rPr>
                <w:rFonts w:ascii="Arial" w:cs="Arial" w:eastAsia="Arial" w:hAnsi="Arial"/>
                <w:sz w:val="14"/>
                <w:szCs w:val="14"/>
                <w:color w:val="FFFFFF"/>
              </w:rPr>
              <w:t>Options and</w:t>
            </w:r>
          </w:p>
        </w:tc>
        <w:tc>
          <w:tcPr>
            <w:tcW w:w="1760" w:type="dxa"/>
            <w:vAlign w:val="bottom"/>
            <w:shd w:val="clear" w:color="auto" w:fill="1A6DBB"/>
          </w:tcPr>
          <w:p>
            <w:pPr>
              <w:jc w:val="center"/>
              <w:ind w:left="420"/>
              <w:spacing w:after="0" w:line="155" w:lineRule="exact"/>
              <w:rPr>
                <w:sz w:val="20"/>
                <w:szCs w:val="20"/>
                <w:color w:val="auto"/>
              </w:rPr>
            </w:pPr>
            <w:r>
              <w:rPr>
                <w:rFonts w:ascii="Arial" w:cs="Arial" w:eastAsia="Arial" w:hAnsi="Arial"/>
                <w:sz w:val="14"/>
                <w:szCs w:val="14"/>
                <w:color w:val="FFFFFF"/>
              </w:rPr>
              <w:t>Shares Beneficially</w:t>
            </w:r>
          </w:p>
        </w:tc>
        <w:tc>
          <w:tcPr>
            <w:tcW w:w="1500" w:type="dxa"/>
            <w:vAlign w:val="bottom"/>
            <w:shd w:val="clear" w:color="auto" w:fill="1A6DBB"/>
          </w:tcPr>
          <w:p>
            <w:pPr>
              <w:jc w:val="center"/>
              <w:ind w:left="40"/>
              <w:spacing w:after="0" w:line="155" w:lineRule="exact"/>
              <w:rPr>
                <w:sz w:val="20"/>
                <w:szCs w:val="20"/>
                <w:color w:val="auto"/>
              </w:rPr>
            </w:pPr>
            <w:r>
              <w:rPr>
                <w:rFonts w:ascii="Arial" w:cs="Arial" w:eastAsia="Arial" w:hAnsi="Arial"/>
                <w:sz w:val="14"/>
                <w:szCs w:val="14"/>
                <w:color w:val="FFFFFF"/>
              </w:rPr>
              <w:t>Outstanding</w:t>
            </w:r>
          </w:p>
        </w:tc>
      </w:tr>
      <w:tr>
        <w:trPr>
          <w:trHeight w:val="178"/>
        </w:trPr>
        <w:tc>
          <w:tcPr>
            <w:tcW w:w="4970" w:type="dxa"/>
            <w:vAlign w:val="bottom"/>
            <w:shd w:val="clear" w:color="auto" w:fill="1A6DBB"/>
          </w:tcPr>
          <w:p>
            <w:pPr>
              <w:ind w:left="60"/>
              <w:spacing w:after="0"/>
              <w:rPr>
                <w:sz w:val="20"/>
                <w:szCs w:val="20"/>
                <w:color w:val="auto"/>
              </w:rPr>
            </w:pPr>
            <w:r>
              <w:rPr>
                <w:rFonts w:ascii="Arial" w:cs="Arial" w:eastAsia="Arial" w:hAnsi="Arial"/>
                <w:sz w:val="14"/>
                <w:szCs w:val="14"/>
                <w:color w:val="FFFFFF"/>
              </w:rPr>
              <w:t>Name</w:t>
            </w:r>
          </w:p>
        </w:tc>
        <w:tc>
          <w:tcPr>
            <w:tcW w:w="1140" w:type="dxa"/>
            <w:vAlign w:val="bottom"/>
            <w:shd w:val="clear" w:color="auto" w:fill="1A6DBB"/>
          </w:tcPr>
          <w:p>
            <w:pPr>
              <w:jc w:val="right"/>
              <w:ind w:right="90"/>
              <w:spacing w:after="0" w:line="179" w:lineRule="exact"/>
              <w:rPr>
                <w:sz w:val="20"/>
                <w:szCs w:val="20"/>
                <w:color w:val="auto"/>
              </w:rPr>
            </w:pPr>
            <w:r>
              <w:rPr>
                <w:rFonts w:ascii="Arial" w:cs="Arial" w:eastAsia="Arial" w:hAnsi="Arial"/>
                <w:sz w:val="12"/>
                <w:szCs w:val="12"/>
                <w:color w:val="FFFFFF"/>
              </w:rPr>
              <w:t>Owned</w:t>
            </w:r>
            <w:r>
              <w:rPr>
                <w:rFonts w:ascii="Arial" w:cs="Arial" w:eastAsia="Arial" w:hAnsi="Arial"/>
                <w:sz w:val="20"/>
                <w:szCs w:val="20"/>
                <w:color w:val="FFFFFF"/>
                <w:vertAlign w:val="superscript"/>
              </w:rPr>
              <w:t>(1)</w:t>
            </w:r>
          </w:p>
        </w:tc>
        <w:tc>
          <w:tcPr>
            <w:tcW w:w="1650" w:type="dxa"/>
            <w:vAlign w:val="bottom"/>
            <w:shd w:val="clear" w:color="auto" w:fill="1A6DBB"/>
          </w:tcPr>
          <w:p>
            <w:pPr>
              <w:jc w:val="center"/>
              <w:ind w:left="410"/>
              <w:spacing w:after="0" w:line="179" w:lineRule="exact"/>
              <w:rPr>
                <w:sz w:val="20"/>
                <w:szCs w:val="20"/>
                <w:color w:val="auto"/>
              </w:rPr>
            </w:pPr>
            <w:r>
              <w:rPr>
                <w:rFonts w:ascii="Arial" w:cs="Arial" w:eastAsia="Arial" w:hAnsi="Arial"/>
                <w:sz w:val="12"/>
                <w:szCs w:val="12"/>
                <w:color w:val="FFFFFF"/>
              </w:rPr>
              <w:t>Stock Units</w:t>
            </w:r>
            <w:r>
              <w:rPr>
                <w:rFonts w:ascii="Arial" w:cs="Arial" w:eastAsia="Arial" w:hAnsi="Arial"/>
                <w:sz w:val="20"/>
                <w:szCs w:val="20"/>
                <w:color w:val="FFFFFF"/>
                <w:vertAlign w:val="superscript"/>
              </w:rPr>
              <w:t>(2)</w:t>
            </w:r>
          </w:p>
        </w:tc>
        <w:tc>
          <w:tcPr>
            <w:tcW w:w="1760" w:type="dxa"/>
            <w:vAlign w:val="bottom"/>
            <w:shd w:val="clear" w:color="auto" w:fill="1A6DBB"/>
          </w:tcPr>
          <w:p>
            <w:pPr>
              <w:jc w:val="center"/>
              <w:ind w:left="420"/>
              <w:spacing w:after="0" w:line="179" w:lineRule="exact"/>
              <w:rPr>
                <w:sz w:val="20"/>
                <w:szCs w:val="20"/>
                <w:color w:val="auto"/>
              </w:rPr>
            </w:pPr>
            <w:r>
              <w:rPr>
                <w:rFonts w:ascii="Arial" w:cs="Arial" w:eastAsia="Arial" w:hAnsi="Arial"/>
                <w:sz w:val="12"/>
                <w:szCs w:val="12"/>
                <w:color w:val="FFFFFF"/>
              </w:rPr>
              <w:t>Owned</w:t>
            </w:r>
            <w:r>
              <w:rPr>
                <w:rFonts w:ascii="Arial" w:cs="Arial" w:eastAsia="Arial" w:hAnsi="Arial"/>
                <w:sz w:val="20"/>
                <w:szCs w:val="20"/>
                <w:color w:val="FFFFFF"/>
                <w:vertAlign w:val="superscript"/>
              </w:rPr>
              <w:t>(1)</w:t>
            </w:r>
          </w:p>
        </w:tc>
        <w:tc>
          <w:tcPr>
            <w:tcW w:w="1500" w:type="dxa"/>
            <w:vAlign w:val="bottom"/>
            <w:shd w:val="clear" w:color="auto" w:fill="1A6DBB"/>
          </w:tcPr>
          <w:p>
            <w:pPr>
              <w:jc w:val="center"/>
              <w:ind w:left="60"/>
              <w:spacing w:after="0" w:line="179" w:lineRule="exact"/>
              <w:rPr>
                <w:sz w:val="20"/>
                <w:szCs w:val="20"/>
                <w:color w:val="auto"/>
              </w:rPr>
            </w:pPr>
            <w:r>
              <w:rPr>
                <w:rFonts w:ascii="Arial" w:cs="Arial" w:eastAsia="Arial" w:hAnsi="Arial"/>
                <w:sz w:val="12"/>
                <w:szCs w:val="12"/>
                <w:color w:val="FFFFFF"/>
              </w:rPr>
              <w:t>Shares</w:t>
            </w:r>
            <w:r>
              <w:rPr>
                <w:rFonts w:ascii="Arial" w:cs="Arial" w:eastAsia="Arial" w:hAnsi="Arial"/>
                <w:sz w:val="20"/>
                <w:szCs w:val="20"/>
                <w:color w:val="FFFFFF"/>
                <w:vertAlign w:val="superscript"/>
              </w:rPr>
              <w:t>(3)</w:t>
            </w:r>
          </w:p>
        </w:tc>
      </w:tr>
      <w:tr>
        <w:trPr>
          <w:trHeight w:val="210"/>
        </w:trPr>
        <w:tc>
          <w:tcPr>
            <w:tcW w:w="4970" w:type="dxa"/>
            <w:vAlign w:val="bottom"/>
            <w:tcBorders>
              <w:bottom w:val="single" w:sz="8" w:color="E8F0F8"/>
            </w:tcBorders>
            <w:shd w:val="clear" w:color="auto" w:fill="E8F0F8"/>
          </w:tcPr>
          <w:p>
            <w:pPr>
              <w:ind w:left="60"/>
              <w:spacing w:after="0"/>
              <w:rPr>
                <w:sz w:val="20"/>
                <w:szCs w:val="20"/>
                <w:color w:val="auto"/>
              </w:rPr>
            </w:pPr>
            <w:r>
              <w:rPr>
                <w:rFonts w:ascii="Arial" w:cs="Arial" w:eastAsia="Arial" w:hAnsi="Arial"/>
                <w:sz w:val="15"/>
                <w:szCs w:val="15"/>
                <w:b w:val="1"/>
                <w:bCs w:val="1"/>
                <w:color w:val="auto"/>
              </w:rPr>
              <w:t>5% Stockholders</w:t>
            </w:r>
          </w:p>
        </w:tc>
        <w:tc>
          <w:tcPr>
            <w:tcW w:w="1140" w:type="dxa"/>
            <w:vAlign w:val="bottom"/>
            <w:tcBorders>
              <w:bottom w:val="single" w:sz="8" w:color="E8F0F8"/>
            </w:tcBorders>
            <w:shd w:val="clear" w:color="auto" w:fill="E8F0F8"/>
          </w:tcPr>
          <w:p>
            <w:pPr>
              <w:spacing w:after="0"/>
              <w:rPr>
                <w:sz w:val="18"/>
                <w:szCs w:val="18"/>
                <w:color w:val="auto"/>
              </w:rPr>
            </w:pPr>
          </w:p>
        </w:tc>
        <w:tc>
          <w:tcPr>
            <w:tcW w:w="1650" w:type="dxa"/>
            <w:vAlign w:val="bottom"/>
            <w:tcBorders>
              <w:bottom w:val="single" w:sz="8" w:color="E8F0F8"/>
            </w:tcBorders>
            <w:shd w:val="clear" w:color="auto" w:fill="E8F0F8"/>
          </w:tcPr>
          <w:p>
            <w:pPr>
              <w:spacing w:after="0"/>
              <w:rPr>
                <w:sz w:val="18"/>
                <w:szCs w:val="18"/>
                <w:color w:val="auto"/>
              </w:rPr>
            </w:pPr>
          </w:p>
        </w:tc>
        <w:tc>
          <w:tcPr>
            <w:tcW w:w="1760" w:type="dxa"/>
            <w:vAlign w:val="bottom"/>
            <w:tcBorders>
              <w:bottom w:val="single" w:sz="8" w:color="E8F0F8"/>
            </w:tcBorders>
            <w:shd w:val="clear" w:color="auto" w:fill="E8F0F8"/>
          </w:tcPr>
          <w:p>
            <w:pPr>
              <w:spacing w:after="0"/>
              <w:rPr>
                <w:sz w:val="18"/>
                <w:szCs w:val="18"/>
                <w:color w:val="auto"/>
              </w:rPr>
            </w:pPr>
          </w:p>
        </w:tc>
        <w:tc>
          <w:tcPr>
            <w:tcW w:w="1500" w:type="dxa"/>
            <w:vAlign w:val="bottom"/>
            <w:tcBorders>
              <w:bottom w:val="single" w:sz="8" w:color="E8F0F8"/>
            </w:tcBorders>
            <w:shd w:val="clear" w:color="auto" w:fill="E8F0F8"/>
          </w:tcPr>
          <w:p>
            <w:pPr>
              <w:spacing w:after="0"/>
              <w:rPr>
                <w:sz w:val="18"/>
                <w:szCs w:val="18"/>
                <w:color w:val="auto"/>
              </w:rPr>
            </w:pPr>
          </w:p>
        </w:tc>
      </w:tr>
      <w:tr>
        <w:trPr>
          <w:trHeight w:val="226"/>
        </w:trPr>
        <w:tc>
          <w:tcPr>
            <w:tcW w:w="4970" w:type="dxa"/>
            <w:vAlign w:val="bottom"/>
            <w:shd w:val="clear" w:color="auto" w:fill="BAD3EA"/>
          </w:tcPr>
          <w:p>
            <w:pPr>
              <w:ind w:left="60"/>
              <w:spacing w:after="0" w:line="226" w:lineRule="exact"/>
              <w:rPr>
                <w:sz w:val="20"/>
                <w:szCs w:val="20"/>
                <w:color w:val="auto"/>
              </w:rPr>
            </w:pPr>
            <w:r>
              <w:rPr>
                <w:rFonts w:ascii="Arial" w:cs="Arial" w:eastAsia="Arial" w:hAnsi="Arial"/>
                <w:sz w:val="16"/>
                <w:szCs w:val="16"/>
                <w:color w:val="auto"/>
              </w:rPr>
              <w:t>BlackRock Inc.</w:t>
            </w:r>
            <w:r>
              <w:rPr>
                <w:rFonts w:ascii="Arial" w:cs="Arial" w:eastAsia="Arial" w:hAnsi="Arial"/>
                <w:sz w:val="26"/>
                <w:szCs w:val="26"/>
                <w:color w:val="auto"/>
                <w:vertAlign w:val="superscript"/>
              </w:rPr>
              <w:t>(4)</w:t>
            </w:r>
          </w:p>
        </w:tc>
        <w:tc>
          <w:tcPr>
            <w:tcW w:w="1140" w:type="dxa"/>
            <w:vAlign w:val="bottom"/>
            <w:shd w:val="clear" w:color="auto" w:fill="BAD3EA"/>
          </w:tcPr>
          <w:p>
            <w:pPr>
              <w:jc w:val="right"/>
              <w:spacing w:after="0"/>
              <w:rPr>
                <w:sz w:val="20"/>
                <w:szCs w:val="20"/>
                <w:color w:val="auto"/>
              </w:rPr>
            </w:pPr>
            <w:r>
              <w:rPr>
                <w:rFonts w:ascii="Arial" w:cs="Arial" w:eastAsia="Arial" w:hAnsi="Arial"/>
                <w:sz w:val="16"/>
                <w:szCs w:val="16"/>
                <w:color w:val="auto"/>
              </w:rPr>
              <w:t>16,568,963</w:t>
            </w:r>
          </w:p>
        </w:tc>
        <w:tc>
          <w:tcPr>
            <w:tcW w:w="1650" w:type="dxa"/>
            <w:vAlign w:val="bottom"/>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BAD3EA"/>
          </w:tcPr>
          <w:p>
            <w:pPr>
              <w:jc w:val="right"/>
              <w:spacing w:after="0"/>
              <w:rPr>
                <w:sz w:val="20"/>
                <w:szCs w:val="20"/>
                <w:color w:val="auto"/>
              </w:rPr>
            </w:pPr>
            <w:r>
              <w:rPr>
                <w:rFonts w:ascii="Arial" w:cs="Arial" w:eastAsia="Arial" w:hAnsi="Arial"/>
                <w:sz w:val="16"/>
                <w:szCs w:val="16"/>
                <w:color w:val="auto"/>
              </w:rPr>
              <w:t>16,568,963</w:t>
            </w:r>
          </w:p>
        </w:tc>
        <w:tc>
          <w:tcPr>
            <w:tcW w:w="1500" w:type="dxa"/>
            <w:vAlign w:val="bottom"/>
            <w:shd w:val="clear" w:color="auto" w:fill="BAD3EA"/>
          </w:tcPr>
          <w:p>
            <w:pPr>
              <w:jc w:val="right"/>
              <w:spacing w:after="0"/>
              <w:rPr>
                <w:sz w:val="20"/>
                <w:szCs w:val="20"/>
                <w:color w:val="auto"/>
              </w:rPr>
            </w:pPr>
            <w:r>
              <w:rPr>
                <w:rFonts w:ascii="Arial" w:cs="Arial" w:eastAsia="Arial" w:hAnsi="Arial"/>
                <w:sz w:val="16"/>
                <w:szCs w:val="16"/>
                <w:color w:val="auto"/>
              </w:rPr>
              <w:t>8.2%</w:t>
            </w:r>
          </w:p>
        </w:tc>
      </w:tr>
      <w:tr>
        <w:trPr>
          <w:trHeight w:val="194"/>
        </w:trPr>
        <w:tc>
          <w:tcPr>
            <w:tcW w:w="4970" w:type="dxa"/>
            <w:vAlign w:val="bottom"/>
            <w:shd w:val="clear" w:color="auto" w:fill="BAD3EA"/>
          </w:tcPr>
          <w:p>
            <w:pPr>
              <w:ind w:left="240"/>
              <w:spacing w:after="0" w:line="194" w:lineRule="exact"/>
              <w:rPr>
                <w:sz w:val="20"/>
                <w:szCs w:val="20"/>
                <w:color w:val="auto"/>
              </w:rPr>
            </w:pPr>
            <w:r>
              <w:rPr>
                <w:rFonts w:ascii="Arial" w:cs="Arial" w:eastAsia="Arial" w:hAnsi="Arial"/>
                <w:sz w:val="14"/>
                <w:szCs w:val="14"/>
                <w:color w:val="auto"/>
              </w:rPr>
              <w:t>55 East 52</w:t>
            </w:r>
            <w:r>
              <w:rPr>
                <w:rFonts w:ascii="Arial" w:cs="Arial" w:eastAsia="Arial" w:hAnsi="Arial"/>
                <w:sz w:val="22"/>
                <w:szCs w:val="22"/>
                <w:color w:val="auto"/>
                <w:vertAlign w:val="superscript"/>
              </w:rPr>
              <w:t>nd</w:t>
            </w:r>
            <w:r>
              <w:rPr>
                <w:rFonts w:ascii="Arial" w:cs="Arial" w:eastAsia="Arial" w:hAnsi="Arial"/>
                <w:sz w:val="14"/>
                <w:szCs w:val="14"/>
                <w:color w:val="auto"/>
              </w:rPr>
              <w:t xml:space="preserve"> Street</w:t>
            </w:r>
          </w:p>
        </w:tc>
        <w:tc>
          <w:tcPr>
            <w:tcW w:w="1140" w:type="dxa"/>
            <w:vAlign w:val="bottom"/>
            <w:shd w:val="clear" w:color="auto" w:fill="BAD3EA"/>
          </w:tcPr>
          <w:p>
            <w:pPr>
              <w:spacing w:after="0"/>
              <w:rPr>
                <w:sz w:val="16"/>
                <w:szCs w:val="16"/>
                <w:color w:val="auto"/>
              </w:rPr>
            </w:pPr>
          </w:p>
        </w:tc>
        <w:tc>
          <w:tcPr>
            <w:tcW w:w="1650" w:type="dxa"/>
            <w:vAlign w:val="bottom"/>
            <w:shd w:val="clear" w:color="auto" w:fill="BAD3EA"/>
          </w:tcPr>
          <w:p>
            <w:pPr>
              <w:spacing w:after="0"/>
              <w:rPr>
                <w:sz w:val="16"/>
                <w:szCs w:val="16"/>
                <w:color w:val="auto"/>
              </w:rPr>
            </w:pPr>
          </w:p>
        </w:tc>
        <w:tc>
          <w:tcPr>
            <w:tcW w:w="1760" w:type="dxa"/>
            <w:vAlign w:val="bottom"/>
            <w:shd w:val="clear" w:color="auto" w:fill="BAD3EA"/>
          </w:tcPr>
          <w:p>
            <w:pPr>
              <w:spacing w:after="0"/>
              <w:rPr>
                <w:sz w:val="16"/>
                <w:szCs w:val="16"/>
                <w:color w:val="auto"/>
              </w:rPr>
            </w:pPr>
          </w:p>
        </w:tc>
        <w:tc>
          <w:tcPr>
            <w:tcW w:w="1500" w:type="dxa"/>
            <w:vAlign w:val="bottom"/>
            <w:shd w:val="clear" w:color="auto" w:fill="BAD3EA"/>
          </w:tcPr>
          <w:p>
            <w:pPr>
              <w:spacing w:after="0"/>
              <w:rPr>
                <w:sz w:val="16"/>
                <w:szCs w:val="16"/>
                <w:color w:val="auto"/>
              </w:rPr>
            </w:pPr>
          </w:p>
        </w:tc>
      </w:tr>
      <w:tr>
        <w:trPr>
          <w:trHeight w:val="221"/>
        </w:trPr>
        <w:tc>
          <w:tcPr>
            <w:tcW w:w="4970" w:type="dxa"/>
            <w:vAlign w:val="bottom"/>
            <w:tcBorders>
              <w:bottom w:val="single" w:sz="8" w:color="BAD3EA"/>
            </w:tcBorders>
            <w:shd w:val="clear" w:color="auto" w:fill="BAD3EA"/>
          </w:tcPr>
          <w:p>
            <w:pPr>
              <w:ind w:left="240"/>
              <w:spacing w:after="0"/>
              <w:rPr>
                <w:sz w:val="20"/>
                <w:szCs w:val="20"/>
                <w:color w:val="auto"/>
              </w:rPr>
            </w:pPr>
            <w:r>
              <w:rPr>
                <w:rFonts w:ascii="Arial" w:cs="Arial" w:eastAsia="Arial" w:hAnsi="Arial"/>
                <w:sz w:val="16"/>
                <w:szCs w:val="16"/>
                <w:color w:val="auto"/>
              </w:rPr>
              <w:t>New York, NY 10055</w:t>
            </w:r>
          </w:p>
        </w:tc>
        <w:tc>
          <w:tcPr>
            <w:tcW w:w="1140" w:type="dxa"/>
            <w:vAlign w:val="bottom"/>
            <w:tcBorders>
              <w:bottom w:val="single" w:sz="8" w:color="BAD3EA"/>
            </w:tcBorders>
            <w:shd w:val="clear" w:color="auto" w:fill="BAD3EA"/>
          </w:tcPr>
          <w:p>
            <w:pPr>
              <w:spacing w:after="0"/>
              <w:rPr>
                <w:sz w:val="19"/>
                <w:szCs w:val="19"/>
                <w:color w:val="auto"/>
              </w:rPr>
            </w:pPr>
          </w:p>
        </w:tc>
        <w:tc>
          <w:tcPr>
            <w:tcW w:w="1650" w:type="dxa"/>
            <w:vAlign w:val="bottom"/>
            <w:tcBorders>
              <w:bottom w:val="single" w:sz="8" w:color="BAD3EA"/>
            </w:tcBorders>
            <w:shd w:val="clear" w:color="auto" w:fill="BAD3EA"/>
          </w:tcPr>
          <w:p>
            <w:pPr>
              <w:spacing w:after="0"/>
              <w:rPr>
                <w:sz w:val="19"/>
                <w:szCs w:val="19"/>
                <w:color w:val="auto"/>
              </w:rPr>
            </w:pPr>
          </w:p>
        </w:tc>
        <w:tc>
          <w:tcPr>
            <w:tcW w:w="1760" w:type="dxa"/>
            <w:vAlign w:val="bottom"/>
            <w:tcBorders>
              <w:bottom w:val="single" w:sz="8" w:color="BAD3EA"/>
            </w:tcBorders>
            <w:shd w:val="clear" w:color="auto" w:fill="BAD3EA"/>
          </w:tcPr>
          <w:p>
            <w:pPr>
              <w:spacing w:after="0"/>
              <w:rPr>
                <w:sz w:val="19"/>
                <w:szCs w:val="19"/>
                <w:color w:val="auto"/>
              </w:rPr>
            </w:pPr>
          </w:p>
        </w:tc>
        <w:tc>
          <w:tcPr>
            <w:tcW w:w="1500" w:type="dxa"/>
            <w:vAlign w:val="bottom"/>
            <w:tcBorders>
              <w:bottom w:val="single" w:sz="8" w:color="BAD3EA"/>
            </w:tcBorders>
            <w:shd w:val="clear" w:color="auto" w:fill="BAD3EA"/>
          </w:tcPr>
          <w:p>
            <w:pPr>
              <w:spacing w:after="0"/>
              <w:rPr>
                <w:sz w:val="19"/>
                <w:szCs w:val="19"/>
                <w:color w:val="auto"/>
              </w:rPr>
            </w:pPr>
          </w:p>
        </w:tc>
      </w:tr>
      <w:tr>
        <w:trPr>
          <w:trHeight w:val="231"/>
        </w:trPr>
        <w:tc>
          <w:tcPr>
            <w:tcW w:w="4970" w:type="dxa"/>
            <w:vAlign w:val="bottom"/>
            <w:shd w:val="clear" w:color="auto" w:fill="E8F0F8"/>
          </w:tcPr>
          <w:p>
            <w:pPr>
              <w:ind w:left="60"/>
              <w:spacing w:after="0" w:line="231" w:lineRule="exact"/>
              <w:rPr>
                <w:sz w:val="20"/>
                <w:szCs w:val="20"/>
                <w:color w:val="auto"/>
              </w:rPr>
            </w:pPr>
            <w:r>
              <w:rPr>
                <w:rFonts w:ascii="Arial" w:cs="Arial" w:eastAsia="Arial" w:hAnsi="Arial"/>
                <w:sz w:val="16"/>
                <w:szCs w:val="16"/>
                <w:color w:val="auto"/>
              </w:rPr>
              <w:t>The Vanguard Group</w:t>
            </w:r>
            <w:r>
              <w:rPr>
                <w:rFonts w:ascii="Arial" w:cs="Arial" w:eastAsia="Arial" w:hAnsi="Arial"/>
                <w:sz w:val="26"/>
                <w:szCs w:val="26"/>
                <w:color w:val="auto"/>
                <w:vertAlign w:val="superscript"/>
              </w:rPr>
              <w:t>(5)</w:t>
            </w:r>
          </w:p>
        </w:tc>
        <w:tc>
          <w:tcPr>
            <w:tcW w:w="1140" w:type="dxa"/>
            <w:vAlign w:val="bottom"/>
            <w:shd w:val="clear" w:color="auto" w:fill="E8F0F8"/>
          </w:tcPr>
          <w:p>
            <w:pPr>
              <w:jc w:val="right"/>
              <w:spacing w:after="0"/>
              <w:rPr>
                <w:sz w:val="20"/>
                <w:szCs w:val="20"/>
                <w:color w:val="auto"/>
              </w:rPr>
            </w:pPr>
            <w:r>
              <w:rPr>
                <w:rFonts w:ascii="Arial" w:cs="Arial" w:eastAsia="Arial" w:hAnsi="Arial"/>
                <w:sz w:val="16"/>
                <w:szCs w:val="16"/>
                <w:color w:val="auto"/>
              </w:rPr>
              <w:t>15,170,607</w:t>
            </w:r>
          </w:p>
        </w:tc>
        <w:tc>
          <w:tcPr>
            <w:tcW w:w="165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E8F0F8"/>
          </w:tcPr>
          <w:p>
            <w:pPr>
              <w:jc w:val="right"/>
              <w:spacing w:after="0"/>
              <w:rPr>
                <w:sz w:val="20"/>
                <w:szCs w:val="20"/>
                <w:color w:val="auto"/>
              </w:rPr>
            </w:pPr>
            <w:r>
              <w:rPr>
                <w:rFonts w:ascii="Arial" w:cs="Arial" w:eastAsia="Arial" w:hAnsi="Arial"/>
                <w:sz w:val="16"/>
                <w:szCs w:val="16"/>
                <w:color w:val="auto"/>
              </w:rPr>
              <w:t>15,170,607</w:t>
            </w:r>
          </w:p>
        </w:tc>
        <w:tc>
          <w:tcPr>
            <w:tcW w:w="1500" w:type="dxa"/>
            <w:vAlign w:val="bottom"/>
            <w:shd w:val="clear" w:color="auto" w:fill="E8F0F8"/>
          </w:tcPr>
          <w:p>
            <w:pPr>
              <w:jc w:val="right"/>
              <w:spacing w:after="0"/>
              <w:rPr>
                <w:sz w:val="20"/>
                <w:szCs w:val="20"/>
                <w:color w:val="auto"/>
              </w:rPr>
            </w:pPr>
            <w:r>
              <w:rPr>
                <w:rFonts w:ascii="Arial" w:cs="Arial" w:eastAsia="Arial" w:hAnsi="Arial"/>
                <w:sz w:val="16"/>
                <w:szCs w:val="16"/>
                <w:color w:val="auto"/>
              </w:rPr>
              <w:t>7.52%</w:t>
            </w:r>
          </w:p>
        </w:tc>
      </w:tr>
      <w:tr>
        <w:trPr>
          <w:trHeight w:val="189"/>
        </w:trPr>
        <w:tc>
          <w:tcPr>
            <w:tcW w:w="4970" w:type="dxa"/>
            <w:vAlign w:val="bottom"/>
            <w:shd w:val="clear" w:color="auto" w:fill="E8F0F8"/>
          </w:tcPr>
          <w:p>
            <w:pPr>
              <w:ind w:left="240"/>
              <w:spacing w:after="0"/>
              <w:rPr>
                <w:sz w:val="20"/>
                <w:szCs w:val="20"/>
                <w:color w:val="auto"/>
              </w:rPr>
            </w:pPr>
            <w:r>
              <w:rPr>
                <w:rFonts w:ascii="Arial" w:cs="Arial" w:eastAsia="Arial" w:hAnsi="Arial"/>
                <w:sz w:val="16"/>
                <w:szCs w:val="16"/>
                <w:color w:val="auto"/>
              </w:rPr>
              <w:t>100 Vanguard Boulevard</w:t>
            </w:r>
          </w:p>
        </w:tc>
        <w:tc>
          <w:tcPr>
            <w:tcW w:w="1140" w:type="dxa"/>
            <w:vAlign w:val="bottom"/>
            <w:shd w:val="clear" w:color="auto" w:fill="E8F0F8"/>
          </w:tcPr>
          <w:p>
            <w:pPr>
              <w:spacing w:after="0"/>
              <w:rPr>
                <w:sz w:val="16"/>
                <w:szCs w:val="16"/>
                <w:color w:val="auto"/>
              </w:rPr>
            </w:pPr>
          </w:p>
        </w:tc>
        <w:tc>
          <w:tcPr>
            <w:tcW w:w="1650" w:type="dxa"/>
            <w:vAlign w:val="bottom"/>
            <w:shd w:val="clear" w:color="auto" w:fill="E8F0F8"/>
          </w:tcPr>
          <w:p>
            <w:pPr>
              <w:spacing w:after="0"/>
              <w:rPr>
                <w:sz w:val="16"/>
                <w:szCs w:val="16"/>
                <w:color w:val="auto"/>
              </w:rPr>
            </w:pPr>
          </w:p>
        </w:tc>
        <w:tc>
          <w:tcPr>
            <w:tcW w:w="1760" w:type="dxa"/>
            <w:vAlign w:val="bottom"/>
            <w:shd w:val="clear" w:color="auto" w:fill="E8F0F8"/>
          </w:tcPr>
          <w:p>
            <w:pPr>
              <w:spacing w:after="0"/>
              <w:rPr>
                <w:sz w:val="16"/>
                <w:szCs w:val="16"/>
                <w:color w:val="auto"/>
              </w:rPr>
            </w:pPr>
          </w:p>
        </w:tc>
        <w:tc>
          <w:tcPr>
            <w:tcW w:w="1500" w:type="dxa"/>
            <w:vAlign w:val="bottom"/>
            <w:shd w:val="clear" w:color="auto" w:fill="E8F0F8"/>
          </w:tcPr>
          <w:p>
            <w:pPr>
              <w:spacing w:after="0"/>
              <w:rPr>
                <w:sz w:val="16"/>
                <w:szCs w:val="16"/>
                <w:color w:val="auto"/>
              </w:rPr>
            </w:pPr>
          </w:p>
        </w:tc>
      </w:tr>
      <w:tr>
        <w:trPr>
          <w:trHeight w:val="221"/>
        </w:trPr>
        <w:tc>
          <w:tcPr>
            <w:tcW w:w="4970" w:type="dxa"/>
            <w:vAlign w:val="bottom"/>
            <w:tcBorders>
              <w:bottom w:val="single" w:sz="8" w:color="E8F0F8"/>
            </w:tcBorders>
            <w:shd w:val="clear" w:color="auto" w:fill="E8F0F8"/>
          </w:tcPr>
          <w:p>
            <w:pPr>
              <w:ind w:left="240"/>
              <w:spacing w:after="0"/>
              <w:rPr>
                <w:sz w:val="20"/>
                <w:szCs w:val="20"/>
                <w:color w:val="auto"/>
              </w:rPr>
            </w:pPr>
            <w:r>
              <w:rPr>
                <w:rFonts w:ascii="Arial" w:cs="Arial" w:eastAsia="Arial" w:hAnsi="Arial"/>
                <w:sz w:val="16"/>
                <w:szCs w:val="16"/>
                <w:color w:val="auto"/>
              </w:rPr>
              <w:t>Malvern, PA 19355</w:t>
            </w:r>
          </w:p>
        </w:tc>
        <w:tc>
          <w:tcPr>
            <w:tcW w:w="1140" w:type="dxa"/>
            <w:vAlign w:val="bottom"/>
            <w:tcBorders>
              <w:bottom w:val="single" w:sz="8" w:color="E8F0F8"/>
            </w:tcBorders>
            <w:shd w:val="clear" w:color="auto" w:fill="E8F0F8"/>
          </w:tcPr>
          <w:p>
            <w:pPr>
              <w:spacing w:after="0"/>
              <w:rPr>
                <w:sz w:val="19"/>
                <w:szCs w:val="19"/>
                <w:color w:val="auto"/>
              </w:rPr>
            </w:pPr>
          </w:p>
        </w:tc>
        <w:tc>
          <w:tcPr>
            <w:tcW w:w="1650" w:type="dxa"/>
            <w:vAlign w:val="bottom"/>
            <w:tcBorders>
              <w:bottom w:val="single" w:sz="8" w:color="E8F0F8"/>
            </w:tcBorders>
            <w:shd w:val="clear" w:color="auto" w:fill="E8F0F8"/>
          </w:tcPr>
          <w:p>
            <w:pPr>
              <w:spacing w:after="0"/>
              <w:rPr>
                <w:sz w:val="19"/>
                <w:szCs w:val="19"/>
                <w:color w:val="auto"/>
              </w:rPr>
            </w:pPr>
          </w:p>
        </w:tc>
        <w:tc>
          <w:tcPr>
            <w:tcW w:w="1760" w:type="dxa"/>
            <w:vAlign w:val="bottom"/>
            <w:tcBorders>
              <w:bottom w:val="single" w:sz="8" w:color="E8F0F8"/>
            </w:tcBorders>
            <w:shd w:val="clear" w:color="auto" w:fill="E8F0F8"/>
          </w:tcPr>
          <w:p>
            <w:pPr>
              <w:spacing w:after="0"/>
              <w:rPr>
                <w:sz w:val="19"/>
                <w:szCs w:val="19"/>
                <w:color w:val="auto"/>
              </w:rPr>
            </w:pPr>
          </w:p>
        </w:tc>
        <w:tc>
          <w:tcPr>
            <w:tcW w:w="1500" w:type="dxa"/>
            <w:vAlign w:val="bottom"/>
            <w:tcBorders>
              <w:bottom w:val="single" w:sz="8" w:color="E8F0F8"/>
            </w:tcBorders>
            <w:shd w:val="clear" w:color="auto" w:fill="E8F0F8"/>
          </w:tcPr>
          <w:p>
            <w:pPr>
              <w:spacing w:after="0"/>
              <w:rPr>
                <w:sz w:val="19"/>
                <w:szCs w:val="19"/>
                <w:color w:val="auto"/>
              </w:rPr>
            </w:pPr>
          </w:p>
        </w:tc>
      </w:tr>
      <w:tr>
        <w:trPr>
          <w:trHeight w:val="231"/>
        </w:trPr>
        <w:tc>
          <w:tcPr>
            <w:tcW w:w="4970" w:type="dxa"/>
            <w:vAlign w:val="bottom"/>
            <w:shd w:val="clear" w:color="auto" w:fill="BAD3EA"/>
          </w:tcPr>
          <w:p>
            <w:pPr>
              <w:ind w:left="60"/>
              <w:spacing w:after="0" w:line="231" w:lineRule="exact"/>
              <w:rPr>
                <w:sz w:val="20"/>
                <w:szCs w:val="20"/>
                <w:color w:val="auto"/>
              </w:rPr>
            </w:pPr>
            <w:r>
              <w:rPr>
                <w:rFonts w:ascii="Arial" w:cs="Arial" w:eastAsia="Arial" w:hAnsi="Arial"/>
                <w:sz w:val="16"/>
                <w:szCs w:val="16"/>
                <w:color w:val="auto"/>
              </w:rPr>
              <w:t>PRIMECAP Management Company</w:t>
            </w:r>
            <w:r>
              <w:rPr>
                <w:rFonts w:ascii="Arial" w:cs="Arial" w:eastAsia="Arial" w:hAnsi="Arial"/>
                <w:sz w:val="26"/>
                <w:szCs w:val="26"/>
                <w:color w:val="auto"/>
                <w:vertAlign w:val="superscript"/>
              </w:rPr>
              <w:t>(6)</w:t>
            </w:r>
          </w:p>
        </w:tc>
        <w:tc>
          <w:tcPr>
            <w:tcW w:w="1140" w:type="dxa"/>
            <w:vAlign w:val="bottom"/>
            <w:shd w:val="clear" w:color="auto" w:fill="BAD3EA"/>
          </w:tcPr>
          <w:p>
            <w:pPr>
              <w:jc w:val="right"/>
              <w:spacing w:after="0"/>
              <w:rPr>
                <w:sz w:val="20"/>
                <w:szCs w:val="20"/>
                <w:color w:val="auto"/>
              </w:rPr>
            </w:pPr>
            <w:r>
              <w:rPr>
                <w:rFonts w:ascii="Arial" w:cs="Arial" w:eastAsia="Arial" w:hAnsi="Arial"/>
                <w:sz w:val="16"/>
                <w:szCs w:val="16"/>
                <w:color w:val="auto"/>
              </w:rPr>
              <w:t>14,727,267</w:t>
            </w:r>
          </w:p>
        </w:tc>
        <w:tc>
          <w:tcPr>
            <w:tcW w:w="1650" w:type="dxa"/>
            <w:vAlign w:val="bottom"/>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BAD3EA"/>
          </w:tcPr>
          <w:p>
            <w:pPr>
              <w:jc w:val="right"/>
              <w:spacing w:after="0"/>
              <w:rPr>
                <w:sz w:val="20"/>
                <w:szCs w:val="20"/>
                <w:color w:val="auto"/>
              </w:rPr>
            </w:pPr>
            <w:r>
              <w:rPr>
                <w:rFonts w:ascii="Arial" w:cs="Arial" w:eastAsia="Arial" w:hAnsi="Arial"/>
                <w:sz w:val="16"/>
                <w:szCs w:val="16"/>
                <w:color w:val="auto"/>
              </w:rPr>
              <w:t>14,727,267</w:t>
            </w:r>
          </w:p>
        </w:tc>
        <w:tc>
          <w:tcPr>
            <w:tcW w:w="1500" w:type="dxa"/>
            <w:vAlign w:val="bottom"/>
            <w:shd w:val="clear" w:color="auto" w:fill="BAD3EA"/>
          </w:tcPr>
          <w:p>
            <w:pPr>
              <w:jc w:val="right"/>
              <w:spacing w:after="0"/>
              <w:rPr>
                <w:sz w:val="20"/>
                <w:szCs w:val="20"/>
                <w:color w:val="auto"/>
              </w:rPr>
            </w:pPr>
            <w:r>
              <w:rPr>
                <w:rFonts w:ascii="Arial" w:cs="Arial" w:eastAsia="Arial" w:hAnsi="Arial"/>
                <w:sz w:val="16"/>
                <w:szCs w:val="16"/>
                <w:color w:val="auto"/>
              </w:rPr>
              <w:t>7.31%</w:t>
            </w:r>
          </w:p>
        </w:tc>
      </w:tr>
      <w:tr>
        <w:trPr>
          <w:trHeight w:val="184"/>
        </w:trPr>
        <w:tc>
          <w:tcPr>
            <w:tcW w:w="4970" w:type="dxa"/>
            <w:vAlign w:val="bottom"/>
            <w:shd w:val="clear" w:color="auto" w:fill="BAD3EA"/>
          </w:tcPr>
          <w:p>
            <w:pPr>
              <w:ind w:left="240"/>
              <w:spacing w:after="0"/>
              <w:rPr>
                <w:sz w:val="20"/>
                <w:szCs w:val="20"/>
                <w:color w:val="auto"/>
              </w:rPr>
            </w:pPr>
            <w:r>
              <w:rPr>
                <w:rFonts w:ascii="Arial" w:cs="Arial" w:eastAsia="Arial" w:hAnsi="Arial"/>
                <w:sz w:val="16"/>
                <w:szCs w:val="16"/>
                <w:color w:val="auto"/>
              </w:rPr>
              <w:t>177 East Colorado Boulevard</w:t>
            </w:r>
          </w:p>
        </w:tc>
        <w:tc>
          <w:tcPr>
            <w:tcW w:w="1140" w:type="dxa"/>
            <w:vAlign w:val="bottom"/>
            <w:shd w:val="clear" w:color="auto" w:fill="BAD3EA"/>
          </w:tcPr>
          <w:p>
            <w:pPr>
              <w:spacing w:after="0"/>
              <w:rPr>
                <w:sz w:val="16"/>
                <w:szCs w:val="16"/>
                <w:color w:val="auto"/>
              </w:rPr>
            </w:pPr>
          </w:p>
        </w:tc>
        <w:tc>
          <w:tcPr>
            <w:tcW w:w="1650" w:type="dxa"/>
            <w:vAlign w:val="bottom"/>
            <w:shd w:val="clear" w:color="auto" w:fill="BAD3EA"/>
          </w:tcPr>
          <w:p>
            <w:pPr>
              <w:spacing w:after="0"/>
              <w:rPr>
                <w:sz w:val="16"/>
                <w:szCs w:val="16"/>
                <w:color w:val="auto"/>
              </w:rPr>
            </w:pPr>
          </w:p>
        </w:tc>
        <w:tc>
          <w:tcPr>
            <w:tcW w:w="1760" w:type="dxa"/>
            <w:vAlign w:val="bottom"/>
            <w:shd w:val="clear" w:color="auto" w:fill="BAD3EA"/>
          </w:tcPr>
          <w:p>
            <w:pPr>
              <w:spacing w:after="0"/>
              <w:rPr>
                <w:sz w:val="16"/>
                <w:szCs w:val="16"/>
                <w:color w:val="auto"/>
              </w:rPr>
            </w:pPr>
          </w:p>
        </w:tc>
        <w:tc>
          <w:tcPr>
            <w:tcW w:w="1500" w:type="dxa"/>
            <w:vAlign w:val="bottom"/>
            <w:shd w:val="clear" w:color="auto" w:fill="BAD3EA"/>
          </w:tcPr>
          <w:p>
            <w:pPr>
              <w:spacing w:after="0"/>
              <w:rPr>
                <w:sz w:val="16"/>
                <w:szCs w:val="16"/>
                <w:color w:val="auto"/>
              </w:rPr>
            </w:pPr>
          </w:p>
        </w:tc>
      </w:tr>
      <w:tr>
        <w:trPr>
          <w:trHeight w:val="194"/>
        </w:trPr>
        <w:tc>
          <w:tcPr>
            <w:tcW w:w="4970" w:type="dxa"/>
            <w:vAlign w:val="bottom"/>
            <w:shd w:val="clear" w:color="auto" w:fill="BAD3EA"/>
          </w:tcPr>
          <w:p>
            <w:pPr>
              <w:ind w:left="240"/>
              <w:spacing w:after="0" w:line="194" w:lineRule="exact"/>
              <w:rPr>
                <w:sz w:val="20"/>
                <w:szCs w:val="20"/>
                <w:color w:val="auto"/>
              </w:rPr>
            </w:pPr>
            <w:r>
              <w:rPr>
                <w:rFonts w:ascii="Arial" w:cs="Arial" w:eastAsia="Arial" w:hAnsi="Arial"/>
                <w:sz w:val="14"/>
                <w:szCs w:val="14"/>
                <w:color w:val="auto"/>
              </w:rPr>
              <w:t>11</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w:t>
            </w:r>
          </w:p>
        </w:tc>
        <w:tc>
          <w:tcPr>
            <w:tcW w:w="1140" w:type="dxa"/>
            <w:vAlign w:val="bottom"/>
            <w:shd w:val="clear" w:color="auto" w:fill="BAD3EA"/>
          </w:tcPr>
          <w:p>
            <w:pPr>
              <w:spacing w:after="0"/>
              <w:rPr>
                <w:sz w:val="16"/>
                <w:szCs w:val="16"/>
                <w:color w:val="auto"/>
              </w:rPr>
            </w:pPr>
          </w:p>
        </w:tc>
        <w:tc>
          <w:tcPr>
            <w:tcW w:w="1650" w:type="dxa"/>
            <w:vAlign w:val="bottom"/>
            <w:shd w:val="clear" w:color="auto" w:fill="BAD3EA"/>
          </w:tcPr>
          <w:p>
            <w:pPr>
              <w:spacing w:after="0"/>
              <w:rPr>
                <w:sz w:val="16"/>
                <w:szCs w:val="16"/>
                <w:color w:val="auto"/>
              </w:rPr>
            </w:pPr>
          </w:p>
        </w:tc>
        <w:tc>
          <w:tcPr>
            <w:tcW w:w="1760" w:type="dxa"/>
            <w:vAlign w:val="bottom"/>
            <w:shd w:val="clear" w:color="auto" w:fill="BAD3EA"/>
          </w:tcPr>
          <w:p>
            <w:pPr>
              <w:spacing w:after="0"/>
              <w:rPr>
                <w:sz w:val="16"/>
                <w:szCs w:val="16"/>
                <w:color w:val="auto"/>
              </w:rPr>
            </w:pPr>
          </w:p>
        </w:tc>
        <w:tc>
          <w:tcPr>
            <w:tcW w:w="1500" w:type="dxa"/>
            <w:vAlign w:val="bottom"/>
            <w:shd w:val="clear" w:color="auto" w:fill="BAD3EA"/>
          </w:tcPr>
          <w:p>
            <w:pPr>
              <w:spacing w:after="0"/>
              <w:rPr>
                <w:sz w:val="16"/>
                <w:szCs w:val="16"/>
                <w:color w:val="auto"/>
              </w:rPr>
            </w:pPr>
          </w:p>
        </w:tc>
      </w:tr>
      <w:tr>
        <w:trPr>
          <w:trHeight w:val="221"/>
        </w:trPr>
        <w:tc>
          <w:tcPr>
            <w:tcW w:w="4970" w:type="dxa"/>
            <w:vAlign w:val="bottom"/>
            <w:tcBorders>
              <w:bottom w:val="single" w:sz="8" w:color="BAD3EA"/>
            </w:tcBorders>
            <w:shd w:val="clear" w:color="auto" w:fill="BAD3EA"/>
          </w:tcPr>
          <w:p>
            <w:pPr>
              <w:ind w:left="240"/>
              <w:spacing w:after="0"/>
              <w:rPr>
                <w:sz w:val="20"/>
                <w:szCs w:val="20"/>
                <w:color w:val="auto"/>
              </w:rPr>
            </w:pPr>
            <w:r>
              <w:rPr>
                <w:rFonts w:ascii="Arial" w:cs="Arial" w:eastAsia="Arial" w:hAnsi="Arial"/>
                <w:sz w:val="16"/>
                <w:szCs w:val="16"/>
                <w:color w:val="auto"/>
              </w:rPr>
              <w:t>Pasadena, CA 91105</w:t>
            </w:r>
          </w:p>
        </w:tc>
        <w:tc>
          <w:tcPr>
            <w:tcW w:w="1140" w:type="dxa"/>
            <w:vAlign w:val="bottom"/>
            <w:tcBorders>
              <w:bottom w:val="single" w:sz="8" w:color="BAD3EA"/>
            </w:tcBorders>
            <w:shd w:val="clear" w:color="auto" w:fill="BAD3EA"/>
          </w:tcPr>
          <w:p>
            <w:pPr>
              <w:spacing w:after="0"/>
              <w:rPr>
                <w:sz w:val="19"/>
                <w:szCs w:val="19"/>
                <w:color w:val="auto"/>
              </w:rPr>
            </w:pPr>
          </w:p>
        </w:tc>
        <w:tc>
          <w:tcPr>
            <w:tcW w:w="1650" w:type="dxa"/>
            <w:vAlign w:val="bottom"/>
            <w:tcBorders>
              <w:bottom w:val="single" w:sz="8" w:color="BAD3EA"/>
            </w:tcBorders>
            <w:shd w:val="clear" w:color="auto" w:fill="BAD3EA"/>
          </w:tcPr>
          <w:p>
            <w:pPr>
              <w:spacing w:after="0"/>
              <w:rPr>
                <w:sz w:val="19"/>
                <w:szCs w:val="19"/>
                <w:color w:val="auto"/>
              </w:rPr>
            </w:pPr>
          </w:p>
        </w:tc>
        <w:tc>
          <w:tcPr>
            <w:tcW w:w="1760" w:type="dxa"/>
            <w:vAlign w:val="bottom"/>
            <w:tcBorders>
              <w:bottom w:val="single" w:sz="8" w:color="BAD3EA"/>
            </w:tcBorders>
            <w:shd w:val="clear" w:color="auto" w:fill="BAD3EA"/>
          </w:tcPr>
          <w:p>
            <w:pPr>
              <w:spacing w:after="0"/>
              <w:rPr>
                <w:sz w:val="19"/>
                <w:szCs w:val="19"/>
                <w:color w:val="auto"/>
              </w:rPr>
            </w:pPr>
          </w:p>
        </w:tc>
        <w:tc>
          <w:tcPr>
            <w:tcW w:w="1500" w:type="dxa"/>
            <w:vAlign w:val="bottom"/>
            <w:tcBorders>
              <w:bottom w:val="single" w:sz="8" w:color="BAD3EA"/>
            </w:tcBorders>
            <w:shd w:val="clear" w:color="auto" w:fill="BAD3EA"/>
          </w:tcPr>
          <w:p>
            <w:pPr>
              <w:spacing w:after="0"/>
              <w:rPr>
                <w:sz w:val="19"/>
                <w:szCs w:val="19"/>
                <w:color w:val="auto"/>
              </w:rPr>
            </w:pPr>
          </w:p>
        </w:tc>
      </w:tr>
      <w:tr>
        <w:trPr>
          <w:trHeight w:val="250"/>
        </w:trPr>
        <w:tc>
          <w:tcPr>
            <w:tcW w:w="4970" w:type="dxa"/>
            <w:vAlign w:val="bottom"/>
            <w:tcBorders>
              <w:bottom w:val="single" w:sz="8" w:color="E8F0F8"/>
            </w:tcBorders>
            <w:shd w:val="clear" w:color="auto" w:fill="E8F0F8"/>
          </w:tcPr>
          <w:p>
            <w:pPr>
              <w:ind w:left="60"/>
              <w:spacing w:after="0"/>
              <w:rPr>
                <w:sz w:val="20"/>
                <w:szCs w:val="20"/>
                <w:color w:val="auto"/>
              </w:rPr>
            </w:pPr>
            <w:r>
              <w:rPr>
                <w:rFonts w:ascii="Arial" w:cs="Arial" w:eastAsia="Arial" w:hAnsi="Arial"/>
                <w:sz w:val="15"/>
                <w:szCs w:val="15"/>
                <w:b w:val="1"/>
                <w:bCs w:val="1"/>
                <w:color w:val="auto"/>
              </w:rPr>
              <w:t>Named Executive Officers</w:t>
            </w:r>
          </w:p>
        </w:tc>
        <w:tc>
          <w:tcPr>
            <w:tcW w:w="1140" w:type="dxa"/>
            <w:vAlign w:val="bottom"/>
            <w:tcBorders>
              <w:bottom w:val="single" w:sz="8" w:color="E8F0F8"/>
            </w:tcBorders>
            <w:shd w:val="clear" w:color="auto" w:fill="E8F0F8"/>
          </w:tcPr>
          <w:p>
            <w:pPr>
              <w:spacing w:after="0"/>
              <w:rPr>
                <w:sz w:val="21"/>
                <w:szCs w:val="21"/>
                <w:color w:val="auto"/>
              </w:rPr>
            </w:pPr>
          </w:p>
        </w:tc>
        <w:tc>
          <w:tcPr>
            <w:tcW w:w="1650" w:type="dxa"/>
            <w:vAlign w:val="bottom"/>
            <w:tcBorders>
              <w:bottom w:val="single" w:sz="8" w:color="E8F0F8"/>
            </w:tcBorders>
            <w:shd w:val="clear" w:color="auto" w:fill="E8F0F8"/>
          </w:tcPr>
          <w:p>
            <w:pPr>
              <w:spacing w:after="0"/>
              <w:rPr>
                <w:sz w:val="21"/>
                <w:szCs w:val="21"/>
                <w:color w:val="auto"/>
              </w:rPr>
            </w:pPr>
          </w:p>
        </w:tc>
        <w:tc>
          <w:tcPr>
            <w:tcW w:w="1760" w:type="dxa"/>
            <w:vAlign w:val="bottom"/>
            <w:tcBorders>
              <w:bottom w:val="single" w:sz="8" w:color="E8F0F8"/>
            </w:tcBorders>
            <w:shd w:val="clear" w:color="auto" w:fill="E8F0F8"/>
          </w:tcPr>
          <w:p>
            <w:pPr>
              <w:spacing w:after="0"/>
              <w:rPr>
                <w:sz w:val="21"/>
                <w:szCs w:val="21"/>
                <w:color w:val="auto"/>
              </w:rPr>
            </w:pPr>
          </w:p>
        </w:tc>
        <w:tc>
          <w:tcPr>
            <w:tcW w:w="1500" w:type="dxa"/>
            <w:vAlign w:val="bottom"/>
            <w:tcBorders>
              <w:bottom w:val="single" w:sz="8" w:color="E8F0F8"/>
            </w:tcBorders>
            <w:shd w:val="clear" w:color="auto" w:fill="E8F0F8"/>
          </w:tcPr>
          <w:p>
            <w:pPr>
              <w:spacing w:after="0"/>
              <w:rPr>
                <w:sz w:val="21"/>
                <w:szCs w:val="21"/>
                <w:color w:val="auto"/>
              </w:rPr>
            </w:pPr>
          </w:p>
        </w:tc>
      </w:tr>
      <w:tr>
        <w:trPr>
          <w:trHeight w:val="270"/>
        </w:trPr>
        <w:tc>
          <w:tcPr>
            <w:tcW w:w="4970" w:type="dxa"/>
            <w:vAlign w:val="bottom"/>
            <w:shd w:val="clear" w:color="auto" w:fill="BAD3EA"/>
          </w:tcPr>
          <w:p>
            <w:pPr>
              <w:ind w:left="60"/>
              <w:spacing w:after="0" w:line="270" w:lineRule="exact"/>
              <w:rPr>
                <w:sz w:val="20"/>
                <w:szCs w:val="20"/>
                <w:color w:val="auto"/>
              </w:rPr>
            </w:pPr>
            <w:r>
              <w:rPr>
                <w:rFonts w:ascii="Arial" w:cs="Arial" w:eastAsia="Arial" w:hAnsi="Arial"/>
                <w:sz w:val="16"/>
                <w:szCs w:val="16"/>
                <w:color w:val="auto"/>
              </w:rPr>
              <w:t>Michel Vounatsos</w:t>
            </w:r>
            <w:r>
              <w:rPr>
                <w:rFonts w:ascii="Arial" w:cs="Arial" w:eastAsia="Arial" w:hAnsi="Arial"/>
                <w:sz w:val="27"/>
                <w:szCs w:val="27"/>
                <w:color w:val="auto"/>
                <w:vertAlign w:val="superscript"/>
              </w:rPr>
              <w:t>(7)</w:t>
            </w:r>
          </w:p>
        </w:tc>
        <w:tc>
          <w:tcPr>
            <w:tcW w:w="1140" w:type="dxa"/>
            <w:vAlign w:val="bottom"/>
            <w:shd w:val="clear" w:color="auto" w:fill="BAD3EA"/>
          </w:tcPr>
          <w:p>
            <w:pPr>
              <w:jc w:val="right"/>
              <w:spacing w:after="0"/>
              <w:rPr>
                <w:sz w:val="20"/>
                <w:szCs w:val="20"/>
                <w:color w:val="auto"/>
              </w:rPr>
            </w:pPr>
            <w:r>
              <w:rPr>
                <w:rFonts w:ascii="Arial" w:cs="Arial" w:eastAsia="Arial" w:hAnsi="Arial"/>
                <w:sz w:val="16"/>
                <w:szCs w:val="16"/>
                <w:color w:val="auto"/>
              </w:rPr>
              <w:t>16,657</w:t>
            </w:r>
          </w:p>
        </w:tc>
        <w:tc>
          <w:tcPr>
            <w:tcW w:w="1650" w:type="dxa"/>
            <w:vAlign w:val="bottom"/>
            <w:shd w:val="clear" w:color="auto" w:fill="BAD3EA"/>
          </w:tcPr>
          <w:p>
            <w:pPr>
              <w:jc w:val="right"/>
              <w:spacing w:after="0"/>
              <w:rPr>
                <w:sz w:val="20"/>
                <w:szCs w:val="20"/>
                <w:color w:val="auto"/>
              </w:rPr>
            </w:pPr>
            <w:r>
              <w:rPr>
                <w:rFonts w:ascii="Arial" w:cs="Arial" w:eastAsia="Arial" w:hAnsi="Arial"/>
                <w:sz w:val="16"/>
                <w:szCs w:val="16"/>
                <w:color w:val="auto"/>
              </w:rPr>
              <w:t>3,252</w:t>
            </w:r>
          </w:p>
        </w:tc>
        <w:tc>
          <w:tcPr>
            <w:tcW w:w="1760" w:type="dxa"/>
            <w:vAlign w:val="bottom"/>
            <w:shd w:val="clear" w:color="auto" w:fill="BAD3EA"/>
          </w:tcPr>
          <w:p>
            <w:pPr>
              <w:jc w:val="right"/>
              <w:spacing w:after="0"/>
              <w:rPr>
                <w:sz w:val="20"/>
                <w:szCs w:val="20"/>
                <w:color w:val="auto"/>
              </w:rPr>
            </w:pPr>
            <w:r>
              <w:rPr>
                <w:rFonts w:ascii="Arial" w:cs="Arial" w:eastAsia="Arial" w:hAnsi="Arial"/>
                <w:sz w:val="16"/>
                <w:szCs w:val="16"/>
                <w:color w:val="auto"/>
              </w:rPr>
              <w:t>19,909</w:t>
            </w:r>
          </w:p>
        </w:tc>
        <w:tc>
          <w:tcPr>
            <w:tcW w:w="1500" w:type="dxa"/>
            <w:vAlign w:val="bottom"/>
            <w:shd w:val="clear" w:color="auto" w:fill="BAD3EA"/>
          </w:tcPr>
          <w:p>
            <w:pPr>
              <w:jc w:val="right"/>
              <w:ind w:right="160"/>
              <w:spacing w:after="0"/>
              <w:rPr>
                <w:sz w:val="20"/>
                <w:szCs w:val="20"/>
                <w:color w:val="auto"/>
              </w:rPr>
            </w:pPr>
            <w:r>
              <w:rPr>
                <w:rFonts w:ascii="Arial" w:cs="Arial" w:eastAsia="Arial" w:hAnsi="Arial"/>
                <w:sz w:val="16"/>
                <w:szCs w:val="16"/>
                <w:color w:val="auto"/>
              </w:rPr>
              <w:t>*</w:t>
            </w:r>
          </w:p>
        </w:tc>
      </w:tr>
      <w:tr>
        <w:trPr>
          <w:trHeight w:val="250"/>
        </w:trPr>
        <w:tc>
          <w:tcPr>
            <w:tcW w:w="4970" w:type="dxa"/>
            <w:vAlign w:val="bottom"/>
            <w:tcBorders>
              <w:bottom w:val="single" w:sz="8" w:color="E8F0F8"/>
            </w:tcBorders>
            <w:shd w:val="clear" w:color="auto" w:fill="E8F0F8"/>
          </w:tcPr>
          <w:p>
            <w:pPr>
              <w:ind w:left="60"/>
              <w:spacing w:after="0"/>
              <w:rPr>
                <w:sz w:val="20"/>
                <w:szCs w:val="20"/>
                <w:color w:val="auto"/>
              </w:rPr>
            </w:pPr>
            <w:r>
              <w:rPr>
                <w:rFonts w:ascii="Arial" w:cs="Arial" w:eastAsia="Arial" w:hAnsi="Arial"/>
                <w:sz w:val="16"/>
                <w:szCs w:val="16"/>
                <w:color w:val="auto"/>
              </w:rPr>
              <w:t>Jeffrey D. Capello</w:t>
            </w:r>
          </w:p>
        </w:tc>
        <w:tc>
          <w:tcPr>
            <w:tcW w:w="11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917</w:t>
            </w:r>
          </w:p>
        </w:tc>
        <w:tc>
          <w:tcPr>
            <w:tcW w:w="165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917</w:t>
            </w:r>
          </w:p>
        </w:tc>
        <w:tc>
          <w:tcPr>
            <w:tcW w:w="1500" w:type="dxa"/>
            <w:vAlign w:val="bottom"/>
            <w:tcBorders>
              <w:bottom w:val="single" w:sz="8" w:color="E8F0F8"/>
            </w:tcBorders>
            <w:shd w:val="clear" w:color="auto" w:fill="E8F0F8"/>
          </w:tcPr>
          <w:p>
            <w:pPr>
              <w:jc w:val="right"/>
              <w:ind w:right="160"/>
              <w:spacing w:after="0"/>
              <w:rPr>
                <w:sz w:val="20"/>
                <w:szCs w:val="20"/>
                <w:color w:val="auto"/>
              </w:rPr>
            </w:pPr>
            <w:r>
              <w:rPr>
                <w:rFonts w:ascii="Arial" w:cs="Arial" w:eastAsia="Arial" w:hAnsi="Arial"/>
                <w:sz w:val="16"/>
                <w:szCs w:val="16"/>
                <w:color w:val="auto"/>
              </w:rPr>
              <w:t>*</w:t>
            </w:r>
          </w:p>
        </w:tc>
      </w:tr>
      <w:tr>
        <w:trPr>
          <w:trHeight w:val="270"/>
        </w:trPr>
        <w:tc>
          <w:tcPr>
            <w:tcW w:w="4970" w:type="dxa"/>
            <w:vAlign w:val="bottom"/>
            <w:shd w:val="clear" w:color="auto" w:fill="BAD3EA"/>
          </w:tcPr>
          <w:p>
            <w:pPr>
              <w:ind w:left="60"/>
              <w:spacing w:after="0" w:line="270" w:lineRule="exact"/>
              <w:rPr>
                <w:sz w:val="20"/>
                <w:szCs w:val="20"/>
                <w:color w:val="auto"/>
              </w:rPr>
            </w:pPr>
            <w:r>
              <w:rPr>
                <w:rFonts w:ascii="Arial" w:cs="Arial" w:eastAsia="Arial" w:hAnsi="Arial"/>
                <w:sz w:val="16"/>
                <w:szCs w:val="16"/>
                <w:color w:val="auto"/>
              </w:rPr>
              <w:t>Michael Ehlers</w:t>
            </w:r>
            <w:r>
              <w:rPr>
                <w:rFonts w:ascii="Arial" w:cs="Arial" w:eastAsia="Arial" w:hAnsi="Arial"/>
                <w:sz w:val="27"/>
                <w:szCs w:val="27"/>
                <w:color w:val="auto"/>
                <w:vertAlign w:val="superscript"/>
              </w:rPr>
              <w:t>(7)</w:t>
            </w:r>
          </w:p>
        </w:tc>
        <w:tc>
          <w:tcPr>
            <w:tcW w:w="1140" w:type="dxa"/>
            <w:vAlign w:val="bottom"/>
            <w:shd w:val="clear" w:color="auto" w:fill="BAD3EA"/>
          </w:tcPr>
          <w:p>
            <w:pPr>
              <w:jc w:val="right"/>
              <w:spacing w:after="0"/>
              <w:rPr>
                <w:sz w:val="20"/>
                <w:szCs w:val="20"/>
                <w:color w:val="auto"/>
              </w:rPr>
            </w:pPr>
            <w:r>
              <w:rPr>
                <w:rFonts w:ascii="Arial" w:cs="Arial" w:eastAsia="Arial" w:hAnsi="Arial"/>
                <w:sz w:val="16"/>
                <w:szCs w:val="16"/>
                <w:color w:val="auto"/>
              </w:rPr>
              <w:t>6,824</w:t>
            </w:r>
          </w:p>
        </w:tc>
        <w:tc>
          <w:tcPr>
            <w:tcW w:w="1650" w:type="dxa"/>
            <w:vAlign w:val="bottom"/>
            <w:shd w:val="clear" w:color="auto" w:fill="BAD3EA"/>
          </w:tcPr>
          <w:p>
            <w:pPr>
              <w:jc w:val="right"/>
              <w:spacing w:after="0"/>
              <w:rPr>
                <w:sz w:val="20"/>
                <w:szCs w:val="20"/>
                <w:color w:val="auto"/>
              </w:rPr>
            </w:pPr>
            <w:r>
              <w:rPr>
                <w:rFonts w:ascii="Arial" w:cs="Arial" w:eastAsia="Arial" w:hAnsi="Arial"/>
                <w:sz w:val="16"/>
                <w:szCs w:val="16"/>
                <w:color w:val="auto"/>
              </w:rPr>
              <w:t>3,538</w:t>
            </w:r>
          </w:p>
        </w:tc>
        <w:tc>
          <w:tcPr>
            <w:tcW w:w="1760" w:type="dxa"/>
            <w:vAlign w:val="bottom"/>
            <w:shd w:val="clear" w:color="auto" w:fill="BAD3EA"/>
          </w:tcPr>
          <w:p>
            <w:pPr>
              <w:jc w:val="right"/>
              <w:spacing w:after="0"/>
              <w:rPr>
                <w:sz w:val="20"/>
                <w:szCs w:val="20"/>
                <w:color w:val="auto"/>
              </w:rPr>
            </w:pPr>
            <w:r>
              <w:rPr>
                <w:rFonts w:ascii="Arial" w:cs="Arial" w:eastAsia="Arial" w:hAnsi="Arial"/>
                <w:sz w:val="16"/>
                <w:szCs w:val="16"/>
                <w:color w:val="auto"/>
              </w:rPr>
              <w:t>10,362</w:t>
            </w:r>
          </w:p>
        </w:tc>
        <w:tc>
          <w:tcPr>
            <w:tcW w:w="1500" w:type="dxa"/>
            <w:vAlign w:val="bottom"/>
            <w:shd w:val="clear" w:color="auto" w:fill="BAD3EA"/>
          </w:tcPr>
          <w:p>
            <w:pPr>
              <w:jc w:val="right"/>
              <w:ind w:right="160"/>
              <w:spacing w:after="0"/>
              <w:rPr>
                <w:sz w:val="20"/>
                <w:szCs w:val="20"/>
                <w:color w:val="auto"/>
              </w:rPr>
            </w:pPr>
            <w:r>
              <w:rPr>
                <w:rFonts w:ascii="Arial" w:cs="Arial" w:eastAsia="Arial" w:hAnsi="Arial"/>
                <w:sz w:val="16"/>
                <w:szCs w:val="16"/>
                <w:color w:val="auto"/>
              </w:rPr>
              <w:t>*</w:t>
            </w:r>
          </w:p>
        </w:tc>
      </w:tr>
      <w:tr>
        <w:trPr>
          <w:trHeight w:val="250"/>
        </w:trPr>
        <w:tc>
          <w:tcPr>
            <w:tcW w:w="4970" w:type="dxa"/>
            <w:vAlign w:val="bottom"/>
            <w:tcBorders>
              <w:bottom w:val="single" w:sz="8" w:color="E8F0F8"/>
            </w:tcBorders>
            <w:shd w:val="clear" w:color="auto" w:fill="E8F0F8"/>
          </w:tcPr>
          <w:p>
            <w:pPr>
              <w:ind w:left="60"/>
              <w:spacing w:after="0"/>
              <w:rPr>
                <w:sz w:val="20"/>
                <w:szCs w:val="20"/>
                <w:color w:val="auto"/>
              </w:rPr>
            </w:pPr>
            <w:r>
              <w:rPr>
                <w:rFonts w:ascii="Arial" w:cs="Arial" w:eastAsia="Arial" w:hAnsi="Arial"/>
                <w:sz w:val="16"/>
                <w:szCs w:val="16"/>
                <w:color w:val="auto"/>
              </w:rPr>
              <w:t>Susan H. Alexander</w:t>
            </w:r>
          </w:p>
        </w:tc>
        <w:tc>
          <w:tcPr>
            <w:tcW w:w="11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31,976</w:t>
            </w:r>
          </w:p>
        </w:tc>
        <w:tc>
          <w:tcPr>
            <w:tcW w:w="165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31,976</w:t>
            </w:r>
          </w:p>
        </w:tc>
        <w:tc>
          <w:tcPr>
            <w:tcW w:w="1500" w:type="dxa"/>
            <w:vAlign w:val="bottom"/>
            <w:tcBorders>
              <w:bottom w:val="single" w:sz="8" w:color="E8F0F8"/>
            </w:tcBorders>
            <w:shd w:val="clear" w:color="auto" w:fill="E8F0F8"/>
          </w:tcPr>
          <w:p>
            <w:pPr>
              <w:jc w:val="right"/>
              <w:ind w:right="160"/>
              <w:spacing w:after="0"/>
              <w:rPr>
                <w:sz w:val="20"/>
                <w:szCs w:val="20"/>
                <w:color w:val="auto"/>
              </w:rPr>
            </w:pPr>
            <w:r>
              <w:rPr>
                <w:rFonts w:ascii="Arial" w:cs="Arial" w:eastAsia="Arial" w:hAnsi="Arial"/>
                <w:sz w:val="16"/>
                <w:szCs w:val="16"/>
                <w:color w:val="auto"/>
              </w:rPr>
              <w:t>*</w:t>
            </w:r>
          </w:p>
        </w:tc>
      </w:tr>
      <w:tr>
        <w:trPr>
          <w:trHeight w:val="250"/>
        </w:trPr>
        <w:tc>
          <w:tcPr>
            <w:tcW w:w="4970" w:type="dxa"/>
            <w:vAlign w:val="bottom"/>
            <w:tcBorders>
              <w:bottom w:val="single" w:sz="8" w:color="BAD3EA"/>
            </w:tcBorders>
            <w:shd w:val="clear" w:color="auto" w:fill="BAD3EA"/>
          </w:tcPr>
          <w:p>
            <w:pPr>
              <w:ind w:left="60"/>
              <w:spacing w:after="0"/>
              <w:rPr>
                <w:sz w:val="20"/>
                <w:szCs w:val="20"/>
                <w:color w:val="auto"/>
              </w:rPr>
            </w:pPr>
            <w:r>
              <w:rPr>
                <w:rFonts w:ascii="Arial" w:cs="Arial" w:eastAsia="Arial" w:hAnsi="Arial"/>
                <w:sz w:val="16"/>
                <w:szCs w:val="16"/>
                <w:color w:val="auto"/>
              </w:rPr>
              <w:t>Paul F. McKenzie</w:t>
            </w:r>
          </w:p>
        </w:tc>
        <w:tc>
          <w:tcPr>
            <w:tcW w:w="114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6,407</w:t>
            </w:r>
          </w:p>
        </w:tc>
        <w:tc>
          <w:tcPr>
            <w:tcW w:w="165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6,407</w:t>
            </w:r>
          </w:p>
        </w:tc>
        <w:tc>
          <w:tcPr>
            <w:tcW w:w="1500" w:type="dxa"/>
            <w:vAlign w:val="bottom"/>
            <w:tcBorders>
              <w:bottom w:val="single" w:sz="8" w:color="BAD3EA"/>
            </w:tcBorders>
            <w:shd w:val="clear" w:color="auto" w:fill="BAD3EA"/>
          </w:tcPr>
          <w:p>
            <w:pPr>
              <w:jc w:val="right"/>
              <w:ind w:right="160"/>
              <w:spacing w:after="0"/>
              <w:rPr>
                <w:sz w:val="20"/>
                <w:szCs w:val="20"/>
                <w:color w:val="auto"/>
              </w:rPr>
            </w:pPr>
            <w:r>
              <w:rPr>
                <w:rFonts w:ascii="Arial" w:cs="Arial" w:eastAsia="Arial" w:hAnsi="Arial"/>
                <w:sz w:val="16"/>
                <w:szCs w:val="16"/>
                <w:color w:val="auto"/>
              </w:rPr>
              <w:t>*</w:t>
            </w:r>
          </w:p>
        </w:tc>
      </w:tr>
      <w:tr>
        <w:trPr>
          <w:trHeight w:val="250"/>
        </w:trPr>
        <w:tc>
          <w:tcPr>
            <w:tcW w:w="4970" w:type="dxa"/>
            <w:vAlign w:val="bottom"/>
            <w:tcBorders>
              <w:bottom w:val="single" w:sz="8" w:color="E8F0F8"/>
            </w:tcBorders>
            <w:shd w:val="clear" w:color="auto" w:fill="E8F0F8"/>
          </w:tcPr>
          <w:p>
            <w:pPr>
              <w:ind w:left="60"/>
              <w:spacing w:after="0"/>
              <w:rPr>
                <w:sz w:val="20"/>
                <w:szCs w:val="20"/>
                <w:color w:val="auto"/>
              </w:rPr>
            </w:pPr>
            <w:r>
              <w:rPr>
                <w:rFonts w:ascii="Arial" w:cs="Arial" w:eastAsia="Arial" w:hAnsi="Arial"/>
                <w:sz w:val="15"/>
                <w:szCs w:val="15"/>
                <w:b w:val="1"/>
                <w:bCs w:val="1"/>
                <w:color w:val="auto"/>
              </w:rPr>
              <w:t>Directors</w:t>
            </w:r>
          </w:p>
        </w:tc>
        <w:tc>
          <w:tcPr>
            <w:tcW w:w="1140" w:type="dxa"/>
            <w:vAlign w:val="bottom"/>
            <w:tcBorders>
              <w:bottom w:val="single" w:sz="8" w:color="E8F0F8"/>
            </w:tcBorders>
            <w:shd w:val="clear" w:color="auto" w:fill="E8F0F8"/>
          </w:tcPr>
          <w:p>
            <w:pPr>
              <w:spacing w:after="0"/>
              <w:rPr>
                <w:sz w:val="21"/>
                <w:szCs w:val="21"/>
                <w:color w:val="auto"/>
              </w:rPr>
            </w:pPr>
          </w:p>
        </w:tc>
        <w:tc>
          <w:tcPr>
            <w:tcW w:w="1650" w:type="dxa"/>
            <w:vAlign w:val="bottom"/>
            <w:tcBorders>
              <w:bottom w:val="single" w:sz="8" w:color="E8F0F8"/>
            </w:tcBorders>
            <w:shd w:val="clear" w:color="auto" w:fill="E8F0F8"/>
          </w:tcPr>
          <w:p>
            <w:pPr>
              <w:spacing w:after="0"/>
              <w:rPr>
                <w:sz w:val="21"/>
                <w:szCs w:val="21"/>
                <w:color w:val="auto"/>
              </w:rPr>
            </w:pPr>
          </w:p>
        </w:tc>
        <w:tc>
          <w:tcPr>
            <w:tcW w:w="1760" w:type="dxa"/>
            <w:vAlign w:val="bottom"/>
            <w:tcBorders>
              <w:bottom w:val="single" w:sz="8" w:color="E8F0F8"/>
            </w:tcBorders>
            <w:shd w:val="clear" w:color="auto" w:fill="E8F0F8"/>
          </w:tcPr>
          <w:p>
            <w:pPr>
              <w:spacing w:after="0"/>
              <w:rPr>
                <w:sz w:val="21"/>
                <w:szCs w:val="21"/>
                <w:color w:val="auto"/>
              </w:rPr>
            </w:pPr>
          </w:p>
        </w:tc>
        <w:tc>
          <w:tcPr>
            <w:tcW w:w="1500" w:type="dxa"/>
            <w:vAlign w:val="bottom"/>
            <w:tcBorders>
              <w:bottom w:val="single" w:sz="8" w:color="E8F0F8"/>
            </w:tcBorders>
            <w:shd w:val="clear" w:color="auto" w:fill="E8F0F8"/>
          </w:tcPr>
          <w:p>
            <w:pPr>
              <w:spacing w:after="0"/>
              <w:rPr>
                <w:sz w:val="21"/>
                <w:szCs w:val="21"/>
                <w:color w:val="auto"/>
              </w:rPr>
            </w:pPr>
          </w:p>
        </w:tc>
      </w:tr>
      <w:tr>
        <w:trPr>
          <w:trHeight w:val="250"/>
        </w:trPr>
        <w:tc>
          <w:tcPr>
            <w:tcW w:w="4970" w:type="dxa"/>
            <w:vAlign w:val="bottom"/>
            <w:tcBorders>
              <w:bottom w:val="single" w:sz="8" w:color="BAD3EA"/>
            </w:tcBorders>
            <w:shd w:val="clear" w:color="auto" w:fill="BAD3EA"/>
          </w:tcPr>
          <w:p>
            <w:pPr>
              <w:ind w:left="60"/>
              <w:spacing w:after="0"/>
              <w:rPr>
                <w:sz w:val="20"/>
                <w:szCs w:val="20"/>
                <w:color w:val="auto"/>
              </w:rPr>
            </w:pPr>
            <w:r>
              <w:rPr>
                <w:rFonts w:ascii="Arial" w:cs="Arial" w:eastAsia="Arial" w:hAnsi="Arial"/>
                <w:sz w:val="16"/>
                <w:szCs w:val="16"/>
                <w:color w:val="auto"/>
              </w:rPr>
              <w:t>John R Chiminski</w:t>
            </w:r>
          </w:p>
        </w:tc>
        <w:tc>
          <w:tcPr>
            <w:tcW w:w="114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165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BAD3EA"/>
            </w:tcBorders>
            <w:shd w:val="clear" w:color="auto" w:fill="BAD3EA"/>
          </w:tcPr>
          <w:p>
            <w:pPr>
              <w:jc w:val="right"/>
              <w:ind w:right="160"/>
              <w:spacing w:after="0"/>
              <w:rPr>
                <w:sz w:val="20"/>
                <w:szCs w:val="20"/>
                <w:color w:val="auto"/>
              </w:rPr>
            </w:pPr>
            <w:r>
              <w:rPr>
                <w:rFonts w:ascii="Arial" w:cs="Arial" w:eastAsia="Arial" w:hAnsi="Arial"/>
                <w:sz w:val="16"/>
                <w:szCs w:val="16"/>
                <w:color w:val="auto"/>
              </w:rPr>
              <w:t>—</w:t>
            </w:r>
          </w:p>
        </w:tc>
      </w:tr>
      <w:tr>
        <w:trPr>
          <w:trHeight w:val="270"/>
        </w:trPr>
        <w:tc>
          <w:tcPr>
            <w:tcW w:w="4970" w:type="dxa"/>
            <w:vAlign w:val="bottom"/>
            <w:shd w:val="clear" w:color="auto" w:fill="E8F0F8"/>
          </w:tcPr>
          <w:p>
            <w:pPr>
              <w:ind w:left="60"/>
              <w:spacing w:after="0" w:line="270" w:lineRule="exact"/>
              <w:rPr>
                <w:sz w:val="20"/>
                <w:szCs w:val="20"/>
                <w:color w:val="auto"/>
              </w:rPr>
            </w:pPr>
            <w:r>
              <w:rPr>
                <w:rFonts w:ascii="Arial" w:cs="Arial" w:eastAsia="Arial" w:hAnsi="Arial"/>
                <w:sz w:val="16"/>
                <w:szCs w:val="16"/>
                <w:color w:val="auto"/>
              </w:rPr>
              <w:t>Alexander J. Denner</w:t>
            </w:r>
            <w:r>
              <w:rPr>
                <w:rFonts w:ascii="Arial" w:cs="Arial" w:eastAsia="Arial" w:hAnsi="Arial"/>
                <w:sz w:val="27"/>
                <w:szCs w:val="27"/>
                <w:color w:val="auto"/>
                <w:vertAlign w:val="superscript"/>
              </w:rPr>
              <w:t>(8)</w:t>
            </w:r>
          </w:p>
        </w:tc>
        <w:tc>
          <w:tcPr>
            <w:tcW w:w="1140" w:type="dxa"/>
            <w:vAlign w:val="bottom"/>
            <w:shd w:val="clear" w:color="auto" w:fill="E8F0F8"/>
          </w:tcPr>
          <w:p>
            <w:pPr>
              <w:jc w:val="right"/>
              <w:spacing w:after="0"/>
              <w:rPr>
                <w:sz w:val="20"/>
                <w:szCs w:val="20"/>
                <w:color w:val="auto"/>
              </w:rPr>
            </w:pPr>
            <w:r>
              <w:rPr>
                <w:rFonts w:ascii="Arial" w:cs="Arial" w:eastAsia="Arial" w:hAnsi="Arial"/>
                <w:sz w:val="16"/>
                <w:szCs w:val="16"/>
                <w:color w:val="auto"/>
              </w:rPr>
              <w:t>534,687</w:t>
            </w:r>
          </w:p>
        </w:tc>
        <w:tc>
          <w:tcPr>
            <w:tcW w:w="1650" w:type="dxa"/>
            <w:vAlign w:val="bottom"/>
            <w:shd w:val="clear" w:color="auto" w:fill="E8F0F8"/>
          </w:tcPr>
          <w:p>
            <w:pPr>
              <w:jc w:val="right"/>
              <w:spacing w:after="0"/>
              <w:rPr>
                <w:sz w:val="20"/>
                <w:szCs w:val="20"/>
                <w:color w:val="auto"/>
              </w:rPr>
            </w:pPr>
            <w:r>
              <w:rPr>
                <w:rFonts w:ascii="Arial" w:cs="Arial" w:eastAsia="Arial" w:hAnsi="Arial"/>
                <w:sz w:val="16"/>
                <w:szCs w:val="16"/>
                <w:color w:val="auto"/>
              </w:rPr>
              <w:t>880</w:t>
            </w:r>
          </w:p>
        </w:tc>
        <w:tc>
          <w:tcPr>
            <w:tcW w:w="1760" w:type="dxa"/>
            <w:vAlign w:val="bottom"/>
            <w:shd w:val="clear" w:color="auto" w:fill="E8F0F8"/>
          </w:tcPr>
          <w:p>
            <w:pPr>
              <w:jc w:val="right"/>
              <w:spacing w:after="0"/>
              <w:rPr>
                <w:sz w:val="20"/>
                <w:szCs w:val="20"/>
                <w:color w:val="auto"/>
              </w:rPr>
            </w:pPr>
            <w:r>
              <w:rPr>
                <w:rFonts w:ascii="Arial" w:cs="Arial" w:eastAsia="Arial" w:hAnsi="Arial"/>
                <w:sz w:val="16"/>
                <w:szCs w:val="16"/>
                <w:color w:val="auto"/>
              </w:rPr>
              <w:t>535,567</w:t>
            </w:r>
          </w:p>
        </w:tc>
        <w:tc>
          <w:tcPr>
            <w:tcW w:w="1500" w:type="dxa"/>
            <w:vAlign w:val="bottom"/>
            <w:shd w:val="clear" w:color="auto" w:fill="E8F0F8"/>
          </w:tcPr>
          <w:p>
            <w:pPr>
              <w:jc w:val="right"/>
              <w:ind w:right="160"/>
              <w:spacing w:after="0"/>
              <w:rPr>
                <w:sz w:val="20"/>
                <w:szCs w:val="20"/>
                <w:color w:val="auto"/>
              </w:rPr>
            </w:pPr>
            <w:r>
              <w:rPr>
                <w:rFonts w:ascii="Arial" w:cs="Arial" w:eastAsia="Arial" w:hAnsi="Arial"/>
                <w:sz w:val="16"/>
                <w:szCs w:val="16"/>
                <w:color w:val="auto"/>
              </w:rPr>
              <w:t>*</w:t>
            </w:r>
          </w:p>
        </w:tc>
      </w:tr>
      <w:tr>
        <w:trPr>
          <w:trHeight w:val="250"/>
        </w:trPr>
        <w:tc>
          <w:tcPr>
            <w:tcW w:w="4970" w:type="dxa"/>
            <w:vAlign w:val="bottom"/>
            <w:tcBorders>
              <w:bottom w:val="single" w:sz="8" w:color="BAD3EA"/>
            </w:tcBorders>
            <w:shd w:val="clear" w:color="auto" w:fill="BAD3EA"/>
          </w:tcPr>
          <w:p>
            <w:pPr>
              <w:ind w:left="60"/>
              <w:spacing w:after="0"/>
              <w:rPr>
                <w:sz w:val="20"/>
                <w:szCs w:val="20"/>
                <w:color w:val="auto"/>
              </w:rPr>
            </w:pPr>
            <w:r>
              <w:rPr>
                <w:rFonts w:ascii="Arial" w:cs="Arial" w:eastAsia="Arial" w:hAnsi="Arial"/>
                <w:sz w:val="16"/>
                <w:szCs w:val="16"/>
                <w:color w:val="auto"/>
              </w:rPr>
              <w:t>Caroline D. Dorsa</w:t>
            </w:r>
          </w:p>
        </w:tc>
        <w:tc>
          <w:tcPr>
            <w:tcW w:w="114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18,172</w:t>
            </w:r>
          </w:p>
        </w:tc>
        <w:tc>
          <w:tcPr>
            <w:tcW w:w="165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880</w:t>
            </w:r>
          </w:p>
        </w:tc>
        <w:tc>
          <w:tcPr>
            <w:tcW w:w="176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19,052</w:t>
            </w:r>
          </w:p>
        </w:tc>
        <w:tc>
          <w:tcPr>
            <w:tcW w:w="1500" w:type="dxa"/>
            <w:vAlign w:val="bottom"/>
            <w:tcBorders>
              <w:bottom w:val="single" w:sz="8" w:color="BAD3EA"/>
            </w:tcBorders>
            <w:shd w:val="clear" w:color="auto" w:fill="BAD3EA"/>
          </w:tcPr>
          <w:p>
            <w:pPr>
              <w:jc w:val="right"/>
              <w:ind w:right="160"/>
              <w:spacing w:after="0"/>
              <w:rPr>
                <w:sz w:val="20"/>
                <w:szCs w:val="20"/>
                <w:color w:val="auto"/>
              </w:rPr>
            </w:pPr>
            <w:r>
              <w:rPr>
                <w:rFonts w:ascii="Arial" w:cs="Arial" w:eastAsia="Arial" w:hAnsi="Arial"/>
                <w:sz w:val="16"/>
                <w:szCs w:val="16"/>
                <w:color w:val="auto"/>
              </w:rPr>
              <w:t>*</w:t>
            </w:r>
          </w:p>
        </w:tc>
      </w:tr>
      <w:tr>
        <w:trPr>
          <w:trHeight w:val="250"/>
        </w:trPr>
        <w:tc>
          <w:tcPr>
            <w:tcW w:w="4970" w:type="dxa"/>
            <w:vAlign w:val="bottom"/>
            <w:tcBorders>
              <w:bottom w:val="single" w:sz="8" w:color="E8F0F8"/>
            </w:tcBorders>
            <w:shd w:val="clear" w:color="auto" w:fill="E8F0F8"/>
          </w:tcPr>
          <w:p>
            <w:pPr>
              <w:ind w:left="60"/>
              <w:spacing w:after="0"/>
              <w:rPr>
                <w:sz w:val="20"/>
                <w:szCs w:val="20"/>
                <w:color w:val="auto"/>
              </w:rPr>
            </w:pPr>
            <w:r>
              <w:rPr>
                <w:rFonts w:ascii="Arial" w:cs="Arial" w:eastAsia="Arial" w:hAnsi="Arial"/>
                <w:sz w:val="16"/>
                <w:szCs w:val="16"/>
                <w:color w:val="auto"/>
              </w:rPr>
              <w:t>William A. Hawkins</w:t>
            </w:r>
          </w:p>
        </w:tc>
        <w:tc>
          <w:tcPr>
            <w:tcW w:w="11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165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E8F0F8"/>
            </w:tcBorders>
            <w:shd w:val="clear" w:color="auto" w:fill="E8F0F8"/>
          </w:tcPr>
          <w:p>
            <w:pPr>
              <w:jc w:val="right"/>
              <w:ind w:right="160"/>
              <w:spacing w:after="0"/>
              <w:rPr>
                <w:sz w:val="20"/>
                <w:szCs w:val="20"/>
                <w:color w:val="auto"/>
              </w:rPr>
            </w:pPr>
            <w:r>
              <w:rPr>
                <w:rFonts w:ascii="Arial" w:cs="Arial" w:eastAsia="Arial" w:hAnsi="Arial"/>
                <w:sz w:val="16"/>
                <w:szCs w:val="16"/>
                <w:color w:val="auto"/>
              </w:rPr>
              <w:t>—</w:t>
            </w:r>
          </w:p>
        </w:tc>
      </w:tr>
      <w:tr>
        <w:trPr>
          <w:trHeight w:val="250"/>
        </w:trPr>
        <w:tc>
          <w:tcPr>
            <w:tcW w:w="4970" w:type="dxa"/>
            <w:vAlign w:val="bottom"/>
            <w:tcBorders>
              <w:bottom w:val="single" w:sz="8" w:color="BAD3EA"/>
            </w:tcBorders>
            <w:shd w:val="clear" w:color="auto" w:fill="BAD3EA"/>
          </w:tcPr>
          <w:p>
            <w:pPr>
              <w:ind w:left="60"/>
              <w:spacing w:after="0"/>
              <w:rPr>
                <w:sz w:val="20"/>
                <w:szCs w:val="20"/>
                <w:color w:val="auto"/>
              </w:rPr>
            </w:pPr>
            <w:r>
              <w:rPr>
                <w:rFonts w:ascii="Arial" w:cs="Arial" w:eastAsia="Arial" w:hAnsi="Arial"/>
                <w:sz w:val="16"/>
                <w:szCs w:val="16"/>
                <w:color w:val="auto"/>
              </w:rPr>
              <w:t>Nancy L. Leaming</w:t>
            </w:r>
          </w:p>
        </w:tc>
        <w:tc>
          <w:tcPr>
            <w:tcW w:w="114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10,063</w:t>
            </w:r>
          </w:p>
        </w:tc>
        <w:tc>
          <w:tcPr>
            <w:tcW w:w="165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880</w:t>
            </w:r>
          </w:p>
        </w:tc>
        <w:tc>
          <w:tcPr>
            <w:tcW w:w="176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10,943</w:t>
            </w:r>
          </w:p>
        </w:tc>
        <w:tc>
          <w:tcPr>
            <w:tcW w:w="1500" w:type="dxa"/>
            <w:vAlign w:val="bottom"/>
            <w:tcBorders>
              <w:bottom w:val="single" w:sz="8" w:color="BAD3EA"/>
            </w:tcBorders>
            <w:shd w:val="clear" w:color="auto" w:fill="BAD3EA"/>
          </w:tcPr>
          <w:p>
            <w:pPr>
              <w:jc w:val="right"/>
              <w:ind w:right="160"/>
              <w:spacing w:after="0"/>
              <w:rPr>
                <w:sz w:val="20"/>
                <w:szCs w:val="20"/>
                <w:color w:val="auto"/>
              </w:rPr>
            </w:pPr>
            <w:r>
              <w:rPr>
                <w:rFonts w:ascii="Arial" w:cs="Arial" w:eastAsia="Arial" w:hAnsi="Arial"/>
                <w:sz w:val="16"/>
                <w:szCs w:val="16"/>
                <w:color w:val="auto"/>
              </w:rPr>
              <w:t>*</w:t>
            </w:r>
          </w:p>
        </w:tc>
      </w:tr>
      <w:tr>
        <w:trPr>
          <w:trHeight w:val="250"/>
        </w:trPr>
        <w:tc>
          <w:tcPr>
            <w:tcW w:w="4970" w:type="dxa"/>
            <w:vAlign w:val="bottom"/>
            <w:tcBorders>
              <w:bottom w:val="single" w:sz="8" w:color="E8F0F8"/>
            </w:tcBorders>
            <w:shd w:val="clear" w:color="auto" w:fill="E8F0F8"/>
          </w:tcPr>
          <w:p>
            <w:pPr>
              <w:ind w:left="60"/>
              <w:spacing w:after="0"/>
              <w:rPr>
                <w:sz w:val="20"/>
                <w:szCs w:val="20"/>
                <w:color w:val="auto"/>
              </w:rPr>
            </w:pPr>
            <w:r>
              <w:rPr>
                <w:rFonts w:ascii="Arial" w:cs="Arial" w:eastAsia="Arial" w:hAnsi="Arial"/>
                <w:sz w:val="16"/>
                <w:szCs w:val="16"/>
                <w:color w:val="auto"/>
              </w:rPr>
              <w:t>Jesus B. Mantas</w:t>
            </w:r>
          </w:p>
        </w:tc>
        <w:tc>
          <w:tcPr>
            <w:tcW w:w="11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165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E8F0F8"/>
            </w:tcBorders>
            <w:shd w:val="clear" w:color="auto" w:fill="E8F0F8"/>
          </w:tcPr>
          <w:p>
            <w:pPr>
              <w:jc w:val="right"/>
              <w:ind w:right="160"/>
              <w:spacing w:after="0"/>
              <w:rPr>
                <w:sz w:val="20"/>
                <w:szCs w:val="20"/>
                <w:color w:val="auto"/>
              </w:rPr>
            </w:pPr>
            <w:r>
              <w:rPr>
                <w:rFonts w:ascii="Arial" w:cs="Arial" w:eastAsia="Arial" w:hAnsi="Arial"/>
                <w:sz w:val="16"/>
                <w:szCs w:val="16"/>
                <w:color w:val="auto"/>
              </w:rPr>
              <w:t>—</w:t>
            </w:r>
          </w:p>
        </w:tc>
      </w:tr>
      <w:tr>
        <w:trPr>
          <w:trHeight w:val="250"/>
        </w:trPr>
        <w:tc>
          <w:tcPr>
            <w:tcW w:w="4970" w:type="dxa"/>
            <w:vAlign w:val="bottom"/>
            <w:tcBorders>
              <w:bottom w:val="single" w:sz="8" w:color="BAD3EA"/>
            </w:tcBorders>
            <w:shd w:val="clear" w:color="auto" w:fill="BAD3EA"/>
          </w:tcPr>
          <w:p>
            <w:pPr>
              <w:ind w:left="60"/>
              <w:spacing w:after="0"/>
              <w:rPr>
                <w:sz w:val="20"/>
                <w:szCs w:val="20"/>
                <w:color w:val="auto"/>
              </w:rPr>
            </w:pPr>
            <w:r>
              <w:rPr>
                <w:rFonts w:ascii="Arial" w:cs="Arial" w:eastAsia="Arial" w:hAnsi="Arial"/>
                <w:sz w:val="16"/>
                <w:szCs w:val="16"/>
                <w:color w:val="auto"/>
              </w:rPr>
              <w:t>Richard C. Mulligan</w:t>
            </w:r>
          </w:p>
        </w:tc>
        <w:tc>
          <w:tcPr>
            <w:tcW w:w="114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10,029</w:t>
            </w:r>
          </w:p>
        </w:tc>
        <w:tc>
          <w:tcPr>
            <w:tcW w:w="165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880</w:t>
            </w:r>
          </w:p>
        </w:tc>
        <w:tc>
          <w:tcPr>
            <w:tcW w:w="176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10,909</w:t>
            </w:r>
          </w:p>
        </w:tc>
        <w:tc>
          <w:tcPr>
            <w:tcW w:w="1500" w:type="dxa"/>
            <w:vAlign w:val="bottom"/>
            <w:tcBorders>
              <w:bottom w:val="single" w:sz="8" w:color="BAD3EA"/>
            </w:tcBorders>
            <w:shd w:val="clear" w:color="auto" w:fill="BAD3EA"/>
          </w:tcPr>
          <w:p>
            <w:pPr>
              <w:jc w:val="right"/>
              <w:ind w:right="160"/>
              <w:spacing w:after="0"/>
              <w:rPr>
                <w:sz w:val="20"/>
                <w:szCs w:val="20"/>
                <w:color w:val="auto"/>
              </w:rPr>
            </w:pPr>
            <w:r>
              <w:rPr>
                <w:rFonts w:ascii="Arial" w:cs="Arial" w:eastAsia="Arial" w:hAnsi="Arial"/>
                <w:sz w:val="16"/>
                <w:szCs w:val="16"/>
                <w:color w:val="auto"/>
              </w:rPr>
              <w:t>*</w:t>
            </w:r>
          </w:p>
        </w:tc>
      </w:tr>
      <w:tr>
        <w:trPr>
          <w:trHeight w:val="250"/>
        </w:trPr>
        <w:tc>
          <w:tcPr>
            <w:tcW w:w="4970" w:type="dxa"/>
            <w:vAlign w:val="bottom"/>
            <w:tcBorders>
              <w:bottom w:val="single" w:sz="8" w:color="E8F0F8"/>
            </w:tcBorders>
            <w:shd w:val="clear" w:color="auto" w:fill="E8F0F8"/>
          </w:tcPr>
          <w:p>
            <w:pPr>
              <w:ind w:left="60"/>
              <w:spacing w:after="0"/>
              <w:rPr>
                <w:sz w:val="20"/>
                <w:szCs w:val="20"/>
                <w:color w:val="auto"/>
              </w:rPr>
            </w:pPr>
            <w:r>
              <w:rPr>
                <w:rFonts w:ascii="Arial" w:cs="Arial" w:eastAsia="Arial" w:hAnsi="Arial"/>
                <w:sz w:val="16"/>
                <w:szCs w:val="16"/>
                <w:color w:val="auto"/>
              </w:rPr>
              <w:t>Robert W. Pangia</w:t>
            </w:r>
          </w:p>
        </w:tc>
        <w:tc>
          <w:tcPr>
            <w:tcW w:w="11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17,707</w:t>
            </w:r>
          </w:p>
        </w:tc>
        <w:tc>
          <w:tcPr>
            <w:tcW w:w="165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880</w:t>
            </w:r>
          </w:p>
        </w:tc>
        <w:tc>
          <w:tcPr>
            <w:tcW w:w="176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18,587</w:t>
            </w:r>
          </w:p>
        </w:tc>
        <w:tc>
          <w:tcPr>
            <w:tcW w:w="1500" w:type="dxa"/>
            <w:vAlign w:val="bottom"/>
            <w:tcBorders>
              <w:bottom w:val="single" w:sz="8" w:color="E8F0F8"/>
            </w:tcBorders>
            <w:shd w:val="clear" w:color="auto" w:fill="E8F0F8"/>
          </w:tcPr>
          <w:p>
            <w:pPr>
              <w:jc w:val="right"/>
              <w:ind w:right="160"/>
              <w:spacing w:after="0"/>
              <w:rPr>
                <w:sz w:val="20"/>
                <w:szCs w:val="20"/>
                <w:color w:val="auto"/>
              </w:rPr>
            </w:pPr>
            <w:r>
              <w:rPr>
                <w:rFonts w:ascii="Arial" w:cs="Arial" w:eastAsia="Arial" w:hAnsi="Arial"/>
                <w:sz w:val="16"/>
                <w:szCs w:val="16"/>
                <w:color w:val="auto"/>
              </w:rPr>
              <w:t>*</w:t>
            </w:r>
          </w:p>
        </w:tc>
      </w:tr>
      <w:tr>
        <w:trPr>
          <w:trHeight w:val="270"/>
        </w:trPr>
        <w:tc>
          <w:tcPr>
            <w:tcW w:w="4970" w:type="dxa"/>
            <w:vAlign w:val="bottom"/>
            <w:shd w:val="clear" w:color="auto" w:fill="BAD3EA"/>
          </w:tcPr>
          <w:p>
            <w:pPr>
              <w:ind w:left="60"/>
              <w:spacing w:after="0" w:line="270" w:lineRule="exact"/>
              <w:rPr>
                <w:sz w:val="20"/>
                <w:szCs w:val="20"/>
                <w:color w:val="auto"/>
              </w:rPr>
            </w:pPr>
            <w:r>
              <w:rPr>
                <w:rFonts w:ascii="Arial" w:cs="Arial" w:eastAsia="Arial" w:hAnsi="Arial"/>
                <w:sz w:val="16"/>
                <w:szCs w:val="16"/>
                <w:color w:val="auto"/>
              </w:rPr>
              <w:t>Stelios Papadopoulos</w:t>
            </w:r>
            <w:r>
              <w:rPr>
                <w:rFonts w:ascii="Arial" w:cs="Arial" w:eastAsia="Arial" w:hAnsi="Arial"/>
                <w:sz w:val="27"/>
                <w:szCs w:val="27"/>
                <w:color w:val="auto"/>
                <w:vertAlign w:val="superscript"/>
              </w:rPr>
              <w:t>(9)</w:t>
            </w:r>
          </w:p>
        </w:tc>
        <w:tc>
          <w:tcPr>
            <w:tcW w:w="1140" w:type="dxa"/>
            <w:vAlign w:val="bottom"/>
            <w:shd w:val="clear" w:color="auto" w:fill="BAD3EA"/>
          </w:tcPr>
          <w:p>
            <w:pPr>
              <w:jc w:val="right"/>
              <w:spacing w:after="0"/>
              <w:rPr>
                <w:sz w:val="20"/>
                <w:szCs w:val="20"/>
                <w:color w:val="auto"/>
              </w:rPr>
            </w:pPr>
            <w:r>
              <w:rPr>
                <w:rFonts w:ascii="Arial" w:cs="Arial" w:eastAsia="Arial" w:hAnsi="Arial"/>
                <w:sz w:val="16"/>
                <w:szCs w:val="16"/>
                <w:color w:val="auto"/>
              </w:rPr>
              <w:t>29,946</w:t>
            </w:r>
          </w:p>
        </w:tc>
        <w:tc>
          <w:tcPr>
            <w:tcW w:w="1650" w:type="dxa"/>
            <w:vAlign w:val="bottom"/>
            <w:shd w:val="clear" w:color="auto" w:fill="BAD3EA"/>
          </w:tcPr>
          <w:p>
            <w:pPr>
              <w:jc w:val="right"/>
              <w:spacing w:after="0"/>
              <w:rPr>
                <w:sz w:val="20"/>
                <w:szCs w:val="20"/>
                <w:color w:val="auto"/>
              </w:rPr>
            </w:pPr>
            <w:r>
              <w:rPr>
                <w:rFonts w:ascii="Arial" w:cs="Arial" w:eastAsia="Arial" w:hAnsi="Arial"/>
                <w:sz w:val="16"/>
                <w:szCs w:val="16"/>
                <w:color w:val="auto"/>
              </w:rPr>
              <w:t>1,450</w:t>
            </w:r>
          </w:p>
        </w:tc>
        <w:tc>
          <w:tcPr>
            <w:tcW w:w="1760" w:type="dxa"/>
            <w:vAlign w:val="bottom"/>
            <w:shd w:val="clear" w:color="auto" w:fill="BAD3EA"/>
          </w:tcPr>
          <w:p>
            <w:pPr>
              <w:jc w:val="right"/>
              <w:spacing w:after="0"/>
              <w:rPr>
                <w:sz w:val="20"/>
                <w:szCs w:val="20"/>
                <w:color w:val="auto"/>
              </w:rPr>
            </w:pPr>
            <w:r>
              <w:rPr>
                <w:rFonts w:ascii="Arial" w:cs="Arial" w:eastAsia="Arial" w:hAnsi="Arial"/>
                <w:sz w:val="16"/>
                <w:szCs w:val="16"/>
                <w:color w:val="auto"/>
              </w:rPr>
              <w:t>31,396</w:t>
            </w:r>
          </w:p>
        </w:tc>
        <w:tc>
          <w:tcPr>
            <w:tcW w:w="1500" w:type="dxa"/>
            <w:vAlign w:val="bottom"/>
            <w:shd w:val="clear" w:color="auto" w:fill="BAD3EA"/>
          </w:tcPr>
          <w:p>
            <w:pPr>
              <w:jc w:val="right"/>
              <w:ind w:right="160"/>
              <w:spacing w:after="0"/>
              <w:rPr>
                <w:sz w:val="20"/>
                <w:szCs w:val="20"/>
                <w:color w:val="auto"/>
              </w:rPr>
            </w:pPr>
            <w:r>
              <w:rPr>
                <w:rFonts w:ascii="Arial" w:cs="Arial" w:eastAsia="Arial" w:hAnsi="Arial"/>
                <w:sz w:val="16"/>
                <w:szCs w:val="16"/>
                <w:color w:val="auto"/>
              </w:rPr>
              <w:t>*</w:t>
            </w:r>
          </w:p>
        </w:tc>
      </w:tr>
      <w:tr>
        <w:trPr>
          <w:trHeight w:val="250"/>
        </w:trPr>
        <w:tc>
          <w:tcPr>
            <w:tcW w:w="4970" w:type="dxa"/>
            <w:vAlign w:val="bottom"/>
            <w:tcBorders>
              <w:bottom w:val="single" w:sz="8" w:color="E8F0F8"/>
            </w:tcBorders>
            <w:shd w:val="clear" w:color="auto" w:fill="E8F0F8"/>
          </w:tcPr>
          <w:p>
            <w:pPr>
              <w:ind w:left="60"/>
              <w:spacing w:after="0"/>
              <w:rPr>
                <w:sz w:val="20"/>
                <w:szCs w:val="20"/>
                <w:color w:val="auto"/>
              </w:rPr>
            </w:pPr>
            <w:r>
              <w:rPr>
                <w:rFonts w:ascii="Arial" w:cs="Arial" w:eastAsia="Arial" w:hAnsi="Arial"/>
                <w:sz w:val="16"/>
                <w:szCs w:val="16"/>
                <w:color w:val="auto"/>
              </w:rPr>
              <w:t>Brian S. Posner</w:t>
            </w:r>
          </w:p>
        </w:tc>
        <w:tc>
          <w:tcPr>
            <w:tcW w:w="114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6,015</w:t>
            </w:r>
          </w:p>
        </w:tc>
        <w:tc>
          <w:tcPr>
            <w:tcW w:w="165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880</w:t>
            </w:r>
          </w:p>
        </w:tc>
        <w:tc>
          <w:tcPr>
            <w:tcW w:w="1760" w:type="dxa"/>
            <w:vAlign w:val="bottom"/>
            <w:tcBorders>
              <w:bottom w:val="single" w:sz="8" w:color="E8F0F8"/>
            </w:tcBorders>
            <w:shd w:val="clear" w:color="auto" w:fill="E8F0F8"/>
          </w:tcPr>
          <w:p>
            <w:pPr>
              <w:jc w:val="right"/>
              <w:spacing w:after="0"/>
              <w:rPr>
                <w:sz w:val="20"/>
                <w:szCs w:val="20"/>
                <w:color w:val="auto"/>
              </w:rPr>
            </w:pPr>
            <w:r>
              <w:rPr>
                <w:rFonts w:ascii="Arial" w:cs="Arial" w:eastAsia="Arial" w:hAnsi="Arial"/>
                <w:sz w:val="16"/>
                <w:szCs w:val="16"/>
                <w:color w:val="auto"/>
              </w:rPr>
              <w:t>6,895</w:t>
            </w:r>
          </w:p>
        </w:tc>
        <w:tc>
          <w:tcPr>
            <w:tcW w:w="1500" w:type="dxa"/>
            <w:vAlign w:val="bottom"/>
            <w:tcBorders>
              <w:bottom w:val="single" w:sz="8" w:color="E8F0F8"/>
            </w:tcBorders>
            <w:shd w:val="clear" w:color="auto" w:fill="E8F0F8"/>
          </w:tcPr>
          <w:p>
            <w:pPr>
              <w:jc w:val="right"/>
              <w:ind w:right="160"/>
              <w:spacing w:after="0"/>
              <w:rPr>
                <w:sz w:val="20"/>
                <w:szCs w:val="20"/>
                <w:color w:val="auto"/>
              </w:rPr>
            </w:pPr>
            <w:r>
              <w:rPr>
                <w:rFonts w:ascii="Arial" w:cs="Arial" w:eastAsia="Arial" w:hAnsi="Arial"/>
                <w:sz w:val="16"/>
                <w:szCs w:val="16"/>
                <w:color w:val="auto"/>
              </w:rPr>
              <w:t>*</w:t>
            </w:r>
          </w:p>
        </w:tc>
      </w:tr>
      <w:tr>
        <w:trPr>
          <w:trHeight w:val="250"/>
        </w:trPr>
        <w:tc>
          <w:tcPr>
            <w:tcW w:w="4970" w:type="dxa"/>
            <w:vAlign w:val="bottom"/>
            <w:tcBorders>
              <w:bottom w:val="single" w:sz="8" w:color="BAD3EA"/>
            </w:tcBorders>
            <w:shd w:val="clear" w:color="auto" w:fill="BAD3EA"/>
          </w:tcPr>
          <w:p>
            <w:pPr>
              <w:ind w:left="60"/>
              <w:spacing w:after="0"/>
              <w:rPr>
                <w:sz w:val="20"/>
                <w:szCs w:val="20"/>
                <w:color w:val="auto"/>
              </w:rPr>
            </w:pPr>
            <w:r>
              <w:rPr>
                <w:rFonts w:ascii="Arial" w:cs="Arial" w:eastAsia="Arial" w:hAnsi="Arial"/>
                <w:sz w:val="16"/>
                <w:szCs w:val="16"/>
                <w:color w:val="auto"/>
              </w:rPr>
              <w:t>Eric K. Rowinsky</w:t>
            </w:r>
          </w:p>
        </w:tc>
        <w:tc>
          <w:tcPr>
            <w:tcW w:w="114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14,144</w:t>
            </w:r>
          </w:p>
        </w:tc>
        <w:tc>
          <w:tcPr>
            <w:tcW w:w="165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880</w:t>
            </w:r>
          </w:p>
        </w:tc>
        <w:tc>
          <w:tcPr>
            <w:tcW w:w="176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15,024</w:t>
            </w:r>
          </w:p>
        </w:tc>
        <w:tc>
          <w:tcPr>
            <w:tcW w:w="1500" w:type="dxa"/>
            <w:vAlign w:val="bottom"/>
            <w:tcBorders>
              <w:bottom w:val="single" w:sz="8" w:color="BAD3EA"/>
            </w:tcBorders>
            <w:shd w:val="clear" w:color="auto" w:fill="BAD3EA"/>
          </w:tcPr>
          <w:p>
            <w:pPr>
              <w:jc w:val="right"/>
              <w:ind w:right="160"/>
              <w:spacing w:after="0"/>
              <w:rPr>
                <w:sz w:val="20"/>
                <w:szCs w:val="20"/>
                <w:color w:val="auto"/>
              </w:rPr>
            </w:pPr>
            <w:r>
              <w:rPr>
                <w:rFonts w:ascii="Arial" w:cs="Arial" w:eastAsia="Arial" w:hAnsi="Arial"/>
                <w:sz w:val="16"/>
                <w:szCs w:val="16"/>
                <w:color w:val="auto"/>
              </w:rPr>
              <w:t>*</w:t>
            </w:r>
          </w:p>
        </w:tc>
      </w:tr>
      <w:tr>
        <w:trPr>
          <w:trHeight w:val="270"/>
        </w:trPr>
        <w:tc>
          <w:tcPr>
            <w:tcW w:w="4970" w:type="dxa"/>
            <w:vAlign w:val="bottom"/>
            <w:shd w:val="clear" w:color="auto" w:fill="E8F0F8"/>
          </w:tcPr>
          <w:p>
            <w:pPr>
              <w:ind w:left="60"/>
              <w:spacing w:after="0" w:line="270" w:lineRule="exact"/>
              <w:rPr>
                <w:sz w:val="20"/>
                <w:szCs w:val="20"/>
                <w:color w:val="auto"/>
              </w:rPr>
            </w:pPr>
            <w:r>
              <w:rPr>
                <w:rFonts w:ascii="Arial" w:cs="Arial" w:eastAsia="Arial" w:hAnsi="Arial"/>
                <w:sz w:val="16"/>
                <w:szCs w:val="16"/>
                <w:color w:val="auto"/>
              </w:rPr>
              <w:t>Lynn Schenk</w:t>
            </w:r>
            <w:r>
              <w:rPr>
                <w:rFonts w:ascii="Arial" w:cs="Arial" w:eastAsia="Arial" w:hAnsi="Arial"/>
                <w:sz w:val="27"/>
                <w:szCs w:val="27"/>
                <w:color w:val="auto"/>
                <w:vertAlign w:val="superscript"/>
              </w:rPr>
              <w:t>(10)</w:t>
            </w:r>
          </w:p>
        </w:tc>
        <w:tc>
          <w:tcPr>
            <w:tcW w:w="1140" w:type="dxa"/>
            <w:vAlign w:val="bottom"/>
            <w:shd w:val="clear" w:color="auto" w:fill="E8F0F8"/>
          </w:tcPr>
          <w:p>
            <w:pPr>
              <w:jc w:val="right"/>
              <w:spacing w:after="0"/>
              <w:rPr>
                <w:sz w:val="20"/>
                <w:szCs w:val="20"/>
                <w:color w:val="auto"/>
              </w:rPr>
            </w:pPr>
            <w:r>
              <w:rPr>
                <w:rFonts w:ascii="Arial" w:cs="Arial" w:eastAsia="Arial" w:hAnsi="Arial"/>
                <w:sz w:val="16"/>
                <w:szCs w:val="16"/>
                <w:color w:val="auto"/>
              </w:rPr>
              <w:t>10,097</w:t>
            </w:r>
          </w:p>
        </w:tc>
        <w:tc>
          <w:tcPr>
            <w:tcW w:w="1650" w:type="dxa"/>
            <w:vAlign w:val="bottom"/>
            <w:shd w:val="clear" w:color="auto" w:fill="E8F0F8"/>
          </w:tcPr>
          <w:p>
            <w:pPr>
              <w:jc w:val="right"/>
              <w:spacing w:after="0"/>
              <w:rPr>
                <w:sz w:val="20"/>
                <w:szCs w:val="20"/>
                <w:color w:val="auto"/>
              </w:rPr>
            </w:pPr>
            <w:r>
              <w:rPr>
                <w:rFonts w:ascii="Arial" w:cs="Arial" w:eastAsia="Arial" w:hAnsi="Arial"/>
                <w:sz w:val="16"/>
                <w:szCs w:val="16"/>
                <w:color w:val="auto"/>
              </w:rPr>
              <w:t>880</w:t>
            </w:r>
          </w:p>
        </w:tc>
        <w:tc>
          <w:tcPr>
            <w:tcW w:w="1760" w:type="dxa"/>
            <w:vAlign w:val="bottom"/>
            <w:shd w:val="clear" w:color="auto" w:fill="E8F0F8"/>
          </w:tcPr>
          <w:p>
            <w:pPr>
              <w:jc w:val="right"/>
              <w:spacing w:after="0"/>
              <w:rPr>
                <w:sz w:val="20"/>
                <w:szCs w:val="20"/>
                <w:color w:val="auto"/>
              </w:rPr>
            </w:pPr>
            <w:r>
              <w:rPr>
                <w:rFonts w:ascii="Arial" w:cs="Arial" w:eastAsia="Arial" w:hAnsi="Arial"/>
                <w:sz w:val="16"/>
                <w:szCs w:val="16"/>
                <w:color w:val="auto"/>
              </w:rPr>
              <w:t>10,977</w:t>
            </w:r>
          </w:p>
        </w:tc>
        <w:tc>
          <w:tcPr>
            <w:tcW w:w="1500" w:type="dxa"/>
            <w:vAlign w:val="bottom"/>
            <w:shd w:val="clear" w:color="auto" w:fill="E8F0F8"/>
          </w:tcPr>
          <w:p>
            <w:pPr>
              <w:jc w:val="right"/>
              <w:ind w:right="160"/>
              <w:spacing w:after="0"/>
              <w:rPr>
                <w:sz w:val="20"/>
                <w:szCs w:val="20"/>
                <w:color w:val="auto"/>
              </w:rPr>
            </w:pPr>
            <w:r>
              <w:rPr>
                <w:rFonts w:ascii="Arial" w:cs="Arial" w:eastAsia="Arial" w:hAnsi="Arial"/>
                <w:sz w:val="16"/>
                <w:szCs w:val="16"/>
                <w:color w:val="auto"/>
              </w:rPr>
              <w:t>*</w:t>
            </w:r>
          </w:p>
        </w:tc>
      </w:tr>
      <w:tr>
        <w:trPr>
          <w:trHeight w:val="250"/>
        </w:trPr>
        <w:tc>
          <w:tcPr>
            <w:tcW w:w="4970" w:type="dxa"/>
            <w:vAlign w:val="bottom"/>
            <w:tcBorders>
              <w:bottom w:val="single" w:sz="8" w:color="BAD3EA"/>
            </w:tcBorders>
            <w:shd w:val="clear" w:color="auto" w:fill="BAD3EA"/>
          </w:tcPr>
          <w:p>
            <w:pPr>
              <w:ind w:left="60"/>
              <w:spacing w:after="0"/>
              <w:rPr>
                <w:sz w:val="20"/>
                <w:szCs w:val="20"/>
                <w:color w:val="auto"/>
              </w:rPr>
            </w:pPr>
            <w:r>
              <w:rPr>
                <w:rFonts w:ascii="Arial" w:cs="Arial" w:eastAsia="Arial" w:hAnsi="Arial"/>
                <w:sz w:val="16"/>
                <w:szCs w:val="16"/>
                <w:color w:val="auto"/>
              </w:rPr>
              <w:t>Stephen A. Sherwin</w:t>
            </w:r>
          </w:p>
        </w:tc>
        <w:tc>
          <w:tcPr>
            <w:tcW w:w="114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4,284</w:t>
            </w:r>
          </w:p>
        </w:tc>
        <w:tc>
          <w:tcPr>
            <w:tcW w:w="165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13,158</w:t>
            </w:r>
          </w:p>
        </w:tc>
        <w:tc>
          <w:tcPr>
            <w:tcW w:w="1760" w:type="dxa"/>
            <w:vAlign w:val="bottom"/>
            <w:tcBorders>
              <w:bottom w:val="single" w:sz="8" w:color="BAD3EA"/>
            </w:tcBorders>
            <w:shd w:val="clear" w:color="auto" w:fill="BAD3EA"/>
          </w:tcPr>
          <w:p>
            <w:pPr>
              <w:jc w:val="right"/>
              <w:spacing w:after="0"/>
              <w:rPr>
                <w:sz w:val="20"/>
                <w:szCs w:val="20"/>
                <w:color w:val="auto"/>
              </w:rPr>
            </w:pPr>
            <w:r>
              <w:rPr>
                <w:rFonts w:ascii="Arial" w:cs="Arial" w:eastAsia="Arial" w:hAnsi="Arial"/>
                <w:sz w:val="16"/>
                <w:szCs w:val="16"/>
                <w:color w:val="auto"/>
              </w:rPr>
              <w:t>17,442</w:t>
            </w:r>
          </w:p>
        </w:tc>
        <w:tc>
          <w:tcPr>
            <w:tcW w:w="1500" w:type="dxa"/>
            <w:vAlign w:val="bottom"/>
            <w:tcBorders>
              <w:bottom w:val="single" w:sz="8" w:color="BAD3EA"/>
            </w:tcBorders>
            <w:shd w:val="clear" w:color="auto" w:fill="BAD3EA"/>
          </w:tcPr>
          <w:p>
            <w:pPr>
              <w:jc w:val="right"/>
              <w:ind w:right="160"/>
              <w:spacing w:after="0"/>
              <w:rPr>
                <w:sz w:val="20"/>
                <w:szCs w:val="20"/>
                <w:color w:val="auto"/>
              </w:rPr>
            </w:pPr>
            <w:r>
              <w:rPr>
                <w:rFonts w:ascii="Arial" w:cs="Arial" w:eastAsia="Arial" w:hAnsi="Arial"/>
                <w:sz w:val="16"/>
                <w:szCs w:val="16"/>
                <w:color w:val="auto"/>
              </w:rPr>
              <w:t>*</w:t>
            </w:r>
          </w:p>
        </w:tc>
      </w:tr>
      <w:tr>
        <w:trPr>
          <w:trHeight w:val="270"/>
        </w:trPr>
        <w:tc>
          <w:tcPr>
            <w:tcW w:w="4970" w:type="dxa"/>
            <w:vAlign w:val="bottom"/>
            <w:tcBorders>
              <w:bottom w:val="single" w:sz="8" w:color="auto"/>
            </w:tcBorders>
            <w:shd w:val="clear" w:color="auto" w:fill="E8F0F8"/>
          </w:tcPr>
          <w:p>
            <w:pPr>
              <w:ind w:left="60"/>
              <w:spacing w:after="0" w:line="270" w:lineRule="exact"/>
              <w:rPr>
                <w:sz w:val="20"/>
                <w:szCs w:val="20"/>
                <w:color w:val="auto"/>
              </w:rPr>
            </w:pPr>
            <w:r>
              <w:rPr>
                <w:rFonts w:ascii="Arial" w:cs="Arial" w:eastAsia="Arial" w:hAnsi="Arial"/>
                <w:sz w:val="16"/>
                <w:szCs w:val="16"/>
                <w:color w:val="auto"/>
              </w:rPr>
              <w:t>Executive officers and directors as a group (23 persons)</w:t>
            </w:r>
            <w:r>
              <w:rPr>
                <w:rFonts w:ascii="Arial" w:cs="Arial" w:eastAsia="Arial" w:hAnsi="Arial"/>
                <w:sz w:val="27"/>
                <w:szCs w:val="27"/>
                <w:color w:val="auto"/>
                <w:vertAlign w:val="superscript"/>
              </w:rPr>
              <w:t>(7)(11)</w:t>
            </w:r>
          </w:p>
        </w:tc>
        <w:tc>
          <w:tcPr>
            <w:tcW w:w="114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6"/>
                <w:szCs w:val="16"/>
                <w:color w:val="auto"/>
              </w:rPr>
              <w:t>731,239</w:t>
            </w:r>
          </w:p>
        </w:tc>
        <w:tc>
          <w:tcPr>
            <w:tcW w:w="165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6"/>
                <w:szCs w:val="16"/>
                <w:color w:val="auto"/>
              </w:rPr>
              <w:t>28,438</w:t>
            </w:r>
          </w:p>
        </w:tc>
        <w:tc>
          <w:tcPr>
            <w:tcW w:w="176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6"/>
                <w:szCs w:val="16"/>
                <w:color w:val="auto"/>
              </w:rPr>
              <w:t>759,677</w:t>
            </w:r>
          </w:p>
        </w:tc>
        <w:tc>
          <w:tcPr>
            <w:tcW w:w="1500" w:type="dxa"/>
            <w:vAlign w:val="bottom"/>
            <w:tcBorders>
              <w:bottom w:val="single" w:sz="8" w:color="auto"/>
            </w:tcBorders>
            <w:shd w:val="clear" w:color="auto" w:fill="E8F0F8"/>
          </w:tcPr>
          <w:p>
            <w:pPr>
              <w:jc w:val="right"/>
              <w:ind w:right="160"/>
              <w:spacing w:after="0"/>
              <w:rPr>
                <w:sz w:val="20"/>
                <w:szCs w:val="20"/>
                <w:color w:val="auto"/>
              </w:rPr>
            </w:pPr>
            <w:r>
              <w:rPr>
                <w:rFonts w:ascii="Arial" w:cs="Arial" w:eastAsia="Arial" w:hAnsi="Arial"/>
                <w:sz w:val="16"/>
                <w:szCs w:val="16"/>
                <w:color w:val="auto"/>
              </w:rPr>
              <w:t>*</w:t>
            </w:r>
          </w:p>
        </w:tc>
      </w:tr>
    </w:tbl>
    <w:p>
      <w:pPr>
        <w:spacing w:after="0" w:line="126" w:lineRule="exact"/>
        <w:rPr>
          <w:sz w:val="20"/>
          <w:szCs w:val="20"/>
          <w:color w:val="auto"/>
        </w:rPr>
      </w:pPr>
    </w:p>
    <w:p>
      <w:pPr>
        <w:ind w:left="520" w:hanging="316"/>
        <w:spacing w:after="0"/>
        <w:tabs>
          <w:tab w:leader="none" w:pos="52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our outstanding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83820</wp:posOffset>
            </wp:positionV>
            <wp:extent cx="685800" cy="15430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-71120</wp:posOffset>
            </wp:positionV>
            <wp:extent cx="102870" cy="9461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1"/>
          <w:numId w:val="145"/>
        </w:numPr>
        <w:rPr>
          <w:rFonts w:ascii="Arial" w:cs="Arial" w:eastAsia="Arial" w:hAnsi="Arial"/>
          <w:sz w:val="90"/>
          <w:szCs w:val="90"/>
          <w:color w:val="1A6DBB"/>
        </w:rPr>
      </w:pPr>
      <w:r>
        <w:rPr>
          <w:rFonts w:ascii="Arial" w:cs="Arial" w:eastAsia="Arial" w:hAnsi="Arial"/>
          <w:sz w:val="41"/>
          <w:szCs w:val="41"/>
          <w:color w:val="1A6DBB"/>
        </w:rPr>
        <w:t xml:space="preserve">Additional Information </w:t>
      </w:r>
      <w:r>
        <w:rPr>
          <w:rFonts w:ascii="Arial" w:cs="Arial" w:eastAsia="Arial" w:hAnsi="Arial"/>
          <w:sz w:val="21"/>
          <w:szCs w:val="21"/>
          <w:color w:val="1A6DBB"/>
        </w:rPr>
        <w:t>(continued)</w:t>
      </w:r>
    </w:p>
    <w:p>
      <w:pPr>
        <w:spacing w:after="0" w:line="200" w:lineRule="exact"/>
        <w:rPr>
          <w:rFonts w:ascii="Arial" w:cs="Arial" w:eastAsia="Arial" w:hAnsi="Arial"/>
          <w:sz w:val="90"/>
          <w:szCs w:val="90"/>
          <w:color w:val="1A6DBB"/>
        </w:rPr>
      </w:pPr>
    </w:p>
    <w:p>
      <w:pPr>
        <w:spacing w:after="0" w:line="200" w:lineRule="exact"/>
        <w:rPr>
          <w:rFonts w:ascii="Arial" w:cs="Arial" w:eastAsia="Arial" w:hAnsi="Arial"/>
          <w:sz w:val="90"/>
          <w:szCs w:val="90"/>
          <w:color w:val="1A6DBB"/>
        </w:rPr>
      </w:pPr>
    </w:p>
    <w:p>
      <w:pPr>
        <w:spacing w:after="0" w:line="225" w:lineRule="exact"/>
        <w:rPr>
          <w:rFonts w:ascii="Arial" w:cs="Arial" w:eastAsia="Arial" w:hAnsi="Arial"/>
          <w:sz w:val="90"/>
          <w:szCs w:val="90"/>
          <w:color w:val="1A6DBB"/>
        </w:rPr>
      </w:pPr>
    </w:p>
    <w:p>
      <w:pPr>
        <w:ind w:left="520" w:hanging="316"/>
        <w:spacing w:after="0"/>
        <w:tabs>
          <w:tab w:leader="none" w:pos="52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The shares described as “owned” are shares of our common stock directly or indirectly owned by each listed person, rounded up to the nearest whole share.</w:t>
      </w:r>
    </w:p>
    <w:p>
      <w:pPr>
        <w:spacing w:after="0" w:line="1" w:lineRule="exact"/>
        <w:rPr>
          <w:rFonts w:ascii="Arial" w:cs="Arial" w:eastAsia="Arial" w:hAnsi="Arial"/>
          <w:sz w:val="14"/>
          <w:szCs w:val="14"/>
          <w:color w:val="auto"/>
        </w:rPr>
      </w:pPr>
    </w:p>
    <w:p>
      <w:pPr>
        <w:ind w:left="520" w:hanging="316"/>
        <w:spacing w:after="0"/>
        <w:tabs>
          <w:tab w:leader="none" w:pos="52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Includes options that are or will become exercisable and RSUs and MSUs that will vest within 60 days of the Ownership Date.</w:t>
      </w:r>
    </w:p>
    <w:p>
      <w:pPr>
        <w:spacing w:after="0" w:line="1" w:lineRule="exact"/>
        <w:rPr>
          <w:rFonts w:ascii="Arial" w:cs="Arial" w:eastAsia="Arial" w:hAnsi="Arial"/>
          <w:sz w:val="14"/>
          <w:szCs w:val="14"/>
          <w:color w:val="auto"/>
        </w:rPr>
      </w:pPr>
    </w:p>
    <w:p>
      <w:pPr>
        <w:jc w:val="both"/>
        <w:ind w:left="520" w:right="60" w:hanging="316"/>
        <w:spacing w:after="0" w:line="243" w:lineRule="auto"/>
        <w:tabs>
          <w:tab w:leader="none" w:pos="52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The calculation of percentages is based upon 193,893,397 shares outstanding on the Ownership Date, plus for each of the individuals listed above the shares subject to options and RSUs and MSUs exercisable within 60 days of the Ownership Date, as reflected in the column under the heading “Shares Subject to Options and Stock Units.”</w:t>
      </w:r>
    </w:p>
    <w:p>
      <w:pPr>
        <w:spacing w:after="0" w:line="160" w:lineRule="exact"/>
        <w:rPr>
          <w:rFonts w:ascii="Arial" w:cs="Arial" w:eastAsia="Arial" w:hAnsi="Arial"/>
          <w:sz w:val="14"/>
          <w:szCs w:val="14"/>
          <w:color w:val="auto"/>
        </w:rPr>
      </w:pPr>
    </w:p>
    <w:p>
      <w:pPr>
        <w:ind w:left="520" w:right="100" w:hanging="316"/>
        <w:spacing w:after="0" w:line="241" w:lineRule="auto"/>
        <w:tabs>
          <w:tab w:leader="none" w:pos="52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Based solely on information as of December 31, 2018, contained in a Schedule 13G/A filed with the SEC by BlackRock Inc. on February 4, 2019, which also indicates that it has sole voting power with respect to 14,695,569 shares and sole dispositive power with respect to 16,568,963 shares.</w:t>
      </w:r>
    </w:p>
    <w:p>
      <w:pPr>
        <w:jc w:val="both"/>
        <w:ind w:left="520" w:right="220" w:hanging="316"/>
        <w:spacing w:after="0" w:line="241" w:lineRule="auto"/>
        <w:tabs>
          <w:tab w:leader="none" w:pos="52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Based solely on information as of December 31, 2018, contained in a Schedule 13G/A filed with the SEC by The Vanguard Group on February 11, 2019, which also indicates that it has sole voting power with respect to 246,897 shares, sole dispositive power with respect to 14,880,929 shares, shared voting power with respect to 47,063 shares and shared dispositive power with respect to 289,678 shares.</w:t>
      </w:r>
    </w:p>
    <w:p>
      <w:pPr>
        <w:spacing w:after="0" w:line="1" w:lineRule="exact"/>
        <w:rPr>
          <w:rFonts w:ascii="Arial" w:cs="Arial" w:eastAsia="Arial" w:hAnsi="Arial"/>
          <w:sz w:val="14"/>
          <w:szCs w:val="14"/>
          <w:color w:val="auto"/>
        </w:rPr>
      </w:pPr>
    </w:p>
    <w:p>
      <w:pPr>
        <w:ind w:left="520" w:right="100" w:hanging="316"/>
        <w:spacing w:after="0" w:line="241" w:lineRule="auto"/>
        <w:tabs>
          <w:tab w:leader="none" w:pos="52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Based solely on information as of December 31, 2018, contained in a Schedule 13G/A filed with the SEC by PRIMECAP Management Company on February 8, 2019, which also indicates that it has sole voting power over 1,696,975 shares and sole dispositive power over 14,727,267 shares.</w:t>
      </w:r>
    </w:p>
    <w:p>
      <w:pPr>
        <w:ind w:left="520" w:right="20" w:hanging="316"/>
        <w:spacing w:after="0" w:line="241" w:lineRule="auto"/>
        <w:tabs>
          <w:tab w:leader="none" w:pos="52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Includes shares underlying MSUs that will vest within 60 days of the Ownership Date, assuming the maximum possible number of shares that are eligible for vesting on the vesting date. The actual number of shares that will vest on each vesting date will be determined by comparing the price of Biogen common stock on such vesting date to the price on the grant date (i.e., number of vested shares = number of shares at target payout times the [30-day average closing stock price ending on the vesting date divided by the 30-day average closing stock price on the grant date]).</w:t>
      </w:r>
    </w:p>
    <w:p>
      <w:pPr>
        <w:spacing w:after="0" w:line="1" w:lineRule="exact"/>
        <w:rPr>
          <w:rFonts w:ascii="Arial" w:cs="Arial" w:eastAsia="Arial" w:hAnsi="Arial"/>
          <w:sz w:val="14"/>
          <w:szCs w:val="14"/>
          <w:color w:val="auto"/>
        </w:rPr>
      </w:pPr>
    </w:p>
    <w:p>
      <w:pPr>
        <w:ind w:left="520" w:hanging="316"/>
        <w:spacing w:after="0" w:line="241" w:lineRule="auto"/>
        <w:tabs>
          <w:tab w:leader="none" w:pos="52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Includes 383,858 shares beneficially owned by Sarissa Capital Offshore Master Fund LP, a Cayman Islands exempted limited partnership (Sarissa Offshore), 79,800 shares beneficially owned by Sarissa Capital Catapult Fund LLC, a Delaware limited liability company (Sarissa Catapult) and 61,000 shares beneficially owned by Sarissa Capital Management LP, a Delaware limited partnership (Sarissa Capital). Sarissa Capital is the investment advisor to certain investment funds, including Sarissa Offshore and Sarissa Catapult. Dr. Denner is the Chief Investment Officer of Sarissa Capital and controls the ultimate general partner of each of Sarissa Capital and Sarissa Offshore and the managing member of Sarissa Catapult. By virtue of the foregoing, Dr. Denner may be deemed to indirectly beneficially own (as that term is defined in Rule 13d-3 of the Exchange Act) the shares that those entities beneficially own. Dr. Denner disclaims beneficial ownership of these shares except to the extent of any pecuniary interest therein.</w:t>
      </w:r>
    </w:p>
    <w:p>
      <w:pPr>
        <w:spacing w:after="0" w:line="2" w:lineRule="exact"/>
        <w:rPr>
          <w:rFonts w:ascii="Arial" w:cs="Arial" w:eastAsia="Arial" w:hAnsi="Arial"/>
          <w:sz w:val="14"/>
          <w:szCs w:val="14"/>
          <w:color w:val="auto"/>
        </w:rPr>
      </w:pPr>
    </w:p>
    <w:p>
      <w:pPr>
        <w:ind w:left="520" w:hanging="316"/>
        <w:spacing w:after="0"/>
        <w:tabs>
          <w:tab w:leader="none" w:pos="52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Includes 28,206 shares held in limited liability companies of which Dr. Papadopoulos is the sole manager.</w:t>
      </w:r>
    </w:p>
    <w:p>
      <w:pPr>
        <w:spacing w:after="0" w:line="1" w:lineRule="exact"/>
        <w:rPr>
          <w:rFonts w:ascii="Arial" w:cs="Arial" w:eastAsia="Arial" w:hAnsi="Arial"/>
          <w:sz w:val="14"/>
          <w:szCs w:val="14"/>
          <w:color w:val="auto"/>
        </w:rPr>
      </w:pPr>
    </w:p>
    <w:p>
      <w:pPr>
        <w:ind w:left="520" w:hanging="316"/>
        <w:spacing w:after="0"/>
        <w:tabs>
          <w:tab w:leader="none" w:pos="52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Includes 738 shares held in a trust of which Ms. Schenk is a trustee and 2,362 shares held in a defined benefit plan.</w:t>
      </w:r>
    </w:p>
    <w:p>
      <w:pPr>
        <w:spacing w:after="0" w:line="1" w:lineRule="exact"/>
        <w:rPr>
          <w:rFonts w:ascii="Arial" w:cs="Arial" w:eastAsia="Arial" w:hAnsi="Arial"/>
          <w:sz w:val="14"/>
          <w:szCs w:val="14"/>
          <w:color w:val="auto"/>
        </w:rPr>
      </w:pPr>
    </w:p>
    <w:p>
      <w:pPr>
        <w:ind w:left="520" w:hanging="316"/>
        <w:spacing w:after="0"/>
        <w:tabs>
          <w:tab w:leader="none" w:pos="52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Includes 555,964 shares held indirectly through trusts, funds, defined benefit plans or limited liability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-2797175</wp:posOffset>
            </wp:positionV>
            <wp:extent cx="6997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1A6DBB"/>
        </w:rPr>
        <w:t>Section 16(a) Beneficial Ownership Reporting Compliance</w:t>
      </w:r>
    </w:p>
    <w:p>
      <w:pPr>
        <w:spacing w:after="0" w:line="88" w:lineRule="exact"/>
        <w:rPr>
          <w:sz w:val="20"/>
          <w:szCs w:val="20"/>
          <w:color w:val="auto"/>
        </w:rPr>
      </w:pPr>
    </w:p>
    <w:p>
      <w:pPr>
        <w:ind w:left="200" w:right="80"/>
        <w:spacing w:after="0" w:line="251" w:lineRule="auto"/>
        <w:rPr>
          <w:sz w:val="20"/>
          <w:szCs w:val="20"/>
          <w:color w:val="auto"/>
        </w:rPr>
      </w:pPr>
      <w:r>
        <w:rPr>
          <w:rFonts w:ascii="Arial" w:cs="Arial" w:eastAsia="Arial" w:hAnsi="Arial"/>
          <w:sz w:val="16"/>
          <w:szCs w:val="16"/>
          <w:color w:val="auto"/>
        </w:rPr>
        <w:t>Section 16(a) of the Exchange Act requires our executive officers, directors and greater than 10% stockholders to file initial reports of ownership and changes of ownership of our common stock. As a practical matter, we assist our directors and executive officers by monitoring transactions and completing and filing Section 16 forms on their behalf. Based solely on information provided to us by our directors and executive officers, we believe that during 2018 all such parties complied with all applicable filing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76200</wp:posOffset>
            </wp:positionV>
            <wp:extent cx="685800" cy="15430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-62865</wp:posOffset>
            </wp:positionV>
            <wp:extent cx="102870" cy="9461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146"/>
        </w:numPr>
        <w:rPr>
          <w:rFonts w:ascii="Arial" w:cs="Arial" w:eastAsia="Arial" w:hAnsi="Arial"/>
          <w:sz w:val="90"/>
          <w:szCs w:val="90"/>
          <w:color w:val="1A6DBB"/>
        </w:rPr>
      </w:pPr>
      <w:r>
        <w:rPr>
          <w:rFonts w:ascii="Arial" w:cs="Arial" w:eastAsia="Arial" w:hAnsi="Arial"/>
          <w:sz w:val="41"/>
          <w:szCs w:val="41"/>
          <w:color w:val="1A6DBB"/>
        </w:rPr>
        <w:t xml:space="preserve">Additional Information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 w:right="960"/>
        <w:spacing w:after="0" w:line="255" w:lineRule="auto"/>
        <w:rPr>
          <w:sz w:val="20"/>
          <w:szCs w:val="20"/>
          <w:color w:val="auto"/>
        </w:rPr>
      </w:pPr>
      <w:r>
        <w:rPr>
          <w:rFonts w:ascii="Arial" w:cs="Arial" w:eastAsia="Arial" w:hAnsi="Arial"/>
          <w:sz w:val="41"/>
          <w:szCs w:val="41"/>
          <w:color w:val="1A6DBB"/>
        </w:rPr>
        <w:t>CERTAIN RELATIONSHIPS AND RELATED PERSON TRANSACTIONS</w:t>
      </w:r>
    </w:p>
    <w:p>
      <w:pPr>
        <w:spacing w:after="0" w:line="160" w:lineRule="exact"/>
        <w:rPr>
          <w:sz w:val="20"/>
          <w:szCs w:val="20"/>
          <w:color w:val="auto"/>
        </w:rPr>
      </w:pPr>
    </w:p>
    <w:p>
      <w:pPr>
        <w:jc w:val="both"/>
        <w:ind w:left="200" w:right="40"/>
        <w:spacing w:after="0" w:line="253" w:lineRule="auto"/>
        <w:rPr>
          <w:sz w:val="20"/>
          <w:szCs w:val="20"/>
          <w:color w:val="auto"/>
        </w:rPr>
      </w:pPr>
      <w:r>
        <w:rPr>
          <w:rFonts w:ascii="Arial" w:cs="Arial" w:eastAsia="Arial" w:hAnsi="Arial"/>
          <w:sz w:val="16"/>
          <w:szCs w:val="16"/>
          <w:color w:val="auto"/>
        </w:rPr>
        <w:t>Our Code of Conduct (Values in Action), Corporate Governance Principles, Related Person Transaction Policy and Conflict of Interest Policy set forth our policies and procedures for the review and approval of transactions with related persons, including transactions that would be required to be disclosed in this Proxy Statement in accordance with SEC rules.</w:t>
      </w:r>
    </w:p>
    <w:p>
      <w:pPr>
        <w:spacing w:after="0" w:line="93" w:lineRule="exact"/>
        <w:rPr>
          <w:sz w:val="20"/>
          <w:szCs w:val="20"/>
          <w:color w:val="auto"/>
        </w:rPr>
      </w:pPr>
    </w:p>
    <w:p>
      <w:pPr>
        <w:ind w:left="200" w:right="60"/>
        <w:spacing w:after="0" w:line="253" w:lineRule="auto"/>
        <w:rPr>
          <w:sz w:val="20"/>
          <w:szCs w:val="20"/>
          <w:color w:val="auto"/>
        </w:rPr>
      </w:pPr>
      <w:r>
        <w:rPr>
          <w:rFonts w:ascii="Arial" w:cs="Arial" w:eastAsia="Arial" w:hAnsi="Arial"/>
          <w:sz w:val="16"/>
          <w:szCs w:val="16"/>
          <w:color w:val="auto"/>
        </w:rPr>
        <w:t>In circumstances where one of our directors or executive officers, or a family member, has a direct or indirect material interest in a transaction involving Biogen, our Corporate Governance Committee must review and approve all such proposed transactions or courses of dealing. In determining whether to approve or ratify a transaction with a related person, among the factors our Corporate Governance Committee may consider (as applicable) are:</w:t>
      </w:r>
    </w:p>
    <w:p>
      <w:pPr>
        <w:spacing w:after="0" w:line="107" w:lineRule="exact"/>
        <w:rPr>
          <w:sz w:val="20"/>
          <w:szCs w:val="20"/>
          <w:color w:val="auto"/>
        </w:rPr>
      </w:pPr>
    </w:p>
    <w:p>
      <w:pPr>
        <w:ind w:left="740" w:hanging="320"/>
        <w:spacing w:after="0"/>
        <w:tabs>
          <w:tab w:leader="none" w:pos="740" w:val="left"/>
        </w:tabs>
        <w:numPr>
          <w:ilvl w:val="0"/>
          <w:numId w:val="147"/>
        </w:numPr>
        <w:rPr>
          <w:rFonts w:ascii="Arial" w:cs="Arial" w:eastAsia="Arial" w:hAnsi="Arial"/>
          <w:sz w:val="16"/>
          <w:szCs w:val="16"/>
          <w:color w:val="1A6DBB"/>
        </w:rPr>
      </w:pPr>
      <w:r>
        <w:rPr>
          <w:rFonts w:ascii="Arial" w:cs="Arial" w:eastAsia="Arial" w:hAnsi="Arial"/>
          <w:sz w:val="16"/>
          <w:szCs w:val="16"/>
          <w:color w:val="auto"/>
        </w:rPr>
        <w:t>the business reasons for entering into the transaction;</w:t>
      </w:r>
    </w:p>
    <w:p>
      <w:pPr>
        <w:spacing w:after="0" w:line="5" w:lineRule="exact"/>
        <w:rPr>
          <w:rFonts w:ascii="Arial" w:cs="Arial" w:eastAsia="Arial" w:hAnsi="Arial"/>
          <w:sz w:val="16"/>
          <w:szCs w:val="16"/>
          <w:color w:val="1A6DBB"/>
        </w:rPr>
      </w:pPr>
    </w:p>
    <w:p>
      <w:pPr>
        <w:ind w:left="740" w:hanging="320"/>
        <w:spacing w:after="0"/>
        <w:tabs>
          <w:tab w:leader="none" w:pos="740" w:val="left"/>
        </w:tabs>
        <w:numPr>
          <w:ilvl w:val="0"/>
          <w:numId w:val="147"/>
        </w:numPr>
        <w:rPr>
          <w:rFonts w:ascii="Arial" w:cs="Arial" w:eastAsia="Arial" w:hAnsi="Arial"/>
          <w:sz w:val="16"/>
          <w:szCs w:val="16"/>
          <w:color w:val="1A6DBB"/>
        </w:rPr>
      </w:pPr>
      <w:r>
        <w:rPr>
          <w:rFonts w:ascii="Arial" w:cs="Arial" w:eastAsia="Arial" w:hAnsi="Arial"/>
          <w:sz w:val="16"/>
          <w:szCs w:val="16"/>
          <w:color w:val="auto"/>
        </w:rPr>
        <w:t>the size of the transaction and the nature of the related person’s interest in the transaction;</w:t>
      </w:r>
    </w:p>
    <w:p>
      <w:pPr>
        <w:spacing w:after="0" w:line="5" w:lineRule="exact"/>
        <w:rPr>
          <w:rFonts w:ascii="Arial" w:cs="Arial" w:eastAsia="Arial" w:hAnsi="Arial"/>
          <w:sz w:val="16"/>
          <w:szCs w:val="16"/>
          <w:color w:val="1A6DBB"/>
        </w:rPr>
      </w:pPr>
    </w:p>
    <w:p>
      <w:pPr>
        <w:ind w:left="740" w:hanging="320"/>
        <w:spacing w:after="0"/>
        <w:tabs>
          <w:tab w:leader="none" w:pos="740" w:val="left"/>
        </w:tabs>
        <w:numPr>
          <w:ilvl w:val="0"/>
          <w:numId w:val="147"/>
        </w:numPr>
        <w:rPr>
          <w:rFonts w:ascii="Arial" w:cs="Arial" w:eastAsia="Arial" w:hAnsi="Arial"/>
          <w:sz w:val="16"/>
          <w:szCs w:val="16"/>
          <w:color w:val="1A6DBB"/>
        </w:rPr>
      </w:pPr>
      <w:r>
        <w:rPr>
          <w:rFonts w:ascii="Arial" w:cs="Arial" w:eastAsia="Arial" w:hAnsi="Arial"/>
          <w:sz w:val="16"/>
          <w:szCs w:val="16"/>
          <w:color w:val="auto"/>
        </w:rPr>
        <w:t>whether the transaction terms are as favorable to us as they would be to an unaffiliated third party;</w:t>
      </w:r>
    </w:p>
    <w:p>
      <w:pPr>
        <w:spacing w:after="0" w:line="5" w:lineRule="exact"/>
        <w:rPr>
          <w:rFonts w:ascii="Arial" w:cs="Arial" w:eastAsia="Arial" w:hAnsi="Arial"/>
          <w:sz w:val="16"/>
          <w:szCs w:val="16"/>
          <w:color w:val="1A6DBB"/>
        </w:rPr>
      </w:pPr>
    </w:p>
    <w:p>
      <w:pPr>
        <w:ind w:left="740" w:hanging="320"/>
        <w:spacing w:after="0"/>
        <w:tabs>
          <w:tab w:leader="none" w:pos="740" w:val="left"/>
        </w:tabs>
        <w:numPr>
          <w:ilvl w:val="0"/>
          <w:numId w:val="147"/>
        </w:numPr>
        <w:rPr>
          <w:rFonts w:ascii="Arial" w:cs="Arial" w:eastAsia="Arial" w:hAnsi="Arial"/>
          <w:sz w:val="16"/>
          <w:szCs w:val="16"/>
          <w:color w:val="1A6DBB"/>
        </w:rPr>
      </w:pPr>
      <w:r>
        <w:rPr>
          <w:rFonts w:ascii="Arial" w:cs="Arial" w:eastAsia="Arial" w:hAnsi="Arial"/>
          <w:sz w:val="16"/>
          <w:szCs w:val="16"/>
          <w:color w:val="auto"/>
        </w:rPr>
        <w:t>whether the transaction terms are more favorable to the related person than they would be to an unaffiliated third party;</w:t>
      </w:r>
    </w:p>
    <w:p>
      <w:pPr>
        <w:spacing w:after="0" w:line="5" w:lineRule="exact"/>
        <w:rPr>
          <w:rFonts w:ascii="Arial" w:cs="Arial" w:eastAsia="Arial" w:hAnsi="Arial"/>
          <w:sz w:val="16"/>
          <w:szCs w:val="16"/>
          <w:color w:val="1A6DBB"/>
        </w:rPr>
      </w:pPr>
    </w:p>
    <w:p>
      <w:pPr>
        <w:ind w:left="740" w:hanging="320"/>
        <w:spacing w:after="0"/>
        <w:tabs>
          <w:tab w:leader="none" w:pos="740" w:val="left"/>
        </w:tabs>
        <w:numPr>
          <w:ilvl w:val="0"/>
          <w:numId w:val="147"/>
        </w:numPr>
        <w:rPr>
          <w:rFonts w:ascii="Arial" w:cs="Arial" w:eastAsia="Arial" w:hAnsi="Arial"/>
          <w:sz w:val="16"/>
          <w:szCs w:val="16"/>
          <w:color w:val="1A6DBB"/>
        </w:rPr>
      </w:pPr>
      <w:r>
        <w:rPr>
          <w:rFonts w:ascii="Arial" w:cs="Arial" w:eastAsia="Arial" w:hAnsi="Arial"/>
          <w:sz w:val="16"/>
          <w:szCs w:val="16"/>
          <w:color w:val="auto"/>
        </w:rPr>
        <w:t>the availability of alternative sources for comparable products, services or other benefits;</w:t>
      </w:r>
    </w:p>
    <w:p>
      <w:pPr>
        <w:spacing w:after="0" w:line="5" w:lineRule="exact"/>
        <w:rPr>
          <w:rFonts w:ascii="Arial" w:cs="Arial" w:eastAsia="Arial" w:hAnsi="Arial"/>
          <w:sz w:val="16"/>
          <w:szCs w:val="16"/>
          <w:color w:val="1A6DBB"/>
        </w:rPr>
      </w:pPr>
    </w:p>
    <w:p>
      <w:pPr>
        <w:ind w:left="740" w:hanging="320"/>
        <w:spacing w:after="0"/>
        <w:tabs>
          <w:tab w:leader="none" w:pos="740" w:val="left"/>
        </w:tabs>
        <w:numPr>
          <w:ilvl w:val="0"/>
          <w:numId w:val="147"/>
        </w:numPr>
        <w:rPr>
          <w:rFonts w:ascii="Arial" w:cs="Arial" w:eastAsia="Arial" w:hAnsi="Arial"/>
          <w:sz w:val="16"/>
          <w:szCs w:val="16"/>
          <w:color w:val="1A6DBB"/>
        </w:rPr>
      </w:pPr>
      <w:r>
        <w:rPr>
          <w:rFonts w:ascii="Arial" w:cs="Arial" w:eastAsia="Arial" w:hAnsi="Arial"/>
          <w:sz w:val="16"/>
          <w:szCs w:val="16"/>
          <w:color w:val="auto"/>
        </w:rPr>
        <w:t>whether the transaction would impair the independence or judgment of the related person in the performance of his or her duties to us;</w:t>
      </w:r>
    </w:p>
    <w:p>
      <w:pPr>
        <w:spacing w:after="0" w:line="5" w:lineRule="exact"/>
        <w:rPr>
          <w:rFonts w:ascii="Arial" w:cs="Arial" w:eastAsia="Arial" w:hAnsi="Arial"/>
          <w:sz w:val="16"/>
          <w:szCs w:val="16"/>
          <w:color w:val="1A6DBB"/>
        </w:rPr>
      </w:pPr>
    </w:p>
    <w:p>
      <w:pPr>
        <w:ind w:left="740" w:hanging="320"/>
        <w:spacing w:after="0"/>
        <w:tabs>
          <w:tab w:leader="none" w:pos="740" w:val="left"/>
        </w:tabs>
        <w:numPr>
          <w:ilvl w:val="0"/>
          <w:numId w:val="147"/>
        </w:numPr>
        <w:rPr>
          <w:rFonts w:ascii="Arial" w:cs="Arial" w:eastAsia="Arial" w:hAnsi="Arial"/>
          <w:sz w:val="16"/>
          <w:szCs w:val="16"/>
          <w:color w:val="1A6DBB"/>
        </w:rPr>
      </w:pPr>
      <w:r>
        <w:rPr>
          <w:rFonts w:ascii="Arial" w:cs="Arial" w:eastAsia="Arial" w:hAnsi="Arial"/>
          <w:sz w:val="16"/>
          <w:szCs w:val="16"/>
          <w:color w:val="auto"/>
        </w:rPr>
        <w:t>for non-employee directors, whether the transaction would be consistent with Nasdaq’s requirements for independent directors;</w:t>
      </w:r>
    </w:p>
    <w:p>
      <w:pPr>
        <w:spacing w:after="0" w:line="5" w:lineRule="exact"/>
        <w:rPr>
          <w:rFonts w:ascii="Arial" w:cs="Arial" w:eastAsia="Arial" w:hAnsi="Arial"/>
          <w:sz w:val="16"/>
          <w:szCs w:val="16"/>
          <w:color w:val="1A6DBB"/>
        </w:rPr>
      </w:pPr>
    </w:p>
    <w:p>
      <w:pPr>
        <w:ind w:left="740" w:hanging="320"/>
        <w:spacing w:after="0" w:line="246" w:lineRule="auto"/>
        <w:tabs>
          <w:tab w:leader="none" w:pos="740" w:val="left"/>
        </w:tabs>
        <w:numPr>
          <w:ilvl w:val="0"/>
          <w:numId w:val="147"/>
        </w:numPr>
        <w:rPr>
          <w:rFonts w:ascii="Arial" w:cs="Arial" w:eastAsia="Arial" w:hAnsi="Arial"/>
          <w:sz w:val="16"/>
          <w:szCs w:val="16"/>
          <w:color w:val="1A6DBB"/>
        </w:rPr>
      </w:pPr>
      <w:r>
        <w:rPr>
          <w:rFonts w:ascii="Arial" w:cs="Arial" w:eastAsia="Arial" w:hAnsi="Arial"/>
          <w:sz w:val="16"/>
          <w:szCs w:val="16"/>
          <w:color w:val="auto"/>
        </w:rPr>
        <w:t>whether the transaction is consistent with our Conflict of Interest Policy, which prohibits related persons and others from having a financial interest in any competitor, customer, vendor or supplier of ours;</w:t>
      </w:r>
    </w:p>
    <w:p>
      <w:pPr>
        <w:ind w:left="740" w:hanging="320"/>
        <w:spacing w:after="0"/>
        <w:tabs>
          <w:tab w:leader="none" w:pos="740" w:val="left"/>
        </w:tabs>
        <w:numPr>
          <w:ilvl w:val="0"/>
          <w:numId w:val="147"/>
        </w:numPr>
        <w:rPr>
          <w:rFonts w:ascii="Arial" w:cs="Arial" w:eastAsia="Arial" w:hAnsi="Arial"/>
          <w:sz w:val="16"/>
          <w:szCs w:val="16"/>
          <w:color w:val="1A6DBB"/>
        </w:rPr>
      </w:pPr>
      <w:r>
        <w:rPr>
          <w:rFonts w:ascii="Arial" w:cs="Arial" w:eastAsia="Arial" w:hAnsi="Arial"/>
          <w:sz w:val="16"/>
          <w:szCs w:val="16"/>
          <w:color w:val="auto"/>
        </w:rPr>
        <w:t>the related person’s role in arranging the transaction;</w:t>
      </w:r>
    </w:p>
    <w:p>
      <w:pPr>
        <w:spacing w:after="0" w:line="5" w:lineRule="exact"/>
        <w:rPr>
          <w:rFonts w:ascii="Arial" w:cs="Arial" w:eastAsia="Arial" w:hAnsi="Arial"/>
          <w:sz w:val="16"/>
          <w:szCs w:val="16"/>
          <w:color w:val="1A6DBB"/>
        </w:rPr>
      </w:pPr>
    </w:p>
    <w:p>
      <w:pPr>
        <w:ind w:left="740" w:hanging="320"/>
        <w:spacing w:after="0"/>
        <w:tabs>
          <w:tab w:leader="none" w:pos="740" w:val="left"/>
        </w:tabs>
        <w:numPr>
          <w:ilvl w:val="0"/>
          <w:numId w:val="147"/>
        </w:numPr>
        <w:rPr>
          <w:rFonts w:ascii="Arial" w:cs="Arial" w:eastAsia="Arial" w:hAnsi="Arial"/>
          <w:sz w:val="16"/>
          <w:szCs w:val="16"/>
          <w:color w:val="1A6DBB"/>
        </w:rPr>
      </w:pPr>
      <w:r>
        <w:rPr>
          <w:rFonts w:ascii="Arial" w:cs="Arial" w:eastAsia="Arial" w:hAnsi="Arial"/>
          <w:sz w:val="16"/>
          <w:szCs w:val="16"/>
          <w:color w:val="auto"/>
        </w:rPr>
        <w:t>the potential for the transaction to be viewed as representing or leading to an actual or apparent conflict of interest; and</w:t>
      </w:r>
    </w:p>
    <w:p>
      <w:pPr>
        <w:spacing w:after="0" w:line="5" w:lineRule="exact"/>
        <w:rPr>
          <w:rFonts w:ascii="Arial" w:cs="Arial" w:eastAsia="Arial" w:hAnsi="Arial"/>
          <w:sz w:val="16"/>
          <w:szCs w:val="16"/>
          <w:color w:val="1A6DBB"/>
        </w:rPr>
      </w:pPr>
    </w:p>
    <w:p>
      <w:pPr>
        <w:ind w:left="740" w:hanging="320"/>
        <w:spacing w:after="0"/>
        <w:tabs>
          <w:tab w:leader="none" w:pos="740" w:val="left"/>
        </w:tabs>
        <w:numPr>
          <w:ilvl w:val="0"/>
          <w:numId w:val="147"/>
        </w:numPr>
        <w:rPr>
          <w:rFonts w:ascii="Arial" w:cs="Arial" w:eastAsia="Arial" w:hAnsi="Arial"/>
          <w:sz w:val="16"/>
          <w:szCs w:val="16"/>
          <w:color w:val="1A6DBB"/>
        </w:rPr>
      </w:pPr>
      <w:r>
        <w:rPr>
          <w:rFonts w:ascii="Arial" w:cs="Arial" w:eastAsia="Arial" w:hAnsi="Arial"/>
          <w:sz w:val="16"/>
          <w:szCs w:val="16"/>
          <w:color w:val="auto"/>
        </w:rPr>
        <w:t>any other factors that our Corporate Governance Committee deems appropriate.</w:t>
      </w:r>
    </w:p>
    <w:p>
      <w:pPr>
        <w:spacing w:after="0" w:line="113" w:lineRule="exact"/>
        <w:rPr>
          <w:sz w:val="20"/>
          <w:szCs w:val="20"/>
          <w:color w:val="auto"/>
        </w:rPr>
      </w:pPr>
    </w:p>
    <w:p>
      <w:pPr>
        <w:ind w:left="200" w:right="280"/>
        <w:spacing w:after="0" w:line="253" w:lineRule="auto"/>
        <w:rPr>
          <w:sz w:val="20"/>
          <w:szCs w:val="20"/>
          <w:color w:val="auto"/>
        </w:rPr>
      </w:pPr>
      <w:r>
        <w:rPr>
          <w:rFonts w:ascii="Arial" w:cs="Arial" w:eastAsia="Arial" w:hAnsi="Arial"/>
          <w:sz w:val="16"/>
          <w:szCs w:val="16"/>
          <w:color w:val="auto"/>
        </w:rPr>
        <w:t>Our Code of Conduct, which sets forth legal and ethical guidelines for all of our directors and employees, states that directors, executive officers and employees must avoid relationships or activities that might impair their ability to make objective and fair decisions while acting in their Company roles. There are no relationships or transactions with related persons that are required to be disclosed in this Proxy Statement under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75565</wp:posOffset>
            </wp:positionV>
            <wp:extent cx="685800" cy="15430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-71120</wp:posOffset>
            </wp:positionV>
            <wp:extent cx="102870" cy="9461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1200" w:hanging="746"/>
        <w:spacing w:after="0" w:line="235" w:lineRule="auto"/>
        <w:tabs>
          <w:tab w:leader="none" w:pos="1200" w:val="left"/>
        </w:tabs>
        <w:numPr>
          <w:ilvl w:val="0"/>
          <w:numId w:val="148"/>
        </w:numPr>
        <w:rPr>
          <w:rFonts w:ascii="Arial" w:cs="Arial" w:eastAsia="Arial" w:hAnsi="Arial"/>
          <w:sz w:val="90"/>
          <w:szCs w:val="90"/>
          <w:color w:val="1A6DBB"/>
        </w:rPr>
      </w:pPr>
      <w:r>
        <w:rPr>
          <w:rFonts w:ascii="Arial" w:cs="Arial" w:eastAsia="Arial" w:hAnsi="Arial"/>
          <w:sz w:val="41"/>
          <w:szCs w:val="41"/>
          <w:color w:val="1A6DBB"/>
        </w:rPr>
        <w:t xml:space="preserve">Additional Information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
        <w:spacing w:after="0"/>
        <w:rPr>
          <w:sz w:val="20"/>
          <w:szCs w:val="20"/>
          <w:color w:val="auto"/>
        </w:rPr>
      </w:pPr>
      <w:r>
        <w:rPr>
          <w:rFonts w:ascii="Arial" w:cs="Arial" w:eastAsia="Arial" w:hAnsi="Arial"/>
          <w:sz w:val="41"/>
          <w:szCs w:val="41"/>
          <w:color w:val="1A6DBB"/>
        </w:rPr>
        <w:t>EQUITY COMPENSATION PLAN INFORMATION</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provides information as of December 31, 2018, about:</w:t>
      </w:r>
    </w:p>
    <w:p>
      <w:pPr>
        <w:spacing w:after="0" w:line="127" w:lineRule="exact"/>
        <w:rPr>
          <w:sz w:val="20"/>
          <w:szCs w:val="20"/>
          <w:color w:val="auto"/>
        </w:rPr>
      </w:pPr>
    </w:p>
    <w:p>
      <w:pPr>
        <w:ind w:left="420" w:right="200" w:hanging="216"/>
        <w:spacing w:after="0" w:line="246" w:lineRule="auto"/>
        <w:tabs>
          <w:tab w:leader="none" w:pos="420" w:val="left"/>
        </w:tabs>
        <w:numPr>
          <w:ilvl w:val="0"/>
          <w:numId w:val="149"/>
        </w:numPr>
        <w:rPr>
          <w:rFonts w:ascii="Arial" w:cs="Arial" w:eastAsia="Arial" w:hAnsi="Arial"/>
          <w:sz w:val="16"/>
          <w:szCs w:val="16"/>
          <w:color w:val="1A6DBB"/>
        </w:rPr>
      </w:pPr>
      <w:r>
        <w:rPr>
          <w:rFonts w:ascii="Arial" w:cs="Arial" w:eastAsia="Arial" w:hAnsi="Arial"/>
          <w:sz w:val="16"/>
          <w:szCs w:val="16"/>
          <w:color w:val="auto"/>
        </w:rPr>
        <w:t>the number of shares of common stock subject to issuance upon exercise of outstanding options and vesting of RSUs, MSUs and PSUs under plans adopted and assumed by us;</w:t>
      </w:r>
    </w:p>
    <w:p>
      <w:pPr>
        <w:ind w:left="420" w:hanging="216"/>
        <w:spacing w:after="0"/>
        <w:tabs>
          <w:tab w:leader="none" w:pos="420" w:val="left"/>
        </w:tabs>
        <w:numPr>
          <w:ilvl w:val="0"/>
          <w:numId w:val="149"/>
        </w:numPr>
        <w:rPr>
          <w:rFonts w:ascii="Arial" w:cs="Arial" w:eastAsia="Arial" w:hAnsi="Arial"/>
          <w:sz w:val="16"/>
          <w:szCs w:val="16"/>
          <w:color w:val="1A6DBB"/>
        </w:rPr>
      </w:pPr>
      <w:r>
        <w:rPr>
          <w:rFonts w:ascii="Arial" w:cs="Arial" w:eastAsia="Arial" w:hAnsi="Arial"/>
          <w:sz w:val="16"/>
          <w:szCs w:val="16"/>
          <w:color w:val="auto"/>
        </w:rPr>
        <w:t>the weighted-average exercise price of outstanding options under plans adopted and assumed by us; and</w:t>
      </w:r>
    </w:p>
    <w:p>
      <w:pPr>
        <w:spacing w:after="0" w:line="5" w:lineRule="exact"/>
        <w:rPr>
          <w:rFonts w:ascii="Arial" w:cs="Arial" w:eastAsia="Arial" w:hAnsi="Arial"/>
          <w:sz w:val="16"/>
          <w:szCs w:val="16"/>
          <w:color w:val="1A6DBB"/>
        </w:rPr>
      </w:pPr>
    </w:p>
    <w:p>
      <w:pPr>
        <w:ind w:left="420" w:right="580" w:hanging="216"/>
        <w:spacing w:after="0" w:line="260" w:lineRule="auto"/>
        <w:tabs>
          <w:tab w:leader="none" w:pos="420" w:val="left"/>
        </w:tabs>
        <w:numPr>
          <w:ilvl w:val="0"/>
          <w:numId w:val="149"/>
        </w:numPr>
        <w:rPr>
          <w:rFonts w:ascii="Arial" w:cs="Arial" w:eastAsia="Arial" w:hAnsi="Arial"/>
          <w:sz w:val="16"/>
          <w:szCs w:val="16"/>
          <w:color w:val="1A6DBB"/>
        </w:rPr>
      </w:pPr>
      <w:r>
        <w:rPr>
          <w:rFonts w:ascii="Arial" w:cs="Arial" w:eastAsia="Arial" w:hAnsi="Arial"/>
          <w:sz w:val="16"/>
          <w:szCs w:val="16"/>
          <w:color w:val="auto"/>
        </w:rPr>
        <w:t>the number of shares of common stock available for future issuance under our active plans: our 2017 Omnibus Equity Plan, our Non-Employee Directors Equity Plan and our 2015 Employee Stock Purchase Plan.</w:t>
      </w:r>
    </w:p>
    <w:p>
      <w:pPr>
        <w:spacing w:after="0" w:line="221" w:lineRule="exact"/>
        <w:rPr>
          <w:sz w:val="20"/>
          <w:szCs w:val="20"/>
          <w:color w:val="auto"/>
        </w:rPr>
      </w:pPr>
    </w:p>
    <w:tbl>
      <w:tblPr>
        <w:tblLayout w:type="fixed"/>
        <w:tblInd w:w="220" w:type="dxa"/>
        <w:tblCellMar>
          <w:top w:w="0" w:type="dxa"/>
          <w:left w:w="0" w:type="dxa"/>
          <w:bottom w:w="0" w:type="dxa"/>
          <w:right w:w="0" w:type="dxa"/>
        </w:tblCellMar>
      </w:tblPr>
      <w:tr>
        <w:trPr>
          <w:trHeight w:val="180"/>
        </w:trPr>
        <w:tc>
          <w:tcPr>
            <w:tcW w:w="4020" w:type="dxa"/>
            <w:vAlign w:val="bottom"/>
            <w:shd w:val="clear" w:color="auto" w:fill="1A6DBB"/>
          </w:tcPr>
          <w:p>
            <w:pPr>
              <w:spacing w:after="0"/>
              <w:rPr>
                <w:sz w:val="15"/>
                <w:szCs w:val="15"/>
                <w:color w:val="auto"/>
              </w:rPr>
            </w:pPr>
          </w:p>
        </w:tc>
        <w:tc>
          <w:tcPr>
            <w:tcW w:w="2740" w:type="dxa"/>
            <w:vAlign w:val="bottom"/>
            <w:shd w:val="clear" w:color="auto" w:fill="1A6DBB"/>
          </w:tcPr>
          <w:p>
            <w:pPr>
              <w:spacing w:after="0"/>
              <w:rPr>
                <w:sz w:val="15"/>
                <w:szCs w:val="15"/>
                <w:color w:val="auto"/>
              </w:rPr>
            </w:pPr>
          </w:p>
        </w:tc>
        <w:tc>
          <w:tcPr>
            <w:tcW w:w="1000" w:type="dxa"/>
            <w:vAlign w:val="bottom"/>
            <w:shd w:val="clear" w:color="auto" w:fill="1A6DBB"/>
          </w:tcPr>
          <w:p>
            <w:pPr>
              <w:spacing w:after="0"/>
              <w:rPr>
                <w:sz w:val="15"/>
                <w:szCs w:val="15"/>
                <w:color w:val="auto"/>
              </w:rPr>
            </w:pPr>
          </w:p>
        </w:tc>
        <w:tc>
          <w:tcPr>
            <w:tcW w:w="1140" w:type="dxa"/>
            <w:vAlign w:val="bottom"/>
            <w:shd w:val="clear" w:color="auto" w:fill="1A6DBB"/>
          </w:tcPr>
          <w:p>
            <w:pPr>
              <w:spacing w:after="0"/>
              <w:rPr>
                <w:sz w:val="15"/>
                <w:szCs w:val="15"/>
                <w:color w:val="auto"/>
              </w:rPr>
            </w:pPr>
          </w:p>
        </w:tc>
        <w:tc>
          <w:tcPr>
            <w:tcW w:w="2120" w:type="dxa"/>
            <w:vAlign w:val="bottom"/>
            <w:shd w:val="clear" w:color="auto" w:fill="1A6DBB"/>
          </w:tcPr>
          <w:p>
            <w:pPr>
              <w:jc w:val="center"/>
              <w:ind w:left="147"/>
              <w:spacing w:after="0"/>
              <w:rPr>
                <w:sz w:val="20"/>
                <w:szCs w:val="20"/>
                <w:color w:val="auto"/>
              </w:rPr>
            </w:pPr>
            <w:r>
              <w:rPr>
                <w:rFonts w:ascii="Arial" w:cs="Arial" w:eastAsia="Arial" w:hAnsi="Arial"/>
                <w:sz w:val="14"/>
                <w:szCs w:val="14"/>
                <w:color w:val="FFFFFF"/>
              </w:rPr>
              <w:t>Number of Securities</w:t>
            </w:r>
          </w:p>
        </w:tc>
      </w:tr>
      <w:tr>
        <w:trPr>
          <w:trHeight w:val="162"/>
        </w:trPr>
        <w:tc>
          <w:tcPr>
            <w:tcW w:w="4020" w:type="dxa"/>
            <w:vAlign w:val="bottom"/>
            <w:shd w:val="clear" w:color="auto" w:fill="1A6DBB"/>
          </w:tcPr>
          <w:p>
            <w:pPr>
              <w:spacing w:after="0"/>
              <w:rPr>
                <w:sz w:val="14"/>
                <w:szCs w:val="14"/>
                <w:color w:val="auto"/>
              </w:rPr>
            </w:pPr>
          </w:p>
        </w:tc>
        <w:tc>
          <w:tcPr>
            <w:tcW w:w="2740" w:type="dxa"/>
            <w:vAlign w:val="bottom"/>
            <w:shd w:val="clear" w:color="auto" w:fill="1A6DBB"/>
          </w:tcPr>
          <w:p>
            <w:pPr>
              <w:jc w:val="center"/>
              <w:ind w:left="365"/>
              <w:spacing w:after="0"/>
              <w:rPr>
                <w:sz w:val="20"/>
                <w:szCs w:val="20"/>
                <w:color w:val="auto"/>
              </w:rPr>
            </w:pPr>
            <w:r>
              <w:rPr>
                <w:rFonts w:ascii="Arial" w:cs="Arial" w:eastAsia="Arial" w:hAnsi="Arial"/>
                <w:sz w:val="14"/>
                <w:szCs w:val="14"/>
                <w:color w:val="FFFFFF"/>
              </w:rPr>
              <w:t>Number of Securities</w:t>
            </w:r>
          </w:p>
        </w:tc>
        <w:tc>
          <w:tcPr>
            <w:tcW w:w="1000" w:type="dxa"/>
            <w:vAlign w:val="bottom"/>
            <w:shd w:val="clear" w:color="auto" w:fill="1A6DBB"/>
          </w:tcPr>
          <w:p>
            <w:pPr>
              <w:spacing w:after="0"/>
              <w:rPr>
                <w:sz w:val="14"/>
                <w:szCs w:val="14"/>
                <w:color w:val="auto"/>
              </w:rPr>
            </w:pPr>
          </w:p>
        </w:tc>
        <w:tc>
          <w:tcPr>
            <w:tcW w:w="1140" w:type="dxa"/>
            <w:vAlign w:val="bottom"/>
            <w:shd w:val="clear" w:color="auto" w:fill="1A6DBB"/>
          </w:tcPr>
          <w:p>
            <w:pPr>
              <w:spacing w:after="0"/>
              <w:rPr>
                <w:sz w:val="14"/>
                <w:szCs w:val="14"/>
                <w:color w:val="auto"/>
              </w:rPr>
            </w:pPr>
          </w:p>
        </w:tc>
        <w:tc>
          <w:tcPr>
            <w:tcW w:w="2120" w:type="dxa"/>
            <w:vAlign w:val="bottom"/>
            <w:shd w:val="clear" w:color="auto" w:fill="1A6DBB"/>
          </w:tcPr>
          <w:p>
            <w:pPr>
              <w:jc w:val="center"/>
              <w:ind w:left="147"/>
              <w:spacing w:after="0"/>
              <w:rPr>
                <w:sz w:val="20"/>
                <w:szCs w:val="20"/>
                <w:color w:val="auto"/>
              </w:rPr>
            </w:pPr>
            <w:r>
              <w:rPr>
                <w:rFonts w:ascii="Arial" w:cs="Arial" w:eastAsia="Arial" w:hAnsi="Arial"/>
                <w:sz w:val="14"/>
                <w:szCs w:val="14"/>
                <w:color w:val="FFFFFF"/>
              </w:rPr>
              <w:t>Remaining Available for</w:t>
            </w:r>
          </w:p>
        </w:tc>
      </w:tr>
      <w:tr>
        <w:trPr>
          <w:trHeight w:val="162"/>
        </w:trPr>
        <w:tc>
          <w:tcPr>
            <w:tcW w:w="4020" w:type="dxa"/>
            <w:vAlign w:val="bottom"/>
            <w:shd w:val="clear" w:color="auto" w:fill="1A6DBB"/>
          </w:tcPr>
          <w:p>
            <w:pPr>
              <w:spacing w:after="0"/>
              <w:rPr>
                <w:sz w:val="14"/>
                <w:szCs w:val="14"/>
                <w:color w:val="auto"/>
              </w:rPr>
            </w:pPr>
          </w:p>
        </w:tc>
        <w:tc>
          <w:tcPr>
            <w:tcW w:w="2740" w:type="dxa"/>
            <w:vAlign w:val="bottom"/>
            <w:shd w:val="clear" w:color="auto" w:fill="1A6DBB"/>
          </w:tcPr>
          <w:p>
            <w:pPr>
              <w:jc w:val="center"/>
              <w:ind w:left="385"/>
              <w:spacing w:after="0"/>
              <w:rPr>
                <w:sz w:val="20"/>
                <w:szCs w:val="20"/>
                <w:color w:val="auto"/>
              </w:rPr>
            </w:pPr>
            <w:r>
              <w:rPr>
                <w:rFonts w:ascii="Arial" w:cs="Arial" w:eastAsia="Arial" w:hAnsi="Arial"/>
                <w:sz w:val="14"/>
                <w:szCs w:val="14"/>
                <w:color w:val="FFFFFF"/>
              </w:rPr>
              <w:t>to be Issued Upon</w:t>
            </w:r>
          </w:p>
        </w:tc>
        <w:tc>
          <w:tcPr>
            <w:tcW w:w="2140" w:type="dxa"/>
            <w:vAlign w:val="bottom"/>
            <w:gridSpan w:val="2"/>
            <w:shd w:val="clear" w:color="auto" w:fill="1A6DBB"/>
          </w:tcPr>
          <w:p>
            <w:pPr>
              <w:jc w:val="center"/>
              <w:ind w:left="87"/>
              <w:spacing w:after="0"/>
              <w:rPr>
                <w:sz w:val="20"/>
                <w:szCs w:val="20"/>
                <w:color w:val="auto"/>
              </w:rPr>
            </w:pPr>
            <w:r>
              <w:rPr>
                <w:rFonts w:ascii="Arial" w:cs="Arial" w:eastAsia="Arial" w:hAnsi="Arial"/>
                <w:sz w:val="14"/>
                <w:szCs w:val="14"/>
                <w:color w:val="FFFFFF"/>
              </w:rPr>
              <w:t>Weighted-average</w:t>
            </w:r>
          </w:p>
        </w:tc>
        <w:tc>
          <w:tcPr>
            <w:tcW w:w="2120" w:type="dxa"/>
            <w:vAlign w:val="bottom"/>
            <w:shd w:val="clear" w:color="auto" w:fill="1A6DBB"/>
          </w:tcPr>
          <w:p>
            <w:pPr>
              <w:jc w:val="center"/>
              <w:ind w:left="147"/>
              <w:spacing w:after="0"/>
              <w:rPr>
                <w:sz w:val="20"/>
                <w:szCs w:val="20"/>
                <w:color w:val="auto"/>
              </w:rPr>
            </w:pPr>
            <w:r>
              <w:rPr>
                <w:rFonts w:ascii="Arial" w:cs="Arial" w:eastAsia="Arial" w:hAnsi="Arial"/>
                <w:sz w:val="14"/>
                <w:szCs w:val="14"/>
                <w:color w:val="FFFFFF"/>
              </w:rPr>
              <w:t>Future Issuance Under</w:t>
            </w:r>
          </w:p>
        </w:tc>
      </w:tr>
      <w:tr>
        <w:trPr>
          <w:trHeight w:val="162"/>
        </w:trPr>
        <w:tc>
          <w:tcPr>
            <w:tcW w:w="4020" w:type="dxa"/>
            <w:vAlign w:val="bottom"/>
            <w:shd w:val="clear" w:color="auto" w:fill="1A6DBB"/>
          </w:tcPr>
          <w:p>
            <w:pPr>
              <w:spacing w:after="0"/>
              <w:rPr>
                <w:sz w:val="14"/>
                <w:szCs w:val="14"/>
                <w:color w:val="auto"/>
              </w:rPr>
            </w:pPr>
          </w:p>
        </w:tc>
        <w:tc>
          <w:tcPr>
            <w:tcW w:w="2740" w:type="dxa"/>
            <w:vAlign w:val="bottom"/>
            <w:shd w:val="clear" w:color="auto" w:fill="1A6DBB"/>
          </w:tcPr>
          <w:p>
            <w:pPr>
              <w:jc w:val="center"/>
              <w:ind w:left="385"/>
              <w:spacing w:after="0"/>
              <w:rPr>
                <w:sz w:val="20"/>
                <w:szCs w:val="20"/>
                <w:color w:val="auto"/>
              </w:rPr>
            </w:pPr>
            <w:r>
              <w:rPr>
                <w:rFonts w:ascii="Arial" w:cs="Arial" w:eastAsia="Arial" w:hAnsi="Arial"/>
                <w:sz w:val="14"/>
                <w:szCs w:val="14"/>
                <w:color w:val="FFFFFF"/>
              </w:rPr>
              <w:t>Exercise of</w:t>
            </w:r>
          </w:p>
        </w:tc>
        <w:tc>
          <w:tcPr>
            <w:tcW w:w="2140" w:type="dxa"/>
            <w:vAlign w:val="bottom"/>
            <w:gridSpan w:val="2"/>
            <w:shd w:val="clear" w:color="auto" w:fill="1A6DBB"/>
          </w:tcPr>
          <w:p>
            <w:pPr>
              <w:jc w:val="center"/>
              <w:ind w:left="107"/>
              <w:spacing w:after="0"/>
              <w:rPr>
                <w:sz w:val="20"/>
                <w:szCs w:val="20"/>
                <w:color w:val="auto"/>
              </w:rPr>
            </w:pPr>
            <w:r>
              <w:rPr>
                <w:rFonts w:ascii="Arial" w:cs="Arial" w:eastAsia="Arial" w:hAnsi="Arial"/>
                <w:sz w:val="14"/>
                <w:szCs w:val="14"/>
                <w:color w:val="FFFFFF"/>
              </w:rPr>
              <w:t>Exercise Price of</w:t>
            </w:r>
          </w:p>
        </w:tc>
        <w:tc>
          <w:tcPr>
            <w:tcW w:w="2120" w:type="dxa"/>
            <w:vAlign w:val="bottom"/>
            <w:shd w:val="clear" w:color="auto" w:fill="1A6DBB"/>
          </w:tcPr>
          <w:p>
            <w:pPr>
              <w:jc w:val="center"/>
              <w:ind w:left="147"/>
              <w:spacing w:after="0"/>
              <w:rPr>
                <w:sz w:val="20"/>
                <w:szCs w:val="20"/>
                <w:color w:val="auto"/>
              </w:rPr>
            </w:pPr>
            <w:r>
              <w:rPr>
                <w:rFonts w:ascii="Arial" w:cs="Arial" w:eastAsia="Arial" w:hAnsi="Arial"/>
                <w:sz w:val="14"/>
                <w:szCs w:val="14"/>
                <w:color w:val="FFFFFF"/>
              </w:rPr>
              <w:t>Equity Compensation</w:t>
            </w:r>
          </w:p>
        </w:tc>
      </w:tr>
      <w:tr>
        <w:trPr>
          <w:trHeight w:val="155"/>
        </w:trPr>
        <w:tc>
          <w:tcPr>
            <w:tcW w:w="4020" w:type="dxa"/>
            <w:vAlign w:val="bottom"/>
            <w:shd w:val="clear" w:color="auto" w:fill="1A6DBB"/>
          </w:tcPr>
          <w:p>
            <w:pPr>
              <w:spacing w:after="0"/>
              <w:rPr>
                <w:sz w:val="13"/>
                <w:szCs w:val="13"/>
                <w:color w:val="auto"/>
              </w:rPr>
            </w:pPr>
          </w:p>
        </w:tc>
        <w:tc>
          <w:tcPr>
            <w:tcW w:w="2740" w:type="dxa"/>
            <w:vAlign w:val="bottom"/>
            <w:shd w:val="clear" w:color="auto" w:fill="1A6DBB"/>
          </w:tcPr>
          <w:p>
            <w:pPr>
              <w:jc w:val="center"/>
              <w:ind w:left="385"/>
              <w:spacing w:after="0" w:line="155" w:lineRule="exact"/>
              <w:rPr>
                <w:sz w:val="20"/>
                <w:szCs w:val="20"/>
                <w:color w:val="auto"/>
              </w:rPr>
            </w:pPr>
            <w:r>
              <w:rPr>
                <w:rFonts w:ascii="Arial" w:cs="Arial" w:eastAsia="Arial" w:hAnsi="Arial"/>
                <w:sz w:val="14"/>
                <w:szCs w:val="14"/>
                <w:color w:val="FFFFFF"/>
              </w:rPr>
              <w:t>Outstanding Options</w:t>
            </w:r>
          </w:p>
        </w:tc>
        <w:tc>
          <w:tcPr>
            <w:tcW w:w="2140" w:type="dxa"/>
            <w:vAlign w:val="bottom"/>
            <w:gridSpan w:val="2"/>
            <w:shd w:val="clear" w:color="auto" w:fill="1A6DBB"/>
          </w:tcPr>
          <w:p>
            <w:pPr>
              <w:jc w:val="center"/>
              <w:ind w:left="87"/>
              <w:spacing w:after="0" w:line="155" w:lineRule="exact"/>
              <w:rPr>
                <w:sz w:val="20"/>
                <w:szCs w:val="20"/>
                <w:color w:val="auto"/>
              </w:rPr>
            </w:pPr>
            <w:r>
              <w:rPr>
                <w:rFonts w:ascii="Arial" w:cs="Arial" w:eastAsia="Arial" w:hAnsi="Arial"/>
                <w:sz w:val="14"/>
                <w:szCs w:val="14"/>
                <w:color w:val="FFFFFF"/>
              </w:rPr>
              <w:t>Outstanding</w:t>
            </w:r>
          </w:p>
        </w:tc>
        <w:tc>
          <w:tcPr>
            <w:tcW w:w="2120" w:type="dxa"/>
            <w:vAlign w:val="bottom"/>
            <w:shd w:val="clear" w:color="auto" w:fill="1A6DBB"/>
          </w:tcPr>
          <w:p>
            <w:pPr>
              <w:jc w:val="center"/>
              <w:ind w:left="147"/>
              <w:spacing w:after="0" w:line="155" w:lineRule="exact"/>
              <w:rPr>
                <w:sz w:val="20"/>
                <w:szCs w:val="20"/>
                <w:color w:val="auto"/>
              </w:rPr>
            </w:pPr>
            <w:r>
              <w:rPr>
                <w:rFonts w:ascii="Arial" w:cs="Arial" w:eastAsia="Arial" w:hAnsi="Arial"/>
                <w:sz w:val="14"/>
                <w:szCs w:val="14"/>
                <w:color w:val="FFFFFF"/>
              </w:rPr>
              <w:t>Plans (excluding securities</w:t>
            </w:r>
          </w:p>
        </w:tc>
      </w:tr>
      <w:tr>
        <w:trPr>
          <w:trHeight w:val="170"/>
        </w:trPr>
        <w:tc>
          <w:tcPr>
            <w:tcW w:w="4020" w:type="dxa"/>
            <w:vAlign w:val="bottom"/>
            <w:shd w:val="clear" w:color="auto" w:fill="1A6DBB"/>
          </w:tcPr>
          <w:p>
            <w:pPr>
              <w:spacing w:after="0"/>
              <w:rPr>
                <w:sz w:val="14"/>
                <w:szCs w:val="14"/>
                <w:color w:val="auto"/>
              </w:rPr>
            </w:pPr>
          </w:p>
        </w:tc>
        <w:tc>
          <w:tcPr>
            <w:tcW w:w="2740" w:type="dxa"/>
            <w:vAlign w:val="bottom"/>
            <w:shd w:val="clear" w:color="auto" w:fill="1A6DBB"/>
          </w:tcPr>
          <w:p>
            <w:pPr>
              <w:jc w:val="center"/>
              <w:ind w:left="385"/>
              <w:spacing w:after="0"/>
              <w:rPr>
                <w:sz w:val="20"/>
                <w:szCs w:val="20"/>
                <w:color w:val="auto"/>
              </w:rPr>
            </w:pPr>
            <w:r>
              <w:rPr>
                <w:rFonts w:ascii="Arial" w:cs="Arial" w:eastAsia="Arial" w:hAnsi="Arial"/>
                <w:sz w:val="14"/>
                <w:szCs w:val="14"/>
                <w:color w:val="FFFFFF"/>
              </w:rPr>
              <w:t>and Rights</w:t>
            </w:r>
          </w:p>
        </w:tc>
        <w:tc>
          <w:tcPr>
            <w:tcW w:w="2140" w:type="dxa"/>
            <w:vAlign w:val="bottom"/>
            <w:gridSpan w:val="2"/>
            <w:shd w:val="clear" w:color="auto" w:fill="1A6DBB"/>
          </w:tcPr>
          <w:p>
            <w:pPr>
              <w:jc w:val="center"/>
              <w:ind w:left="87"/>
              <w:spacing w:after="0" w:line="170" w:lineRule="exact"/>
              <w:rPr>
                <w:sz w:val="20"/>
                <w:szCs w:val="20"/>
                <w:color w:val="auto"/>
              </w:rPr>
            </w:pPr>
            <w:r>
              <w:rPr>
                <w:rFonts w:ascii="Arial" w:cs="Arial" w:eastAsia="Arial" w:hAnsi="Arial"/>
                <w:sz w:val="12"/>
                <w:szCs w:val="12"/>
                <w:color w:val="FFFFFF"/>
              </w:rPr>
              <w:t>Options and Rights</w:t>
            </w:r>
            <w:r>
              <w:rPr>
                <w:rFonts w:ascii="Arial" w:cs="Arial" w:eastAsia="Arial" w:hAnsi="Arial"/>
                <w:sz w:val="19"/>
                <w:szCs w:val="19"/>
                <w:color w:val="FFFFFF"/>
                <w:vertAlign w:val="superscript"/>
              </w:rPr>
              <w:t>(1)</w:t>
            </w:r>
          </w:p>
        </w:tc>
        <w:tc>
          <w:tcPr>
            <w:tcW w:w="2120" w:type="dxa"/>
            <w:vAlign w:val="bottom"/>
            <w:shd w:val="clear" w:color="auto" w:fill="1A6DBB"/>
          </w:tcPr>
          <w:p>
            <w:pPr>
              <w:jc w:val="center"/>
              <w:ind w:left="107"/>
              <w:spacing w:after="0" w:line="170" w:lineRule="exact"/>
              <w:rPr>
                <w:sz w:val="20"/>
                <w:szCs w:val="20"/>
                <w:color w:val="auto"/>
              </w:rPr>
            </w:pPr>
            <w:r>
              <w:rPr>
                <w:rFonts w:ascii="Arial" w:cs="Arial" w:eastAsia="Arial" w:hAnsi="Arial"/>
                <w:sz w:val="12"/>
                <w:szCs w:val="12"/>
                <w:color w:val="FFFFFF"/>
              </w:rPr>
              <w:t>reflected in column(a))</w:t>
            </w:r>
            <w:r>
              <w:rPr>
                <w:rFonts w:ascii="Arial" w:cs="Arial" w:eastAsia="Arial" w:hAnsi="Arial"/>
                <w:sz w:val="19"/>
                <w:szCs w:val="19"/>
                <w:color w:val="FFFFFF"/>
                <w:vertAlign w:val="superscript"/>
              </w:rPr>
              <w:t>(2)</w:t>
            </w:r>
          </w:p>
        </w:tc>
      </w:tr>
      <w:tr>
        <w:trPr>
          <w:trHeight w:val="171"/>
        </w:trPr>
        <w:tc>
          <w:tcPr>
            <w:tcW w:w="4020" w:type="dxa"/>
            <w:vAlign w:val="bottom"/>
            <w:shd w:val="clear" w:color="auto" w:fill="1A6DBB"/>
          </w:tcPr>
          <w:p>
            <w:pPr>
              <w:ind w:left="60"/>
              <w:spacing w:after="0"/>
              <w:rPr>
                <w:sz w:val="20"/>
                <w:szCs w:val="20"/>
                <w:color w:val="auto"/>
              </w:rPr>
            </w:pPr>
            <w:r>
              <w:rPr>
                <w:rFonts w:ascii="Arial" w:cs="Arial" w:eastAsia="Arial" w:hAnsi="Arial"/>
                <w:sz w:val="14"/>
                <w:szCs w:val="14"/>
                <w:color w:val="FFFFFF"/>
              </w:rPr>
              <w:t>Plan Category</w:t>
            </w:r>
          </w:p>
        </w:tc>
        <w:tc>
          <w:tcPr>
            <w:tcW w:w="2740" w:type="dxa"/>
            <w:vAlign w:val="bottom"/>
            <w:shd w:val="clear" w:color="auto" w:fill="1A6DBB"/>
          </w:tcPr>
          <w:p>
            <w:pPr>
              <w:jc w:val="center"/>
              <w:ind w:left="365"/>
              <w:spacing w:after="0"/>
              <w:rPr>
                <w:sz w:val="20"/>
                <w:szCs w:val="20"/>
                <w:color w:val="auto"/>
              </w:rPr>
            </w:pPr>
            <w:r>
              <w:rPr>
                <w:rFonts w:ascii="Arial" w:cs="Arial" w:eastAsia="Arial" w:hAnsi="Arial"/>
                <w:sz w:val="14"/>
                <w:szCs w:val="14"/>
                <w:color w:val="FFFFFF"/>
              </w:rPr>
              <w:t>(a)</w:t>
            </w:r>
          </w:p>
        </w:tc>
        <w:tc>
          <w:tcPr>
            <w:tcW w:w="1000" w:type="dxa"/>
            <w:vAlign w:val="bottom"/>
            <w:shd w:val="clear" w:color="auto" w:fill="1A6DBB"/>
          </w:tcPr>
          <w:p>
            <w:pPr>
              <w:spacing w:after="0"/>
              <w:rPr>
                <w:sz w:val="14"/>
                <w:szCs w:val="14"/>
                <w:color w:val="auto"/>
              </w:rPr>
            </w:pPr>
          </w:p>
        </w:tc>
        <w:tc>
          <w:tcPr>
            <w:tcW w:w="1140" w:type="dxa"/>
            <w:vAlign w:val="bottom"/>
            <w:shd w:val="clear" w:color="auto" w:fill="1A6DBB"/>
          </w:tcPr>
          <w:p>
            <w:pPr>
              <w:jc w:val="center"/>
              <w:ind w:right="761"/>
              <w:spacing w:after="0"/>
              <w:rPr>
                <w:sz w:val="20"/>
                <w:szCs w:val="20"/>
                <w:color w:val="auto"/>
              </w:rPr>
            </w:pPr>
            <w:r>
              <w:rPr>
                <w:rFonts w:ascii="Arial" w:cs="Arial" w:eastAsia="Arial" w:hAnsi="Arial"/>
                <w:sz w:val="14"/>
                <w:szCs w:val="14"/>
                <w:color w:val="FFFFFF"/>
              </w:rPr>
              <w:t>(b)</w:t>
            </w:r>
          </w:p>
        </w:tc>
        <w:tc>
          <w:tcPr>
            <w:tcW w:w="2120" w:type="dxa"/>
            <w:vAlign w:val="bottom"/>
            <w:shd w:val="clear" w:color="auto" w:fill="1A6DBB"/>
          </w:tcPr>
          <w:p>
            <w:pPr>
              <w:ind w:left="1120"/>
              <w:spacing w:after="0"/>
              <w:rPr>
                <w:sz w:val="20"/>
                <w:szCs w:val="20"/>
                <w:color w:val="auto"/>
              </w:rPr>
            </w:pPr>
            <w:r>
              <w:rPr>
                <w:rFonts w:ascii="Arial" w:cs="Arial" w:eastAsia="Arial" w:hAnsi="Arial"/>
                <w:sz w:val="14"/>
                <w:szCs w:val="14"/>
                <w:color w:val="FFFFFF"/>
              </w:rPr>
              <w:t>(c)</w:t>
            </w:r>
          </w:p>
        </w:tc>
      </w:tr>
      <w:tr>
        <w:trPr>
          <w:trHeight w:val="247"/>
        </w:trPr>
        <w:tc>
          <w:tcPr>
            <w:tcW w:w="4020" w:type="dxa"/>
            <w:vAlign w:val="bottom"/>
            <w:shd w:val="clear" w:color="auto" w:fill="E8F0F8"/>
          </w:tcPr>
          <w:p>
            <w:pPr>
              <w:ind w:left="60"/>
              <w:spacing w:after="0"/>
              <w:rPr>
                <w:sz w:val="20"/>
                <w:szCs w:val="20"/>
                <w:color w:val="auto"/>
              </w:rPr>
            </w:pPr>
            <w:r>
              <w:rPr>
                <w:rFonts w:ascii="Arial" w:cs="Arial" w:eastAsia="Arial" w:hAnsi="Arial"/>
                <w:sz w:val="16"/>
                <w:szCs w:val="16"/>
                <w:color w:val="auto"/>
              </w:rPr>
              <w:t>Equity compensation plans approved by stockholders</w:t>
            </w:r>
          </w:p>
        </w:tc>
        <w:tc>
          <w:tcPr>
            <w:tcW w:w="2740" w:type="dxa"/>
            <w:vAlign w:val="bottom"/>
            <w:shd w:val="clear" w:color="auto" w:fill="E8F0F8"/>
          </w:tcPr>
          <w:p>
            <w:pPr>
              <w:jc w:val="center"/>
              <w:ind w:left="385"/>
              <w:spacing w:after="0"/>
              <w:rPr>
                <w:sz w:val="20"/>
                <w:szCs w:val="20"/>
                <w:color w:val="auto"/>
              </w:rPr>
            </w:pPr>
            <w:r>
              <w:rPr>
                <w:rFonts w:ascii="Arial" w:cs="Arial" w:eastAsia="Arial" w:hAnsi="Arial"/>
                <w:sz w:val="16"/>
                <w:szCs w:val="16"/>
                <w:color w:val="auto"/>
              </w:rPr>
              <w:t>1,308,264</w:t>
            </w:r>
          </w:p>
        </w:tc>
        <w:tc>
          <w:tcPr>
            <w:tcW w:w="1000" w:type="dxa"/>
            <w:vAlign w:val="bottom"/>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E8F0F8"/>
          </w:tcPr>
          <w:p>
            <w:pPr>
              <w:jc w:val="right"/>
              <w:ind w:right="621"/>
              <w:spacing w:after="0"/>
              <w:rPr>
                <w:sz w:val="20"/>
                <w:szCs w:val="20"/>
                <w:color w:val="auto"/>
              </w:rPr>
            </w:pPr>
            <w:r>
              <w:rPr>
                <w:rFonts w:ascii="Arial" w:cs="Arial" w:eastAsia="Arial" w:hAnsi="Arial"/>
                <w:sz w:val="16"/>
                <w:szCs w:val="16"/>
                <w:color w:val="auto"/>
              </w:rPr>
              <w:t>53.82</w:t>
            </w:r>
          </w:p>
        </w:tc>
        <w:tc>
          <w:tcPr>
            <w:tcW w:w="2120" w:type="dxa"/>
            <w:vAlign w:val="bottom"/>
            <w:shd w:val="clear" w:color="auto" w:fill="E8F0F8"/>
          </w:tcPr>
          <w:p>
            <w:pPr>
              <w:jc w:val="center"/>
              <w:ind w:left="227"/>
              <w:spacing w:after="0"/>
              <w:rPr>
                <w:sz w:val="20"/>
                <w:szCs w:val="20"/>
                <w:color w:val="auto"/>
              </w:rPr>
            </w:pPr>
            <w:r>
              <w:rPr>
                <w:rFonts w:ascii="Arial" w:cs="Arial" w:eastAsia="Arial" w:hAnsi="Arial"/>
                <w:sz w:val="16"/>
                <w:szCs w:val="16"/>
                <w:color w:val="auto"/>
              </w:rPr>
              <w:t>20,564,534</w:t>
            </w:r>
          </w:p>
        </w:tc>
      </w:tr>
      <w:tr>
        <w:trPr>
          <w:trHeight w:val="241"/>
        </w:trPr>
        <w:tc>
          <w:tcPr>
            <w:tcW w:w="4020" w:type="dxa"/>
            <w:vAlign w:val="bottom"/>
            <w:shd w:val="clear" w:color="auto" w:fill="BAD3EA"/>
          </w:tcPr>
          <w:p>
            <w:pPr>
              <w:ind w:left="60"/>
              <w:spacing w:after="0"/>
              <w:rPr>
                <w:sz w:val="20"/>
                <w:szCs w:val="20"/>
                <w:color w:val="auto"/>
              </w:rPr>
            </w:pPr>
            <w:r>
              <w:rPr>
                <w:rFonts w:ascii="Arial" w:cs="Arial" w:eastAsia="Arial" w:hAnsi="Arial"/>
                <w:sz w:val="16"/>
                <w:szCs w:val="16"/>
                <w:color w:val="auto"/>
              </w:rPr>
              <w:t>Equity compensation plans not approved by</w:t>
            </w:r>
          </w:p>
        </w:tc>
        <w:tc>
          <w:tcPr>
            <w:tcW w:w="2740" w:type="dxa"/>
            <w:vAlign w:val="bottom"/>
            <w:shd w:val="clear" w:color="auto" w:fill="BAD3EA"/>
          </w:tcPr>
          <w:p>
            <w:pPr>
              <w:spacing w:after="0"/>
              <w:rPr>
                <w:sz w:val="20"/>
                <w:szCs w:val="20"/>
                <w:color w:val="auto"/>
              </w:rPr>
            </w:pPr>
          </w:p>
        </w:tc>
        <w:tc>
          <w:tcPr>
            <w:tcW w:w="1000" w:type="dxa"/>
            <w:vAlign w:val="bottom"/>
            <w:shd w:val="clear" w:color="auto" w:fill="BAD3EA"/>
          </w:tcPr>
          <w:p>
            <w:pPr>
              <w:spacing w:after="0"/>
              <w:rPr>
                <w:sz w:val="20"/>
                <w:szCs w:val="20"/>
                <w:color w:val="auto"/>
              </w:rPr>
            </w:pPr>
          </w:p>
        </w:tc>
        <w:tc>
          <w:tcPr>
            <w:tcW w:w="1140" w:type="dxa"/>
            <w:vAlign w:val="bottom"/>
            <w:shd w:val="clear" w:color="auto" w:fill="BAD3EA"/>
          </w:tcPr>
          <w:p>
            <w:pPr>
              <w:spacing w:after="0"/>
              <w:rPr>
                <w:sz w:val="20"/>
                <w:szCs w:val="20"/>
                <w:color w:val="auto"/>
              </w:rPr>
            </w:pPr>
          </w:p>
        </w:tc>
        <w:tc>
          <w:tcPr>
            <w:tcW w:w="2120" w:type="dxa"/>
            <w:vAlign w:val="bottom"/>
            <w:shd w:val="clear" w:color="auto" w:fill="BAD3EA"/>
          </w:tcPr>
          <w:p>
            <w:pPr>
              <w:spacing w:after="0"/>
              <w:rPr>
                <w:sz w:val="20"/>
                <w:szCs w:val="20"/>
                <w:color w:val="auto"/>
              </w:rPr>
            </w:pPr>
          </w:p>
        </w:tc>
      </w:tr>
      <w:tr>
        <w:trPr>
          <w:trHeight w:val="214"/>
        </w:trPr>
        <w:tc>
          <w:tcPr>
            <w:tcW w:w="4020" w:type="dxa"/>
            <w:vAlign w:val="bottom"/>
            <w:shd w:val="clear" w:color="auto" w:fill="BAD3EA"/>
          </w:tcPr>
          <w:p>
            <w:pPr>
              <w:ind w:left="220"/>
              <w:spacing w:after="0"/>
              <w:rPr>
                <w:sz w:val="20"/>
                <w:szCs w:val="20"/>
                <w:color w:val="auto"/>
              </w:rPr>
            </w:pPr>
            <w:r>
              <w:rPr>
                <w:rFonts w:ascii="Arial" w:cs="Arial" w:eastAsia="Arial" w:hAnsi="Arial"/>
                <w:sz w:val="16"/>
                <w:szCs w:val="16"/>
                <w:color w:val="auto"/>
              </w:rPr>
              <w:t>stockholders</w:t>
            </w:r>
          </w:p>
        </w:tc>
        <w:tc>
          <w:tcPr>
            <w:tcW w:w="2740" w:type="dxa"/>
            <w:vAlign w:val="bottom"/>
            <w:shd w:val="clear" w:color="auto" w:fill="BAD3EA"/>
          </w:tcPr>
          <w:p>
            <w:pPr>
              <w:jc w:val="center"/>
              <w:ind w:left="385"/>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BAD3EA"/>
          </w:tcPr>
          <w:p>
            <w:pPr>
              <w:spacing w:after="0"/>
              <w:rPr>
                <w:sz w:val="18"/>
                <w:szCs w:val="18"/>
                <w:color w:val="auto"/>
              </w:rPr>
            </w:pPr>
          </w:p>
        </w:tc>
        <w:tc>
          <w:tcPr>
            <w:tcW w:w="1140" w:type="dxa"/>
            <w:vAlign w:val="bottom"/>
            <w:shd w:val="clear" w:color="auto" w:fill="BAD3EA"/>
          </w:tcPr>
          <w:p>
            <w:pPr>
              <w:jc w:val="center"/>
              <w:ind w:right="741"/>
              <w:spacing w:after="0"/>
              <w:rPr>
                <w:sz w:val="20"/>
                <w:szCs w:val="20"/>
                <w:color w:val="auto"/>
              </w:rPr>
            </w:pPr>
            <w:r>
              <w:rPr>
                <w:rFonts w:ascii="Arial" w:cs="Arial" w:eastAsia="Arial" w:hAnsi="Arial"/>
                <w:sz w:val="16"/>
                <w:szCs w:val="16"/>
                <w:color w:val="auto"/>
                <w:w w:val="99"/>
              </w:rPr>
              <w:t>—</w:t>
            </w:r>
          </w:p>
        </w:tc>
        <w:tc>
          <w:tcPr>
            <w:tcW w:w="2120" w:type="dxa"/>
            <w:vAlign w:val="bottom"/>
            <w:shd w:val="clear" w:color="auto" w:fill="BAD3EA"/>
          </w:tcPr>
          <w:p>
            <w:pPr>
              <w:jc w:val="center"/>
              <w:ind w:left="207"/>
              <w:spacing w:after="0"/>
              <w:rPr>
                <w:sz w:val="20"/>
                <w:szCs w:val="20"/>
                <w:color w:val="auto"/>
              </w:rPr>
            </w:pPr>
            <w:r>
              <w:rPr>
                <w:rFonts w:ascii="Arial" w:cs="Arial" w:eastAsia="Arial" w:hAnsi="Arial"/>
                <w:sz w:val="16"/>
                <w:szCs w:val="16"/>
                <w:color w:val="auto"/>
                <w:w w:val="99"/>
              </w:rPr>
              <w:t>—</w:t>
            </w:r>
          </w:p>
        </w:tc>
      </w:tr>
      <w:tr>
        <w:trPr>
          <w:trHeight w:val="250"/>
        </w:trPr>
        <w:tc>
          <w:tcPr>
            <w:tcW w:w="4020" w:type="dxa"/>
            <w:vAlign w:val="bottom"/>
            <w:tcBorders>
              <w:bottom w:val="single" w:sz="8" w:color="auto"/>
            </w:tcBorders>
            <w:shd w:val="clear" w:color="auto" w:fill="E8F0F8"/>
          </w:tcPr>
          <w:p>
            <w:pPr>
              <w:ind w:left="60"/>
              <w:spacing w:after="0"/>
              <w:rPr>
                <w:sz w:val="20"/>
                <w:szCs w:val="20"/>
                <w:color w:val="auto"/>
              </w:rPr>
            </w:pPr>
            <w:r>
              <w:rPr>
                <w:rFonts w:ascii="Arial" w:cs="Arial" w:eastAsia="Arial" w:hAnsi="Arial"/>
                <w:sz w:val="16"/>
                <w:szCs w:val="16"/>
                <w:color w:val="auto"/>
              </w:rPr>
              <w:t>Total</w:t>
            </w:r>
          </w:p>
        </w:tc>
        <w:tc>
          <w:tcPr>
            <w:tcW w:w="2740" w:type="dxa"/>
            <w:vAlign w:val="bottom"/>
            <w:tcBorders>
              <w:bottom w:val="single" w:sz="8" w:color="auto"/>
            </w:tcBorders>
            <w:shd w:val="clear" w:color="auto" w:fill="E8F0F8"/>
          </w:tcPr>
          <w:p>
            <w:pPr>
              <w:jc w:val="center"/>
              <w:ind w:left="385"/>
              <w:spacing w:after="0"/>
              <w:rPr>
                <w:sz w:val="20"/>
                <w:szCs w:val="20"/>
                <w:color w:val="auto"/>
              </w:rPr>
            </w:pPr>
            <w:r>
              <w:rPr>
                <w:rFonts w:ascii="Arial" w:cs="Arial" w:eastAsia="Arial" w:hAnsi="Arial"/>
                <w:sz w:val="16"/>
                <w:szCs w:val="16"/>
                <w:color w:val="auto"/>
              </w:rPr>
              <w:t>1,308,264</w:t>
            </w:r>
          </w:p>
        </w:tc>
        <w:tc>
          <w:tcPr>
            <w:tcW w:w="1000" w:type="dxa"/>
            <w:vAlign w:val="bottom"/>
            <w:tcBorders>
              <w:bottom w:val="single" w:sz="8" w:color="auto"/>
            </w:tcBorders>
            <w:shd w:val="clear" w:color="auto" w:fill="E8F0F8"/>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E8F0F8"/>
          </w:tcPr>
          <w:p>
            <w:pPr>
              <w:jc w:val="right"/>
              <w:ind w:right="621"/>
              <w:spacing w:after="0"/>
              <w:rPr>
                <w:sz w:val="20"/>
                <w:szCs w:val="20"/>
                <w:color w:val="auto"/>
              </w:rPr>
            </w:pPr>
            <w:r>
              <w:rPr>
                <w:rFonts w:ascii="Arial" w:cs="Arial" w:eastAsia="Arial" w:hAnsi="Arial"/>
                <w:sz w:val="16"/>
                <w:szCs w:val="16"/>
                <w:color w:val="auto"/>
              </w:rPr>
              <w:t>53.82</w:t>
            </w:r>
          </w:p>
        </w:tc>
        <w:tc>
          <w:tcPr>
            <w:tcW w:w="2120" w:type="dxa"/>
            <w:vAlign w:val="bottom"/>
            <w:tcBorders>
              <w:bottom w:val="single" w:sz="8" w:color="auto"/>
            </w:tcBorders>
            <w:shd w:val="clear" w:color="auto" w:fill="E8F0F8"/>
          </w:tcPr>
          <w:p>
            <w:pPr>
              <w:jc w:val="center"/>
              <w:ind w:left="227"/>
              <w:spacing w:after="0"/>
              <w:rPr>
                <w:sz w:val="20"/>
                <w:szCs w:val="20"/>
                <w:color w:val="auto"/>
              </w:rPr>
            </w:pPr>
            <w:r>
              <w:rPr>
                <w:rFonts w:ascii="Arial" w:cs="Arial" w:eastAsia="Arial" w:hAnsi="Arial"/>
                <w:sz w:val="16"/>
                <w:szCs w:val="16"/>
                <w:color w:val="auto"/>
              </w:rPr>
              <w:t>20,564,534</w:t>
            </w:r>
          </w:p>
        </w:tc>
      </w:tr>
    </w:tbl>
    <w:p>
      <w:pPr>
        <w:spacing w:after="0" w:line="5" w:lineRule="exact"/>
        <w:rPr>
          <w:sz w:val="20"/>
          <w:szCs w:val="20"/>
          <w:color w:val="auto"/>
        </w:rPr>
      </w:pPr>
    </w:p>
    <w:p>
      <w:pPr>
        <w:ind w:left="420" w:hanging="216"/>
        <w:spacing w:after="0"/>
        <w:tabs>
          <w:tab w:leader="none" w:pos="42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The weighted-average exercise price includes all outstanding stock options but does not include RSUs MSUs or PSUs, which do not have an exercise price.</w:t>
      </w:r>
    </w:p>
    <w:p>
      <w:pPr>
        <w:spacing w:after="0" w:line="1" w:lineRule="exact"/>
        <w:rPr>
          <w:rFonts w:ascii="Arial" w:cs="Arial" w:eastAsia="Arial" w:hAnsi="Arial"/>
          <w:sz w:val="14"/>
          <w:szCs w:val="14"/>
          <w:color w:val="auto"/>
        </w:rPr>
      </w:pPr>
    </w:p>
    <w:p>
      <w:pPr>
        <w:ind w:left="420" w:right="40" w:hanging="216"/>
        <w:spacing w:after="0" w:line="250" w:lineRule="auto"/>
        <w:tabs>
          <w:tab w:leader="none" w:pos="42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Of these shares, (a) 14,127,581 remain available for future issuance under our 2017 Omnibus Equity Plan, (b) 703,425 remain available for future issuance under our Non-Employee Directors Equity Plan and (c) 5,733,528 remain available under our 2015 Employee Stock Purchase Plan. In addition to shares issuable upon the exercise of options or rights, the shares under our 2017 Omnibus Equity Plan and our Non-Employee Directors Equity Plan may also be issued other than upon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72390</wp:posOffset>
            </wp:positionV>
            <wp:extent cx="685800" cy="15430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0" cy="154305"/>
                    </a:xfrm>
                    <a:prstGeom prst="rect">
                      <a:avLst/>
                    </a:prstGeom>
                    <a:noFill/>
                  </pic:spPr>
                </pic:pic>
              </a:graphicData>
            </a:graphic>
          </wp:anchor>
        </w:drawing>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-71120</wp:posOffset>
            </wp:positionV>
            <wp:extent cx="102870" cy="9461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7" w:lineRule="exact"/>
        <w:rPr>
          <w:sz w:val="20"/>
          <w:szCs w:val="20"/>
          <w:color w:val="auto"/>
        </w:rPr>
      </w:pPr>
    </w:p>
    <w:p>
      <w:pPr>
        <w:ind w:left="460"/>
        <w:spacing w:after="0"/>
        <w:rPr>
          <w:sz w:val="20"/>
          <w:szCs w:val="20"/>
          <w:color w:val="auto"/>
        </w:rPr>
      </w:pPr>
      <w:r>
        <w:rPr>
          <w:rFonts w:ascii="Arial" w:cs="Arial" w:eastAsia="Arial" w:hAnsi="Arial"/>
          <w:sz w:val="86"/>
          <w:szCs w:val="86"/>
          <w:color w:val="1A6DBB"/>
        </w:rPr>
        <w:t xml:space="preserve">6 </w:t>
      </w:r>
      <w:r>
        <w:rPr>
          <w:rFonts w:ascii="Arial" w:cs="Arial" w:eastAsia="Arial" w:hAnsi="Arial"/>
          <w:sz w:val="40"/>
          <w:szCs w:val="40"/>
          <w:color w:val="1A6DBB"/>
        </w:rPr>
        <w:t>Additional Information</w:t>
      </w:r>
      <w:r>
        <w:rPr>
          <w:rFonts w:ascii="Arial" w:cs="Arial" w:eastAsia="Arial" w:hAnsi="Arial"/>
          <w:sz w:val="86"/>
          <w:szCs w:val="86"/>
          <w:color w:val="1A6DBB"/>
        </w:rPr>
        <w:t xml:space="preserve"> </w:t>
      </w:r>
      <w:r>
        <w:rPr>
          <w:rFonts w:ascii="Arial" w:cs="Arial" w:eastAsia="Arial" w:hAnsi="Arial"/>
          <w:sz w:val="21"/>
          <w:szCs w:val="21"/>
          <w:color w:val="1A6DBB"/>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wp:posOffset>
            </wp:positionV>
            <wp:extent cx="6997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50" w:lineRule="exact"/>
        <w:rPr>
          <w:sz w:val="20"/>
          <w:szCs w:val="20"/>
          <w:color w:val="auto"/>
        </w:rPr>
      </w:pPr>
    </w:p>
    <w:p>
      <w:pPr>
        <w:ind w:left="200"/>
        <w:spacing w:after="0"/>
        <w:rPr>
          <w:sz w:val="20"/>
          <w:szCs w:val="20"/>
          <w:color w:val="auto"/>
        </w:rPr>
      </w:pPr>
      <w:r>
        <w:rPr>
          <w:rFonts w:ascii="Arial" w:cs="Arial" w:eastAsia="Arial" w:hAnsi="Arial"/>
          <w:sz w:val="41"/>
          <w:szCs w:val="41"/>
          <w:color w:val="1A6DBB"/>
        </w:rPr>
        <w:t>MISCELLANEOUS</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1A6DBB"/>
        </w:rPr>
        <w:t>Stockholder Proposals</w:t>
      </w:r>
    </w:p>
    <w:p>
      <w:pPr>
        <w:spacing w:after="0" w:line="128" w:lineRule="exact"/>
        <w:rPr>
          <w:sz w:val="20"/>
          <w:szCs w:val="20"/>
          <w:color w:val="auto"/>
        </w:rPr>
      </w:pPr>
    </w:p>
    <w:p>
      <w:pPr>
        <w:ind w:left="220" w:right="40"/>
        <w:spacing w:after="0" w:line="250" w:lineRule="auto"/>
        <w:rPr>
          <w:sz w:val="20"/>
          <w:szCs w:val="20"/>
          <w:color w:val="auto"/>
        </w:rPr>
      </w:pPr>
      <w:r>
        <w:rPr>
          <w:rFonts w:ascii="Arial" w:cs="Arial" w:eastAsia="Arial" w:hAnsi="Arial"/>
          <w:sz w:val="16"/>
          <w:szCs w:val="16"/>
          <w:color w:val="auto"/>
        </w:rPr>
        <w:t>Stockholder proposals submitted pursuant to Exchange Act Rule 14a-8 and intended to be presented at our 2020 annual meeting of stockholders must be received by our Secretary no later than December 30, 2019, to be eligible for inclusion in our proxy statement and form of proxy relating to that meeting.</w:t>
      </w:r>
    </w:p>
    <w:p>
      <w:pPr>
        <w:spacing w:after="0" w:line="95" w:lineRule="exact"/>
        <w:rPr>
          <w:sz w:val="20"/>
          <w:szCs w:val="20"/>
          <w:color w:val="auto"/>
        </w:rPr>
      </w:pPr>
    </w:p>
    <w:p>
      <w:pPr>
        <w:ind w:left="220"/>
        <w:spacing w:after="0" w:line="246" w:lineRule="auto"/>
        <w:rPr>
          <w:sz w:val="20"/>
          <w:szCs w:val="20"/>
          <w:color w:val="auto"/>
        </w:rPr>
      </w:pPr>
      <w:r>
        <w:rPr>
          <w:rFonts w:ascii="Arial" w:cs="Arial" w:eastAsia="Arial" w:hAnsi="Arial"/>
          <w:sz w:val="16"/>
          <w:szCs w:val="16"/>
          <w:color w:val="auto"/>
        </w:rPr>
        <w:t>A stockholder proposal submitted outside the processes of Rule 14a-8 and not for inclusion in our proxy statement for the 2020 annual meeting of stockholders will be ineligible for presentation at the meeting unless the stockholder gives timely notice of the proposal in writing to our Secretary at our principal executive offices and otherwise complies with the provisions of our Bylaws. To be timely, our Bylaws provide that we must have received the stockholder’s notice no later than March 21, 2020, and no earlier than February 20, 2020. However, if the date of the 2020 annual meeting of stockholders is more than 30 days before or more than 60 days after the first anniversary of the Annual Meeting, we must receive the stockholder’s notice not earlier than the close of business on the</w:t>
      </w:r>
    </w:p>
    <w:p>
      <w:pPr>
        <w:ind w:left="220" w:right="40"/>
        <w:spacing w:after="0" w:line="181" w:lineRule="auto"/>
        <w:rPr>
          <w:sz w:val="20"/>
          <w:szCs w:val="20"/>
          <w:color w:val="auto"/>
        </w:rPr>
      </w:pPr>
      <w:r>
        <w:rPr>
          <w:rFonts w:ascii="Arial" w:cs="Arial" w:eastAsia="Arial" w:hAnsi="Arial"/>
          <w:sz w:val="16"/>
          <w:szCs w:val="16"/>
          <w:color w:val="auto"/>
        </w:rPr>
        <w:t>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before the 2020 annual meeting of stockholders and not later than the close of business on the later of (1)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before the 2020 annual meeting of stockholders and (2) the 10 </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day on which public announcement of the date of the 2020 annual meeting of stockholders is first made.</w:t>
      </w:r>
    </w:p>
    <w:p>
      <w:pPr>
        <w:spacing w:after="0" w:line="104" w:lineRule="exact"/>
        <w:rPr>
          <w:sz w:val="20"/>
          <w:szCs w:val="20"/>
          <w:color w:val="auto"/>
        </w:rPr>
      </w:pPr>
    </w:p>
    <w:p>
      <w:pPr>
        <w:ind w:left="220" w:right="280"/>
        <w:spacing w:after="0" w:line="253" w:lineRule="auto"/>
        <w:rPr>
          <w:sz w:val="20"/>
          <w:szCs w:val="20"/>
          <w:color w:val="auto"/>
        </w:rPr>
      </w:pPr>
      <w:r>
        <w:rPr>
          <w:rFonts w:ascii="Arial" w:cs="Arial" w:eastAsia="Arial" w:hAnsi="Arial"/>
          <w:sz w:val="16"/>
          <w:szCs w:val="16"/>
          <w:color w:val="auto"/>
        </w:rPr>
        <w:t>All stockholder proposals for our 2020 annual meeting of stockholders should be sent to our Secretary, Biogen Inc., 225 Binney Street, Cambridge, Massachusetts 02142.</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1A6DBB"/>
        </w:rPr>
        <w:t>Other Stockholder Communications</w:t>
      </w:r>
    </w:p>
    <w:p>
      <w:pPr>
        <w:spacing w:after="0" w:line="128" w:lineRule="exact"/>
        <w:rPr>
          <w:sz w:val="20"/>
          <w:szCs w:val="20"/>
          <w:color w:val="auto"/>
        </w:rPr>
      </w:pPr>
    </w:p>
    <w:p>
      <w:pPr>
        <w:ind w:left="220" w:right="60"/>
        <w:spacing w:after="0" w:line="248" w:lineRule="auto"/>
        <w:rPr>
          <w:sz w:val="20"/>
          <w:szCs w:val="20"/>
          <w:color w:val="auto"/>
        </w:rPr>
      </w:pPr>
      <w:r>
        <w:rPr>
          <w:rFonts w:ascii="Arial" w:cs="Arial" w:eastAsia="Arial" w:hAnsi="Arial"/>
          <w:sz w:val="16"/>
          <w:szCs w:val="16"/>
          <w:color w:val="auto"/>
        </w:rPr>
        <w:t>Generally, stockholders who have questions or concerns should contact our Investor Relations department at (781) 464-2442. However, stockholders who wish to communicate directly with our Board of Directors, or any individual director, should direct questions in writing to our Secretary, Biogen Inc., 225 Binney Street, Cambridge, Massachusetts 02142. Communications addressed in this manner will be forwarded directly to our Board of Directors or named individual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593725</wp:posOffset>
            </wp:positionV>
            <wp:extent cx="420370" cy="13716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42037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1A6DBB"/>
        </w:rPr>
        <w:t>Incorporation by Reference</w:t>
      </w:r>
    </w:p>
    <w:p>
      <w:pPr>
        <w:spacing w:after="0" w:line="128"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 xml:space="preserve">Notwithstanding anything to the contrary set forth in any of our previous filings under the securities laws that might incorporate future filings, including this Proxy Statement, in whole or in part, the Compensation Committee Report, the Audit Committee Report, the content of </w:t>
      </w:r>
      <w:r>
        <w:rPr>
          <w:rFonts w:ascii="Arial" w:cs="Arial" w:eastAsia="Arial" w:hAnsi="Arial"/>
          <w:sz w:val="16"/>
          <w:szCs w:val="16"/>
          <w:i w:val="1"/>
          <w:iCs w:val="1"/>
          <w:color w:val="auto"/>
        </w:rPr>
        <w:t>www.biogen.com</w:t>
      </w:r>
      <w:r>
        <w:rPr>
          <w:rFonts w:ascii="Arial" w:cs="Arial" w:eastAsia="Arial" w:hAnsi="Arial"/>
          <w:sz w:val="16"/>
          <w:szCs w:val="16"/>
          <w:color w:val="auto"/>
        </w:rPr>
        <w:t>, including the charters of the committees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Corporate Governance Principles, Related Person Transaction Policy, Conflicts of Interest Policy, Code of Conduct and Bylaws, included or referenced in this Proxy Statement shall not be incorporated by reference into any such filings.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1A6DBB"/>
        </w:rPr>
        <w:t>Copies of Annual Meeting Materials</w:t>
      </w:r>
    </w:p>
    <w:p>
      <w:pPr>
        <w:spacing w:after="0" w:line="128"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 xml:space="preserve">Some banks, brokers and other nominee record holders may be participating in the practice of householding proxy statements and annual reports. This means that, unless you have instructed otherwise, only one copy of this Proxy Statement, Annual Report or Notice of Internet Availability of Proxy Materials, as applicable, may have been sent to multiple stockholders in your household. </w:t>
      </w:r>
      <w:r>
        <w:rPr>
          <w:rFonts w:ascii="Arial" w:cs="Arial" w:eastAsia="Arial" w:hAnsi="Arial"/>
          <w:sz w:val="16"/>
          <w:szCs w:val="16"/>
          <w:b w:val="1"/>
          <w:bCs w:val="1"/>
          <w:color w:val="auto"/>
        </w:rPr>
        <w:t>We will promptly deliver a</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separate copy of any of these documents without charge to you if you write or call Investor Relations, Biogen Inc., 225 Binney Street, Cambridge, Massachusetts 02142, (781) 464-2442. </w:t>
      </w:r>
      <w:r>
        <w:rPr>
          <w:rFonts w:ascii="Arial" w:cs="Arial" w:eastAsia="Arial" w:hAnsi="Arial"/>
          <w:sz w:val="16"/>
          <w:szCs w:val="16"/>
          <w:color w:val="auto"/>
        </w:rPr>
        <w:t>If you want to</w:t>
      </w:r>
      <w:r>
        <w:rPr>
          <w:rFonts w:ascii="Arial" w:cs="Arial" w:eastAsia="Arial" w:hAnsi="Arial"/>
          <w:sz w:val="16"/>
          <w:szCs w:val="16"/>
          <w:b w:val="1"/>
          <w:bCs w:val="1"/>
          <w:color w:val="auto"/>
        </w:rPr>
        <w:t xml:space="preserve"> </w:t>
      </w:r>
      <w:r>
        <w:rPr>
          <w:rFonts w:ascii="Arial" w:cs="Arial" w:eastAsia="Arial" w:hAnsi="Arial"/>
          <w:sz w:val="16"/>
          <w:szCs w:val="16"/>
          <w:color w:val="auto"/>
        </w:rPr>
        <w:t>receive separate copies of our proxy statement, annual report or Notice of Internet Availability of Proxy Materials, as applicable, in the future, or if you are receiving multiple copies and would like to receive only one copy for your household, you should contact your bank, broker or other nominee record holder, or you may contact us at the above address or phone number.</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1A6DBB"/>
        </w:rPr>
        <w:t>Manner and Cost of Proxy Solicitation</w:t>
      </w:r>
    </w:p>
    <w:p>
      <w:pPr>
        <w:spacing w:after="0" w:line="12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Biogen pays the cost of soliciting proxies. In addition to solicitation by mail, our directors, officers and employees may contact you in person, by telephone or by email or other electronic means. None of our directors, officers or employees will receive additional compensation for soliciting you. We will reimburse brokerage houses, banks, custodians and other nominees and fiduciaries for out-of-pocket expenses incurred in forwarding our proxy solicitation materials to, and obtaining instructions relating to such materials from, beneficial owners of our common stock. Georgeson LLC, New York, New York, has been retained to assist us in the solicitation of proxies at a fee estimated not to exceed $11,000.</w:t>
      </w:r>
    </w:p>
    <w:p>
      <w:pPr>
        <w:spacing w:after="0" w:line="200"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127" w:lineRule="exact"/>
        <w:rPr>
          <w:sz w:val="20"/>
          <w:szCs w:val="20"/>
          <w:color w:val="auto"/>
        </w:rPr>
      </w:pPr>
    </w:p>
    <w:p>
      <w:pPr>
        <w:ind w:left="200"/>
        <w:spacing w:after="0"/>
        <w:rPr>
          <w:sz w:val="20"/>
          <w:szCs w:val="20"/>
          <w:color w:val="auto"/>
        </w:rPr>
      </w:pPr>
      <w:r>
        <w:rPr>
          <w:rFonts w:ascii="Arial" w:cs="Arial" w:eastAsia="Arial" w:hAnsi="Arial"/>
          <w:sz w:val="12"/>
          <w:szCs w:val="12"/>
          <w:color w:val="1A6DBB"/>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7019925</wp:posOffset>
            </wp:positionH>
            <wp:positionV relativeFrom="paragraph">
              <wp:posOffset>-71120</wp:posOffset>
            </wp:positionV>
            <wp:extent cx="102870" cy="9461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18034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997700" cy="180340"/>
                    </a:xfrm>
                    <a:prstGeom prst="rect">
                      <a:avLst/>
                    </a:prstGeom>
                    <a:noFill/>
                  </pic:spPr>
                </pic:pic>
              </a:graphicData>
            </a:graphic>
          </wp:anchor>
        </w:drawing>
      </w:r>
    </w:p>
    <w:p>
      <w:pPr>
        <w:spacing w:after="0" w:line="345"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FFFFFF"/>
        </w:rPr>
        <w:t>2019 PROXY STATEMENT</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41"/>
          <w:szCs w:val="41"/>
          <w:color w:val="1A6DBB"/>
        </w:rPr>
        <w:t>APPENDIX A</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41"/>
          <w:szCs w:val="41"/>
          <w:color w:val="1A6DBB"/>
        </w:rPr>
        <w:t>GAAP to Non-GAAP Reconciliation</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1A6DBB"/>
        </w:rPr>
        <w:t>Diluted Earnings Per Share and Net Income Attributable to Biogen Inc.</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(unaudited, $ in millions, except per share amounts)</w:t>
      </w: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360" w:type="dxa"/>
            <w:vAlign w:val="bottom"/>
            <w:shd w:val="clear" w:color="auto" w:fill="1A6DBB"/>
          </w:tcPr>
          <w:p>
            <w:pPr>
              <w:spacing w:after="0"/>
              <w:rPr>
                <w:sz w:val="15"/>
                <w:szCs w:val="15"/>
                <w:color w:val="auto"/>
              </w:rPr>
            </w:pPr>
          </w:p>
        </w:tc>
        <w:tc>
          <w:tcPr>
            <w:tcW w:w="2660" w:type="dxa"/>
            <w:vAlign w:val="bottom"/>
            <w:gridSpan w:val="2"/>
            <w:shd w:val="clear" w:color="auto" w:fill="1A6DBB"/>
          </w:tcPr>
          <w:p>
            <w:pPr>
              <w:jc w:val="right"/>
              <w:ind w:right="202"/>
              <w:spacing w:after="0"/>
              <w:rPr>
                <w:sz w:val="20"/>
                <w:szCs w:val="20"/>
                <w:color w:val="auto"/>
              </w:rPr>
            </w:pPr>
            <w:r>
              <w:rPr>
                <w:rFonts w:ascii="Arial" w:cs="Arial" w:eastAsia="Arial" w:hAnsi="Arial"/>
                <w:sz w:val="14"/>
                <w:szCs w:val="14"/>
                <w:color w:val="FFFFFF"/>
              </w:rPr>
              <w:t>For the Twelve Months Ended</w:t>
            </w:r>
          </w:p>
        </w:tc>
      </w:tr>
      <w:tr>
        <w:trPr>
          <w:trHeight w:val="180"/>
        </w:trPr>
        <w:tc>
          <w:tcPr>
            <w:tcW w:w="20" w:type="dxa"/>
            <w:vAlign w:val="bottom"/>
          </w:tcPr>
          <w:p>
            <w:pPr>
              <w:spacing w:after="0"/>
              <w:rPr>
                <w:sz w:val="15"/>
                <w:szCs w:val="15"/>
                <w:color w:val="auto"/>
              </w:rPr>
            </w:pPr>
          </w:p>
        </w:tc>
        <w:tc>
          <w:tcPr>
            <w:tcW w:w="8360" w:type="dxa"/>
            <w:vAlign w:val="bottom"/>
            <w:shd w:val="clear" w:color="auto" w:fill="1A6DBB"/>
          </w:tcPr>
          <w:p>
            <w:pPr>
              <w:spacing w:after="0"/>
              <w:rPr>
                <w:sz w:val="15"/>
                <w:szCs w:val="15"/>
                <w:color w:val="auto"/>
              </w:rPr>
            </w:pPr>
          </w:p>
        </w:tc>
        <w:tc>
          <w:tcPr>
            <w:tcW w:w="1320" w:type="dxa"/>
            <w:vAlign w:val="bottom"/>
            <w:shd w:val="clear" w:color="auto" w:fill="1A6DBB"/>
          </w:tcPr>
          <w:p>
            <w:pPr>
              <w:jc w:val="right"/>
              <w:spacing w:after="0"/>
              <w:rPr>
                <w:sz w:val="20"/>
                <w:szCs w:val="20"/>
                <w:color w:val="auto"/>
              </w:rPr>
            </w:pPr>
            <w:r>
              <w:rPr>
                <w:rFonts w:ascii="Arial" w:cs="Arial" w:eastAsia="Arial" w:hAnsi="Arial"/>
                <w:sz w:val="14"/>
                <w:szCs w:val="14"/>
                <w:color w:val="FFFFFF"/>
              </w:rPr>
              <w:t>December 31,</w:t>
            </w:r>
          </w:p>
        </w:tc>
        <w:tc>
          <w:tcPr>
            <w:tcW w:w="1340" w:type="dxa"/>
            <w:vAlign w:val="bottom"/>
            <w:shd w:val="clear" w:color="auto" w:fill="1A6DBB"/>
          </w:tcPr>
          <w:p>
            <w:pPr>
              <w:jc w:val="right"/>
              <w:ind w:right="102"/>
              <w:spacing w:after="0"/>
              <w:rPr>
                <w:sz w:val="20"/>
                <w:szCs w:val="20"/>
                <w:color w:val="auto"/>
              </w:rPr>
            </w:pPr>
            <w:r>
              <w:rPr>
                <w:rFonts w:ascii="Arial" w:cs="Arial" w:eastAsia="Arial" w:hAnsi="Arial"/>
                <w:sz w:val="14"/>
                <w:szCs w:val="14"/>
                <w:color w:val="FFFFFF"/>
              </w:rPr>
              <w:t>December 31,</w:t>
            </w:r>
          </w:p>
        </w:tc>
      </w:tr>
      <w:tr>
        <w:trPr>
          <w:trHeight w:val="171"/>
        </w:trPr>
        <w:tc>
          <w:tcPr>
            <w:tcW w:w="20" w:type="dxa"/>
            <w:vAlign w:val="bottom"/>
          </w:tcPr>
          <w:p>
            <w:pPr>
              <w:spacing w:after="0"/>
              <w:rPr>
                <w:sz w:val="14"/>
                <w:szCs w:val="14"/>
                <w:color w:val="auto"/>
              </w:rPr>
            </w:pPr>
          </w:p>
        </w:tc>
        <w:tc>
          <w:tcPr>
            <w:tcW w:w="8360" w:type="dxa"/>
            <w:vAlign w:val="bottom"/>
            <w:shd w:val="clear" w:color="auto" w:fill="1A6DBB"/>
          </w:tcPr>
          <w:p>
            <w:pPr>
              <w:spacing w:after="0"/>
              <w:rPr>
                <w:sz w:val="14"/>
                <w:szCs w:val="14"/>
                <w:color w:val="auto"/>
              </w:rPr>
            </w:pPr>
          </w:p>
        </w:tc>
        <w:tc>
          <w:tcPr>
            <w:tcW w:w="1320" w:type="dxa"/>
            <w:vAlign w:val="bottom"/>
            <w:shd w:val="clear" w:color="auto" w:fill="1A6DBB"/>
          </w:tcPr>
          <w:p>
            <w:pPr>
              <w:jc w:val="right"/>
              <w:ind w:right="261"/>
              <w:spacing w:after="0"/>
              <w:rPr>
                <w:sz w:val="20"/>
                <w:szCs w:val="20"/>
                <w:color w:val="auto"/>
              </w:rPr>
            </w:pPr>
            <w:r>
              <w:rPr>
                <w:rFonts w:ascii="Arial" w:cs="Arial" w:eastAsia="Arial" w:hAnsi="Arial"/>
                <w:sz w:val="14"/>
                <w:szCs w:val="14"/>
                <w:color w:val="FFFFFF"/>
              </w:rPr>
              <w:t>2018</w:t>
            </w:r>
          </w:p>
        </w:tc>
        <w:tc>
          <w:tcPr>
            <w:tcW w:w="1340" w:type="dxa"/>
            <w:vAlign w:val="bottom"/>
            <w:shd w:val="clear" w:color="auto" w:fill="1A6DBB"/>
          </w:tcPr>
          <w:p>
            <w:pPr>
              <w:jc w:val="right"/>
              <w:ind w:right="402"/>
              <w:spacing w:after="0"/>
              <w:rPr>
                <w:sz w:val="20"/>
                <w:szCs w:val="20"/>
                <w:color w:val="auto"/>
              </w:rPr>
            </w:pPr>
            <w:r>
              <w:rPr>
                <w:rFonts w:ascii="Arial" w:cs="Arial" w:eastAsia="Arial" w:hAnsi="Arial"/>
                <w:sz w:val="14"/>
                <w:szCs w:val="14"/>
                <w:color w:val="FFFFFF"/>
              </w:rPr>
              <w:t>2017</w:t>
            </w:r>
          </w:p>
        </w:tc>
      </w:tr>
      <w:tr>
        <w:trPr>
          <w:trHeight w:val="250"/>
        </w:trPr>
        <w:tc>
          <w:tcPr>
            <w:tcW w:w="20" w:type="dxa"/>
            <w:vAlign w:val="bottom"/>
          </w:tcPr>
          <w:p>
            <w:pPr>
              <w:spacing w:after="0"/>
              <w:rPr>
                <w:sz w:val="21"/>
                <w:szCs w:val="21"/>
                <w:color w:val="auto"/>
              </w:rPr>
            </w:pPr>
          </w:p>
        </w:tc>
        <w:tc>
          <w:tcPr>
            <w:tcW w:w="8360" w:type="dxa"/>
            <w:vAlign w:val="bottom"/>
            <w:tcBorders>
              <w:bottom w:val="single" w:sz="8" w:color="E8F0F8"/>
            </w:tcBorders>
            <w:shd w:val="clear" w:color="auto" w:fill="E8F0F8"/>
          </w:tcPr>
          <w:p>
            <w:pPr>
              <w:ind w:left="60"/>
              <w:spacing w:after="0"/>
              <w:rPr>
                <w:sz w:val="20"/>
                <w:szCs w:val="20"/>
                <w:color w:val="auto"/>
              </w:rPr>
            </w:pPr>
            <w:r>
              <w:rPr>
                <w:rFonts w:ascii="Arial" w:cs="Arial" w:eastAsia="Arial" w:hAnsi="Arial"/>
                <w:sz w:val="16"/>
                <w:szCs w:val="16"/>
                <w:color w:val="auto"/>
              </w:rPr>
              <w:t>GAAP earnings per share – Diluted</w:t>
            </w:r>
          </w:p>
        </w:tc>
        <w:tc>
          <w:tcPr>
            <w:tcW w:w="1320" w:type="dxa"/>
            <w:vAlign w:val="bottom"/>
            <w:tcBorders>
              <w:bottom w:val="single" w:sz="8" w:color="E8F0F8"/>
            </w:tcBorders>
            <w:shd w:val="clear" w:color="auto" w:fill="E8F0F8"/>
          </w:tcPr>
          <w:p>
            <w:pPr>
              <w:jc w:val="right"/>
              <w:ind w:right="1"/>
              <w:spacing w:after="0"/>
              <w:rPr>
                <w:sz w:val="20"/>
                <w:szCs w:val="20"/>
                <w:color w:val="auto"/>
              </w:rPr>
            </w:pPr>
            <w:r>
              <w:rPr>
                <w:rFonts w:ascii="Arial" w:cs="Arial" w:eastAsia="Arial" w:hAnsi="Arial"/>
                <w:sz w:val="16"/>
                <w:szCs w:val="16"/>
                <w:color w:val="auto"/>
              </w:rPr>
              <w:t>$21.58</w:t>
            </w:r>
          </w:p>
        </w:tc>
        <w:tc>
          <w:tcPr>
            <w:tcW w:w="1340" w:type="dxa"/>
            <w:vAlign w:val="bottom"/>
            <w:tcBorders>
              <w:bottom w:val="single" w:sz="8" w:color="E8F0F8"/>
            </w:tcBorders>
            <w:shd w:val="clear" w:color="auto" w:fill="E8F0F8"/>
          </w:tcPr>
          <w:p>
            <w:pPr>
              <w:jc w:val="right"/>
              <w:ind w:right="122"/>
              <w:spacing w:after="0"/>
              <w:rPr>
                <w:sz w:val="20"/>
                <w:szCs w:val="20"/>
                <w:color w:val="auto"/>
              </w:rPr>
            </w:pPr>
            <w:r>
              <w:rPr>
                <w:rFonts w:ascii="Arial" w:cs="Arial" w:eastAsia="Arial" w:hAnsi="Arial"/>
                <w:sz w:val="16"/>
                <w:szCs w:val="16"/>
                <w:color w:val="auto"/>
              </w:rPr>
              <w:t>$11.92</w:t>
            </w:r>
          </w:p>
        </w:tc>
      </w:tr>
      <w:tr>
        <w:trPr>
          <w:trHeight w:val="250"/>
        </w:trPr>
        <w:tc>
          <w:tcPr>
            <w:tcW w:w="20" w:type="dxa"/>
            <w:vAlign w:val="bottom"/>
          </w:tcPr>
          <w:p>
            <w:pPr>
              <w:spacing w:after="0"/>
              <w:rPr>
                <w:sz w:val="21"/>
                <w:szCs w:val="21"/>
                <w:color w:val="auto"/>
              </w:rPr>
            </w:pPr>
          </w:p>
        </w:tc>
        <w:tc>
          <w:tcPr>
            <w:tcW w:w="8360" w:type="dxa"/>
            <w:vAlign w:val="bottom"/>
            <w:tcBorders>
              <w:bottom w:val="single" w:sz="8" w:color="BAD3EA"/>
            </w:tcBorders>
            <w:shd w:val="clear" w:color="auto" w:fill="BAD3EA"/>
          </w:tcPr>
          <w:p>
            <w:pPr>
              <w:ind w:left="60"/>
              <w:spacing w:after="0"/>
              <w:rPr>
                <w:sz w:val="20"/>
                <w:szCs w:val="20"/>
                <w:color w:val="auto"/>
              </w:rPr>
            </w:pPr>
            <w:r>
              <w:rPr>
                <w:rFonts w:ascii="Arial" w:cs="Arial" w:eastAsia="Arial" w:hAnsi="Arial"/>
                <w:sz w:val="16"/>
                <w:szCs w:val="16"/>
                <w:color w:val="auto"/>
              </w:rPr>
              <w:t>Adjustments to GAAP net income attributable to Biogen Inc. (as detailed below)</w:t>
            </w:r>
          </w:p>
        </w:tc>
        <w:tc>
          <w:tcPr>
            <w:tcW w:w="1320" w:type="dxa"/>
            <w:vAlign w:val="bottom"/>
            <w:tcBorders>
              <w:bottom w:val="single" w:sz="8" w:color="BAD3EA"/>
            </w:tcBorders>
            <w:shd w:val="clear" w:color="auto" w:fill="BAD3EA"/>
          </w:tcPr>
          <w:p>
            <w:pPr>
              <w:jc w:val="right"/>
              <w:ind w:right="1"/>
              <w:spacing w:after="0"/>
              <w:rPr>
                <w:sz w:val="20"/>
                <w:szCs w:val="20"/>
                <w:color w:val="auto"/>
              </w:rPr>
            </w:pPr>
            <w:r>
              <w:rPr>
                <w:rFonts w:ascii="Arial" w:cs="Arial" w:eastAsia="Arial" w:hAnsi="Arial"/>
                <w:sz w:val="16"/>
                <w:szCs w:val="16"/>
                <w:color w:val="auto"/>
              </w:rPr>
              <w:t>4.62</w:t>
            </w:r>
          </w:p>
        </w:tc>
        <w:tc>
          <w:tcPr>
            <w:tcW w:w="1340" w:type="dxa"/>
            <w:vAlign w:val="bottom"/>
            <w:tcBorders>
              <w:bottom w:val="single" w:sz="8" w:color="BAD3EA"/>
            </w:tcBorders>
            <w:shd w:val="clear" w:color="auto" w:fill="BAD3EA"/>
          </w:tcPr>
          <w:p>
            <w:pPr>
              <w:jc w:val="right"/>
              <w:ind w:right="122"/>
              <w:spacing w:after="0"/>
              <w:rPr>
                <w:sz w:val="20"/>
                <w:szCs w:val="20"/>
                <w:color w:val="auto"/>
              </w:rPr>
            </w:pPr>
            <w:r>
              <w:rPr>
                <w:rFonts w:ascii="Arial" w:cs="Arial" w:eastAsia="Arial" w:hAnsi="Arial"/>
                <w:sz w:val="16"/>
                <w:szCs w:val="16"/>
                <w:color w:val="auto"/>
              </w:rPr>
              <w:t>9.89</w:t>
            </w:r>
          </w:p>
        </w:tc>
      </w:tr>
      <w:tr>
        <w:trPr>
          <w:trHeight w:val="275"/>
        </w:trPr>
        <w:tc>
          <w:tcPr>
            <w:tcW w:w="20" w:type="dxa"/>
            <w:vAlign w:val="bottom"/>
          </w:tcPr>
          <w:p>
            <w:pPr>
              <w:spacing w:after="0"/>
              <w:rPr>
                <w:sz w:val="23"/>
                <w:szCs w:val="23"/>
                <w:color w:val="auto"/>
              </w:rPr>
            </w:pPr>
          </w:p>
        </w:tc>
        <w:tc>
          <w:tcPr>
            <w:tcW w:w="8360" w:type="dxa"/>
            <w:vAlign w:val="bottom"/>
            <w:tcBorders>
              <w:bottom w:val="single" w:sz="8" w:color="E8F0F8"/>
            </w:tcBorders>
            <w:shd w:val="clear" w:color="auto" w:fill="E8F0F8"/>
          </w:tcPr>
          <w:p>
            <w:pPr>
              <w:ind w:left="60"/>
              <w:spacing w:after="0"/>
              <w:rPr>
                <w:sz w:val="20"/>
                <w:szCs w:val="20"/>
                <w:color w:val="auto"/>
              </w:rPr>
            </w:pPr>
            <w:r>
              <w:rPr>
                <w:rFonts w:ascii="Arial" w:cs="Arial" w:eastAsia="Arial" w:hAnsi="Arial"/>
                <w:sz w:val="16"/>
                <w:szCs w:val="16"/>
                <w:color w:val="auto"/>
              </w:rPr>
              <w:t>Non-GAAP earnings per share – Diluted</w:t>
            </w:r>
          </w:p>
        </w:tc>
        <w:tc>
          <w:tcPr>
            <w:tcW w:w="1320" w:type="dxa"/>
            <w:vAlign w:val="bottom"/>
            <w:tcBorders>
              <w:bottom w:val="single" w:sz="8" w:color="E8F0F8"/>
            </w:tcBorders>
            <w:shd w:val="clear" w:color="auto" w:fill="E8F0F8"/>
          </w:tcPr>
          <w:p>
            <w:pPr>
              <w:jc w:val="right"/>
              <w:ind w:right="1"/>
              <w:spacing w:after="0"/>
              <w:rPr>
                <w:sz w:val="20"/>
                <w:szCs w:val="20"/>
                <w:color w:val="auto"/>
              </w:rPr>
            </w:pPr>
            <w:r>
              <w:rPr>
                <w:rFonts w:ascii="Arial" w:cs="Arial" w:eastAsia="Arial" w:hAnsi="Arial"/>
                <w:sz w:val="16"/>
                <w:szCs w:val="16"/>
                <w:color w:val="auto"/>
              </w:rPr>
              <w:t>$26.20</w:t>
            </w:r>
          </w:p>
        </w:tc>
        <w:tc>
          <w:tcPr>
            <w:tcW w:w="1340" w:type="dxa"/>
            <w:vAlign w:val="bottom"/>
            <w:tcBorders>
              <w:bottom w:val="single" w:sz="8" w:color="E8F0F8"/>
            </w:tcBorders>
            <w:shd w:val="clear" w:color="auto" w:fill="E8F0F8"/>
          </w:tcPr>
          <w:p>
            <w:pPr>
              <w:jc w:val="right"/>
              <w:ind w:right="122"/>
              <w:spacing w:after="0"/>
              <w:rPr>
                <w:sz w:val="20"/>
                <w:szCs w:val="20"/>
                <w:color w:val="auto"/>
              </w:rPr>
            </w:pPr>
            <w:r>
              <w:rPr>
                <w:rFonts w:ascii="Arial" w:cs="Arial" w:eastAsia="Arial" w:hAnsi="Arial"/>
                <w:sz w:val="16"/>
                <w:szCs w:val="16"/>
                <w:color w:val="auto"/>
              </w:rPr>
              <w:t>$21.81</w:t>
            </w:r>
          </w:p>
        </w:tc>
      </w:tr>
      <w:tr>
        <w:trPr>
          <w:trHeight w:val="237"/>
        </w:trPr>
        <w:tc>
          <w:tcPr>
            <w:tcW w:w="20" w:type="dxa"/>
            <w:vAlign w:val="bottom"/>
          </w:tcPr>
          <w:p>
            <w:pPr>
              <w:spacing w:after="0"/>
              <w:rPr>
                <w:sz w:val="20"/>
                <w:szCs w:val="20"/>
                <w:color w:val="auto"/>
              </w:rPr>
            </w:pPr>
          </w:p>
        </w:tc>
        <w:tc>
          <w:tcPr>
            <w:tcW w:w="83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176"/>
        </w:trPr>
        <w:tc>
          <w:tcPr>
            <w:tcW w:w="20" w:type="dxa"/>
            <w:vAlign w:val="bottom"/>
          </w:tcPr>
          <w:p>
            <w:pPr>
              <w:spacing w:after="0"/>
              <w:rPr>
                <w:sz w:val="15"/>
                <w:szCs w:val="15"/>
                <w:color w:val="auto"/>
              </w:rPr>
            </w:pPr>
          </w:p>
        </w:tc>
        <w:tc>
          <w:tcPr>
            <w:tcW w:w="8360" w:type="dxa"/>
            <w:vAlign w:val="bottom"/>
            <w:shd w:val="clear" w:color="auto" w:fill="1A6DBB"/>
          </w:tcPr>
          <w:p>
            <w:pPr>
              <w:spacing w:after="0"/>
              <w:rPr>
                <w:sz w:val="15"/>
                <w:szCs w:val="15"/>
                <w:color w:val="auto"/>
              </w:rPr>
            </w:pPr>
          </w:p>
        </w:tc>
        <w:tc>
          <w:tcPr>
            <w:tcW w:w="2660" w:type="dxa"/>
            <w:vAlign w:val="bottom"/>
            <w:gridSpan w:val="2"/>
            <w:shd w:val="clear" w:color="auto" w:fill="1A6DBB"/>
          </w:tcPr>
          <w:p>
            <w:pPr>
              <w:jc w:val="right"/>
              <w:ind w:right="302"/>
              <w:spacing w:after="0"/>
              <w:rPr>
                <w:sz w:val="20"/>
                <w:szCs w:val="20"/>
                <w:color w:val="auto"/>
              </w:rPr>
            </w:pPr>
            <w:r>
              <w:rPr>
                <w:rFonts w:ascii="Arial" w:cs="Arial" w:eastAsia="Arial" w:hAnsi="Arial"/>
                <w:sz w:val="14"/>
                <w:szCs w:val="14"/>
                <w:color w:val="FFFFFF"/>
              </w:rPr>
              <w:t>For the Twelve Months Ended</w:t>
            </w:r>
          </w:p>
        </w:tc>
      </w:tr>
      <w:tr>
        <w:trPr>
          <w:trHeight w:val="173"/>
        </w:trPr>
        <w:tc>
          <w:tcPr>
            <w:tcW w:w="20" w:type="dxa"/>
            <w:vAlign w:val="bottom"/>
          </w:tcPr>
          <w:p>
            <w:pPr>
              <w:spacing w:after="0"/>
              <w:rPr>
                <w:sz w:val="15"/>
                <w:szCs w:val="15"/>
                <w:color w:val="auto"/>
              </w:rPr>
            </w:pPr>
          </w:p>
        </w:tc>
        <w:tc>
          <w:tcPr>
            <w:tcW w:w="8360" w:type="dxa"/>
            <w:vAlign w:val="bottom"/>
            <w:shd w:val="clear" w:color="auto" w:fill="1A6DBB"/>
          </w:tcPr>
          <w:p>
            <w:pPr>
              <w:spacing w:after="0"/>
              <w:rPr>
                <w:sz w:val="15"/>
                <w:szCs w:val="15"/>
                <w:color w:val="auto"/>
              </w:rPr>
            </w:pPr>
          </w:p>
        </w:tc>
        <w:tc>
          <w:tcPr>
            <w:tcW w:w="1320" w:type="dxa"/>
            <w:vAlign w:val="bottom"/>
            <w:shd w:val="clear" w:color="auto" w:fill="1A6DBB"/>
          </w:tcPr>
          <w:p>
            <w:pPr>
              <w:jc w:val="right"/>
              <w:ind w:right="141"/>
              <w:spacing w:after="0"/>
              <w:rPr>
                <w:sz w:val="20"/>
                <w:szCs w:val="20"/>
                <w:color w:val="auto"/>
              </w:rPr>
            </w:pPr>
            <w:r>
              <w:rPr>
                <w:rFonts w:ascii="Arial" w:cs="Arial" w:eastAsia="Arial" w:hAnsi="Arial"/>
                <w:sz w:val="14"/>
                <w:szCs w:val="14"/>
                <w:color w:val="FFFFFF"/>
              </w:rPr>
              <w:t>December 31,</w:t>
            </w:r>
          </w:p>
        </w:tc>
        <w:tc>
          <w:tcPr>
            <w:tcW w:w="1340" w:type="dxa"/>
            <w:vAlign w:val="bottom"/>
            <w:shd w:val="clear" w:color="auto" w:fill="1A6DBB"/>
          </w:tcPr>
          <w:p>
            <w:pPr>
              <w:jc w:val="right"/>
              <w:ind w:right="162"/>
              <w:spacing w:after="0"/>
              <w:rPr>
                <w:sz w:val="20"/>
                <w:szCs w:val="20"/>
                <w:color w:val="auto"/>
              </w:rPr>
            </w:pPr>
            <w:r>
              <w:rPr>
                <w:rFonts w:ascii="Arial" w:cs="Arial" w:eastAsia="Arial" w:hAnsi="Arial"/>
                <w:sz w:val="14"/>
                <w:szCs w:val="14"/>
                <w:color w:val="FFFFFF"/>
              </w:rPr>
              <w:t>December 31,</w:t>
            </w:r>
          </w:p>
        </w:tc>
      </w:tr>
      <w:tr>
        <w:trPr>
          <w:trHeight w:val="178"/>
        </w:trPr>
        <w:tc>
          <w:tcPr>
            <w:tcW w:w="20" w:type="dxa"/>
            <w:vAlign w:val="bottom"/>
          </w:tcPr>
          <w:p>
            <w:pPr>
              <w:spacing w:after="0"/>
              <w:rPr>
                <w:sz w:val="15"/>
                <w:szCs w:val="15"/>
                <w:color w:val="auto"/>
              </w:rPr>
            </w:pPr>
          </w:p>
        </w:tc>
        <w:tc>
          <w:tcPr>
            <w:tcW w:w="8360" w:type="dxa"/>
            <w:vAlign w:val="bottom"/>
            <w:shd w:val="clear" w:color="auto" w:fill="1A6DBB"/>
          </w:tcPr>
          <w:p>
            <w:pPr>
              <w:spacing w:after="0"/>
              <w:rPr>
                <w:sz w:val="15"/>
                <w:szCs w:val="15"/>
                <w:color w:val="auto"/>
              </w:rPr>
            </w:pPr>
          </w:p>
        </w:tc>
        <w:tc>
          <w:tcPr>
            <w:tcW w:w="1320" w:type="dxa"/>
            <w:vAlign w:val="bottom"/>
            <w:shd w:val="clear" w:color="auto" w:fill="1A6DBB"/>
          </w:tcPr>
          <w:p>
            <w:pPr>
              <w:jc w:val="right"/>
              <w:ind w:right="421"/>
              <w:spacing w:after="0"/>
              <w:rPr>
                <w:sz w:val="20"/>
                <w:szCs w:val="20"/>
                <w:color w:val="auto"/>
              </w:rPr>
            </w:pPr>
            <w:r>
              <w:rPr>
                <w:rFonts w:ascii="Arial" w:cs="Arial" w:eastAsia="Arial" w:hAnsi="Arial"/>
                <w:sz w:val="14"/>
                <w:szCs w:val="14"/>
                <w:color w:val="FFFFFF"/>
              </w:rPr>
              <w:t>2018</w:t>
            </w:r>
          </w:p>
        </w:tc>
        <w:tc>
          <w:tcPr>
            <w:tcW w:w="1340" w:type="dxa"/>
            <w:vAlign w:val="bottom"/>
            <w:shd w:val="clear" w:color="auto" w:fill="1A6DBB"/>
          </w:tcPr>
          <w:p>
            <w:pPr>
              <w:jc w:val="right"/>
              <w:ind w:right="362"/>
              <w:spacing w:after="0" w:line="179" w:lineRule="exact"/>
              <w:rPr>
                <w:sz w:val="20"/>
                <w:szCs w:val="20"/>
                <w:color w:val="auto"/>
              </w:rPr>
            </w:pPr>
            <w:r>
              <w:rPr>
                <w:rFonts w:ascii="Arial" w:cs="Arial" w:eastAsia="Arial" w:hAnsi="Arial"/>
                <w:sz w:val="12"/>
                <w:szCs w:val="12"/>
                <w:color w:val="FFFFFF"/>
              </w:rPr>
              <w:t>2017</w:t>
            </w:r>
            <w:r>
              <w:rPr>
                <w:rFonts w:ascii="Arial" w:cs="Arial" w:eastAsia="Arial" w:hAnsi="Arial"/>
                <w:sz w:val="20"/>
                <w:szCs w:val="20"/>
                <w:color w:val="FFFFFF"/>
                <w:vertAlign w:val="superscript"/>
              </w:rPr>
              <w:t>(1)</w:t>
            </w:r>
          </w:p>
        </w:tc>
      </w:tr>
      <w:tr>
        <w:trPr>
          <w:trHeight w:val="250"/>
        </w:trPr>
        <w:tc>
          <w:tcPr>
            <w:tcW w:w="20" w:type="dxa"/>
            <w:vAlign w:val="bottom"/>
          </w:tcPr>
          <w:p>
            <w:pPr>
              <w:spacing w:after="0"/>
              <w:rPr>
                <w:sz w:val="21"/>
                <w:szCs w:val="21"/>
                <w:color w:val="auto"/>
              </w:rPr>
            </w:pPr>
          </w:p>
        </w:tc>
        <w:tc>
          <w:tcPr>
            <w:tcW w:w="8360" w:type="dxa"/>
            <w:vAlign w:val="bottom"/>
            <w:tcBorders>
              <w:bottom w:val="single" w:sz="8" w:color="E8F0F8"/>
            </w:tcBorders>
            <w:shd w:val="clear" w:color="auto" w:fill="E8F0F8"/>
          </w:tcPr>
          <w:p>
            <w:pPr>
              <w:ind w:left="60"/>
              <w:spacing w:after="0"/>
              <w:rPr>
                <w:sz w:val="20"/>
                <w:szCs w:val="20"/>
                <w:color w:val="auto"/>
              </w:rPr>
            </w:pPr>
            <w:r>
              <w:rPr>
                <w:rFonts w:ascii="Arial" w:cs="Arial" w:eastAsia="Arial" w:hAnsi="Arial"/>
                <w:sz w:val="16"/>
                <w:szCs w:val="16"/>
                <w:color w:val="auto"/>
              </w:rPr>
              <w:t>GAAP net income attributable to Biogen Inc.</w:t>
            </w:r>
          </w:p>
        </w:tc>
        <w:tc>
          <w:tcPr>
            <w:tcW w:w="1320" w:type="dxa"/>
            <w:vAlign w:val="bottom"/>
            <w:tcBorders>
              <w:bottom w:val="single" w:sz="8" w:color="E8F0F8"/>
            </w:tcBorders>
            <w:shd w:val="clear" w:color="auto" w:fill="E8F0F8"/>
          </w:tcPr>
          <w:p>
            <w:pPr>
              <w:jc w:val="right"/>
              <w:ind w:right="101"/>
              <w:spacing w:after="0"/>
              <w:rPr>
                <w:sz w:val="20"/>
                <w:szCs w:val="20"/>
                <w:color w:val="auto"/>
              </w:rPr>
            </w:pPr>
            <w:r>
              <w:rPr>
                <w:rFonts w:ascii="Arial" w:cs="Arial" w:eastAsia="Arial" w:hAnsi="Arial"/>
                <w:sz w:val="16"/>
                <w:szCs w:val="16"/>
                <w:color w:val="auto"/>
              </w:rPr>
              <w:t>$4,430.7</w:t>
            </w:r>
          </w:p>
        </w:tc>
        <w:tc>
          <w:tcPr>
            <w:tcW w:w="1340" w:type="dxa"/>
            <w:vAlign w:val="bottom"/>
            <w:tcBorders>
              <w:bottom w:val="single" w:sz="8" w:color="E8F0F8"/>
            </w:tcBorders>
            <w:shd w:val="clear" w:color="auto" w:fill="E8F0F8"/>
          </w:tcPr>
          <w:p>
            <w:pPr>
              <w:jc w:val="right"/>
              <w:ind w:right="122"/>
              <w:spacing w:after="0"/>
              <w:rPr>
                <w:sz w:val="20"/>
                <w:szCs w:val="20"/>
                <w:color w:val="auto"/>
              </w:rPr>
            </w:pPr>
            <w:r>
              <w:rPr>
                <w:rFonts w:ascii="Arial" w:cs="Arial" w:eastAsia="Arial" w:hAnsi="Arial"/>
                <w:sz w:val="16"/>
                <w:szCs w:val="16"/>
                <w:color w:val="auto"/>
              </w:rPr>
              <w:t>$2,539.1</w:t>
            </w:r>
          </w:p>
        </w:tc>
      </w:tr>
      <w:tr>
        <w:trPr>
          <w:trHeight w:val="250"/>
        </w:trPr>
        <w:tc>
          <w:tcPr>
            <w:tcW w:w="20" w:type="dxa"/>
            <w:vAlign w:val="bottom"/>
          </w:tcPr>
          <w:p>
            <w:pPr>
              <w:spacing w:after="0"/>
              <w:rPr>
                <w:sz w:val="21"/>
                <w:szCs w:val="21"/>
                <w:color w:val="auto"/>
              </w:rPr>
            </w:pPr>
          </w:p>
        </w:tc>
        <w:tc>
          <w:tcPr>
            <w:tcW w:w="8360" w:type="dxa"/>
            <w:vAlign w:val="bottom"/>
            <w:tcBorders>
              <w:bottom w:val="single" w:sz="8" w:color="BAD3EA"/>
            </w:tcBorders>
            <w:shd w:val="clear" w:color="auto" w:fill="BAD3EA"/>
          </w:tcPr>
          <w:p>
            <w:pPr>
              <w:ind w:left="300"/>
              <w:spacing w:after="0"/>
              <w:rPr>
                <w:sz w:val="20"/>
                <w:szCs w:val="20"/>
                <w:color w:val="auto"/>
              </w:rPr>
            </w:pPr>
            <w:r>
              <w:rPr>
                <w:rFonts w:ascii="Arial" w:cs="Arial" w:eastAsia="Arial" w:hAnsi="Arial"/>
                <w:sz w:val="16"/>
                <w:szCs w:val="16"/>
                <w:color w:val="auto"/>
              </w:rPr>
              <w:t>Adjustments:</w:t>
            </w:r>
          </w:p>
        </w:tc>
        <w:tc>
          <w:tcPr>
            <w:tcW w:w="1320" w:type="dxa"/>
            <w:vAlign w:val="bottom"/>
            <w:tcBorders>
              <w:bottom w:val="single" w:sz="8" w:color="BAD3EA"/>
            </w:tcBorders>
            <w:shd w:val="clear" w:color="auto" w:fill="BAD3EA"/>
          </w:tcPr>
          <w:p>
            <w:pPr>
              <w:spacing w:after="0"/>
              <w:rPr>
                <w:sz w:val="21"/>
                <w:szCs w:val="21"/>
                <w:color w:val="auto"/>
              </w:rPr>
            </w:pPr>
          </w:p>
        </w:tc>
        <w:tc>
          <w:tcPr>
            <w:tcW w:w="1340" w:type="dxa"/>
            <w:vAlign w:val="bottom"/>
            <w:tcBorders>
              <w:bottom w:val="single" w:sz="8" w:color="BAD3EA"/>
            </w:tcBorders>
            <w:shd w:val="clear" w:color="auto" w:fill="BAD3EA"/>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8360" w:type="dxa"/>
            <w:vAlign w:val="bottom"/>
            <w:shd w:val="clear" w:color="auto" w:fill="E8F0F8"/>
          </w:tcPr>
          <w:p>
            <w:pPr>
              <w:ind w:left="640"/>
              <w:spacing w:after="0" w:line="270" w:lineRule="exact"/>
              <w:rPr>
                <w:sz w:val="20"/>
                <w:szCs w:val="20"/>
                <w:color w:val="auto"/>
              </w:rPr>
            </w:pPr>
            <w:r>
              <w:rPr>
                <w:rFonts w:ascii="Arial" w:cs="Arial" w:eastAsia="Arial" w:hAnsi="Arial"/>
                <w:sz w:val="16"/>
                <w:szCs w:val="16"/>
                <w:color w:val="auto"/>
              </w:rPr>
              <w:t>Amortization of acquired intangible assets</w:t>
            </w:r>
            <w:r>
              <w:rPr>
                <w:rFonts w:ascii="Arial" w:cs="Arial" w:eastAsia="Arial" w:hAnsi="Arial"/>
                <w:sz w:val="27"/>
                <w:szCs w:val="27"/>
                <w:color w:val="auto"/>
                <w:vertAlign w:val="superscript"/>
              </w:rPr>
              <w:t>A, B</w:t>
            </w:r>
          </w:p>
        </w:tc>
        <w:tc>
          <w:tcPr>
            <w:tcW w:w="1320" w:type="dxa"/>
            <w:vAlign w:val="bottom"/>
            <w:shd w:val="clear" w:color="auto" w:fill="E8F0F8"/>
          </w:tcPr>
          <w:p>
            <w:pPr>
              <w:jc w:val="right"/>
              <w:ind w:right="101"/>
              <w:spacing w:after="0"/>
              <w:rPr>
                <w:sz w:val="20"/>
                <w:szCs w:val="20"/>
                <w:color w:val="auto"/>
              </w:rPr>
            </w:pPr>
            <w:r>
              <w:rPr>
                <w:rFonts w:ascii="Arial" w:cs="Arial" w:eastAsia="Arial" w:hAnsi="Arial"/>
                <w:sz w:val="16"/>
                <w:szCs w:val="16"/>
                <w:color w:val="auto"/>
              </w:rPr>
              <w:t>747.3</w:t>
            </w:r>
          </w:p>
        </w:tc>
        <w:tc>
          <w:tcPr>
            <w:tcW w:w="1340" w:type="dxa"/>
            <w:vAlign w:val="bottom"/>
            <w:shd w:val="clear" w:color="auto" w:fill="E8F0F8"/>
          </w:tcPr>
          <w:p>
            <w:pPr>
              <w:jc w:val="right"/>
              <w:ind w:right="122"/>
              <w:spacing w:after="0"/>
              <w:rPr>
                <w:sz w:val="20"/>
                <w:szCs w:val="20"/>
                <w:color w:val="auto"/>
              </w:rPr>
            </w:pPr>
            <w:r>
              <w:rPr>
                <w:rFonts w:ascii="Arial" w:cs="Arial" w:eastAsia="Arial" w:hAnsi="Arial"/>
                <w:sz w:val="16"/>
                <w:szCs w:val="16"/>
                <w:color w:val="auto"/>
              </w:rPr>
              <w:t>814.7</w:t>
            </w:r>
          </w:p>
        </w:tc>
      </w:tr>
      <w:tr>
        <w:trPr>
          <w:trHeight w:val="250"/>
        </w:trPr>
        <w:tc>
          <w:tcPr>
            <w:tcW w:w="20" w:type="dxa"/>
            <w:vAlign w:val="bottom"/>
          </w:tcPr>
          <w:p>
            <w:pPr>
              <w:spacing w:after="0"/>
              <w:rPr>
                <w:sz w:val="21"/>
                <w:szCs w:val="21"/>
                <w:color w:val="auto"/>
              </w:rPr>
            </w:pPr>
          </w:p>
        </w:tc>
        <w:tc>
          <w:tcPr>
            <w:tcW w:w="8360" w:type="dxa"/>
            <w:vAlign w:val="bottom"/>
            <w:tcBorders>
              <w:bottom w:val="single" w:sz="8" w:color="BAD3EA"/>
            </w:tcBorders>
            <w:shd w:val="clear" w:color="auto" w:fill="BAD3EA"/>
          </w:tcPr>
          <w:p>
            <w:pPr>
              <w:ind w:left="640"/>
              <w:spacing w:after="0"/>
              <w:rPr>
                <w:sz w:val="20"/>
                <w:szCs w:val="20"/>
                <w:color w:val="auto"/>
              </w:rPr>
            </w:pPr>
            <w:r>
              <w:rPr>
                <w:rFonts w:ascii="Arial" w:cs="Arial" w:eastAsia="Arial" w:hAnsi="Arial"/>
                <w:sz w:val="16"/>
                <w:szCs w:val="16"/>
                <w:color w:val="auto"/>
              </w:rPr>
              <w:t>Acquired in-process research and development</w:t>
            </w:r>
          </w:p>
        </w:tc>
        <w:tc>
          <w:tcPr>
            <w:tcW w:w="1320" w:type="dxa"/>
            <w:vAlign w:val="bottom"/>
            <w:tcBorders>
              <w:bottom w:val="single" w:sz="8" w:color="BAD3EA"/>
            </w:tcBorders>
            <w:shd w:val="clear" w:color="auto" w:fill="BAD3EA"/>
          </w:tcPr>
          <w:p>
            <w:pPr>
              <w:jc w:val="right"/>
              <w:ind w:right="101"/>
              <w:spacing w:after="0"/>
              <w:rPr>
                <w:sz w:val="20"/>
                <w:szCs w:val="20"/>
                <w:color w:val="auto"/>
              </w:rPr>
            </w:pPr>
            <w:r>
              <w:rPr>
                <w:rFonts w:ascii="Arial" w:cs="Arial" w:eastAsia="Arial" w:hAnsi="Arial"/>
                <w:sz w:val="16"/>
                <w:szCs w:val="16"/>
                <w:color w:val="auto"/>
              </w:rPr>
              <w:t>112.5</w:t>
            </w:r>
          </w:p>
        </w:tc>
        <w:tc>
          <w:tcPr>
            <w:tcW w:w="1340" w:type="dxa"/>
            <w:vAlign w:val="bottom"/>
            <w:tcBorders>
              <w:bottom w:val="single" w:sz="8" w:color="BAD3EA"/>
            </w:tcBorders>
            <w:shd w:val="clear" w:color="auto" w:fill="BAD3EA"/>
          </w:tcPr>
          <w:p>
            <w:pPr>
              <w:jc w:val="right"/>
              <w:ind w:right="122"/>
              <w:spacing w:after="0"/>
              <w:rPr>
                <w:sz w:val="20"/>
                <w:szCs w:val="20"/>
                <w:color w:val="auto"/>
              </w:rPr>
            </w:pPr>
            <w:r>
              <w:rPr>
                <w:rFonts w:ascii="Arial" w:cs="Arial" w:eastAsia="Arial" w:hAnsi="Arial"/>
                <w:sz w:val="16"/>
                <w:szCs w:val="16"/>
                <w:color w:val="auto"/>
              </w:rPr>
              <w:t>120.0</w:t>
            </w:r>
          </w:p>
        </w:tc>
      </w:tr>
      <w:tr>
        <w:trPr>
          <w:trHeight w:val="270"/>
        </w:trPr>
        <w:tc>
          <w:tcPr>
            <w:tcW w:w="20" w:type="dxa"/>
            <w:vAlign w:val="bottom"/>
          </w:tcPr>
          <w:p>
            <w:pPr>
              <w:spacing w:after="0"/>
              <w:rPr>
                <w:sz w:val="23"/>
                <w:szCs w:val="23"/>
                <w:color w:val="auto"/>
              </w:rPr>
            </w:pPr>
          </w:p>
        </w:tc>
        <w:tc>
          <w:tcPr>
            <w:tcW w:w="8360" w:type="dxa"/>
            <w:vAlign w:val="bottom"/>
            <w:shd w:val="clear" w:color="auto" w:fill="E8F0F8"/>
          </w:tcPr>
          <w:p>
            <w:pPr>
              <w:ind w:left="640"/>
              <w:spacing w:after="0" w:line="270"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7"/>
                <w:szCs w:val="27"/>
                <w:color w:val="auto"/>
                <w:vertAlign w:val="superscript"/>
              </w:rPr>
              <w:t>C</w:t>
            </w:r>
          </w:p>
        </w:tc>
        <w:tc>
          <w:tcPr>
            <w:tcW w:w="1320" w:type="dxa"/>
            <w:vAlign w:val="bottom"/>
            <w:shd w:val="clear" w:color="auto" w:fill="E8F0F8"/>
          </w:tcPr>
          <w:p>
            <w:pPr>
              <w:jc w:val="right"/>
              <w:ind w:right="101"/>
              <w:spacing w:after="0"/>
              <w:rPr>
                <w:sz w:val="20"/>
                <w:szCs w:val="20"/>
                <w:color w:val="auto"/>
              </w:rPr>
            </w:pPr>
            <w:r>
              <w:rPr>
                <w:rFonts w:ascii="Arial" w:cs="Arial" w:eastAsia="Arial" w:hAnsi="Arial"/>
                <w:sz w:val="16"/>
                <w:szCs w:val="16"/>
                <w:color w:val="auto"/>
              </w:rPr>
              <w:t>10.0</w:t>
            </w:r>
          </w:p>
        </w:tc>
        <w:tc>
          <w:tcPr>
            <w:tcW w:w="1340" w:type="dxa"/>
            <w:vAlign w:val="bottom"/>
            <w:shd w:val="clear" w:color="auto" w:fill="E8F0F8"/>
          </w:tcPr>
          <w:p>
            <w:pPr>
              <w:jc w:val="right"/>
              <w:ind w:right="122"/>
              <w:spacing w:after="0"/>
              <w:rPr>
                <w:sz w:val="20"/>
                <w:szCs w:val="20"/>
                <w:color w:val="auto"/>
              </w:rPr>
            </w:pPr>
            <w:r>
              <w:rPr>
                <w:rFonts w:ascii="Arial" w:cs="Arial" w:eastAsia="Arial" w:hAnsi="Arial"/>
                <w:sz w:val="16"/>
                <w:szCs w:val="16"/>
                <w:color w:val="auto"/>
              </w:rPr>
              <w:t>—</w:t>
            </w:r>
          </w:p>
        </w:tc>
      </w:tr>
      <w:tr>
        <w:trPr>
          <w:trHeight w:val="270"/>
        </w:trPr>
        <w:tc>
          <w:tcPr>
            <w:tcW w:w="20" w:type="dxa"/>
            <w:vAlign w:val="bottom"/>
          </w:tcPr>
          <w:p>
            <w:pPr>
              <w:spacing w:after="0"/>
              <w:rPr>
                <w:sz w:val="23"/>
                <w:szCs w:val="23"/>
                <w:color w:val="auto"/>
              </w:rPr>
            </w:pPr>
          </w:p>
        </w:tc>
        <w:tc>
          <w:tcPr>
            <w:tcW w:w="8360" w:type="dxa"/>
            <w:vAlign w:val="bottom"/>
            <w:shd w:val="clear" w:color="auto" w:fill="BAD3EA"/>
          </w:tcPr>
          <w:p>
            <w:pPr>
              <w:ind w:left="640"/>
              <w:spacing w:after="0" w:line="270" w:lineRule="exact"/>
              <w:rPr>
                <w:sz w:val="20"/>
                <w:szCs w:val="20"/>
                <w:color w:val="auto"/>
              </w:rPr>
            </w:pPr>
            <w:r>
              <w:rPr>
                <w:rFonts w:ascii="Arial" w:cs="Arial" w:eastAsia="Arial" w:hAnsi="Arial"/>
                <w:sz w:val="16"/>
                <w:szCs w:val="16"/>
                <w:color w:val="auto"/>
              </w:rPr>
              <w:t>(Gain) loss on fair value remeasurement of contingent consideration</w:t>
            </w:r>
            <w:r>
              <w:rPr>
                <w:rFonts w:ascii="Arial" w:cs="Arial" w:eastAsia="Arial" w:hAnsi="Arial"/>
                <w:sz w:val="27"/>
                <w:szCs w:val="27"/>
                <w:color w:val="auto"/>
                <w:vertAlign w:val="superscript"/>
              </w:rPr>
              <w:t>D</w:t>
            </w:r>
          </w:p>
        </w:tc>
        <w:tc>
          <w:tcPr>
            <w:tcW w:w="1320" w:type="dxa"/>
            <w:vAlign w:val="bottom"/>
            <w:shd w:val="clear" w:color="auto" w:fill="BAD3EA"/>
          </w:tcPr>
          <w:p>
            <w:pPr>
              <w:jc w:val="right"/>
              <w:ind w:right="101"/>
              <w:spacing w:after="0"/>
              <w:rPr>
                <w:sz w:val="20"/>
                <w:szCs w:val="20"/>
                <w:color w:val="auto"/>
              </w:rPr>
            </w:pPr>
            <w:r>
              <w:rPr>
                <w:rFonts w:ascii="Arial" w:cs="Arial" w:eastAsia="Arial" w:hAnsi="Arial"/>
                <w:sz w:val="16"/>
                <w:szCs w:val="16"/>
                <w:color w:val="auto"/>
              </w:rPr>
              <w:t>(12.3)</w:t>
            </w:r>
          </w:p>
        </w:tc>
        <w:tc>
          <w:tcPr>
            <w:tcW w:w="1340" w:type="dxa"/>
            <w:vAlign w:val="bottom"/>
            <w:shd w:val="clear" w:color="auto" w:fill="BAD3EA"/>
          </w:tcPr>
          <w:p>
            <w:pPr>
              <w:jc w:val="right"/>
              <w:ind w:right="122"/>
              <w:spacing w:after="0"/>
              <w:rPr>
                <w:sz w:val="20"/>
                <w:szCs w:val="20"/>
                <w:color w:val="auto"/>
              </w:rPr>
            </w:pPr>
            <w:r>
              <w:rPr>
                <w:rFonts w:ascii="Arial" w:cs="Arial" w:eastAsia="Arial" w:hAnsi="Arial"/>
                <w:sz w:val="16"/>
                <w:szCs w:val="16"/>
                <w:color w:val="auto"/>
              </w:rPr>
              <w:t>62.7</w:t>
            </w:r>
          </w:p>
        </w:tc>
      </w:tr>
      <w:tr>
        <w:trPr>
          <w:trHeight w:val="270"/>
        </w:trPr>
        <w:tc>
          <w:tcPr>
            <w:tcW w:w="20" w:type="dxa"/>
            <w:vAlign w:val="bottom"/>
          </w:tcPr>
          <w:p>
            <w:pPr>
              <w:spacing w:after="0"/>
              <w:rPr>
                <w:sz w:val="23"/>
                <w:szCs w:val="23"/>
                <w:color w:val="auto"/>
              </w:rPr>
            </w:pPr>
          </w:p>
        </w:tc>
        <w:tc>
          <w:tcPr>
            <w:tcW w:w="8360" w:type="dxa"/>
            <w:vAlign w:val="bottom"/>
            <w:shd w:val="clear" w:color="auto" w:fill="E8F0F8"/>
          </w:tcPr>
          <w:p>
            <w:pPr>
              <w:ind w:left="640"/>
              <w:spacing w:after="0" w:line="270" w:lineRule="exact"/>
              <w:rPr>
                <w:sz w:val="20"/>
                <w:szCs w:val="20"/>
                <w:color w:val="auto"/>
              </w:rPr>
            </w:pPr>
            <w:r>
              <w:rPr>
                <w:rFonts w:ascii="Arial" w:cs="Arial" w:eastAsia="Arial" w:hAnsi="Arial"/>
                <w:sz w:val="16"/>
                <w:szCs w:val="16"/>
                <w:color w:val="auto"/>
              </w:rPr>
              <w:t>Premium paid on purchase of Ionis common stock</w:t>
            </w:r>
            <w:r>
              <w:rPr>
                <w:rFonts w:ascii="Arial" w:cs="Arial" w:eastAsia="Arial" w:hAnsi="Arial"/>
                <w:sz w:val="27"/>
                <w:szCs w:val="27"/>
                <w:color w:val="auto"/>
                <w:vertAlign w:val="superscript"/>
              </w:rPr>
              <w:t>E</w:t>
            </w:r>
          </w:p>
        </w:tc>
        <w:tc>
          <w:tcPr>
            <w:tcW w:w="1320" w:type="dxa"/>
            <w:vAlign w:val="bottom"/>
            <w:shd w:val="clear" w:color="auto" w:fill="E8F0F8"/>
          </w:tcPr>
          <w:p>
            <w:pPr>
              <w:jc w:val="right"/>
              <w:ind w:right="101"/>
              <w:spacing w:after="0"/>
              <w:rPr>
                <w:sz w:val="20"/>
                <w:szCs w:val="20"/>
                <w:color w:val="auto"/>
              </w:rPr>
            </w:pPr>
            <w:r>
              <w:rPr>
                <w:rFonts w:ascii="Arial" w:cs="Arial" w:eastAsia="Arial" w:hAnsi="Arial"/>
                <w:sz w:val="16"/>
                <w:szCs w:val="16"/>
                <w:color w:val="auto"/>
              </w:rPr>
              <w:t>162.1</w:t>
            </w:r>
          </w:p>
        </w:tc>
        <w:tc>
          <w:tcPr>
            <w:tcW w:w="1340" w:type="dxa"/>
            <w:vAlign w:val="bottom"/>
            <w:shd w:val="clear" w:color="auto" w:fill="E8F0F8"/>
          </w:tcPr>
          <w:p>
            <w:pPr>
              <w:jc w:val="right"/>
              <w:ind w:right="122"/>
              <w:spacing w:after="0"/>
              <w:rPr>
                <w:sz w:val="20"/>
                <w:szCs w:val="20"/>
                <w:color w:val="auto"/>
              </w:rPr>
            </w:pPr>
            <w:r>
              <w:rPr>
                <w:rFonts w:ascii="Arial" w:cs="Arial" w:eastAsia="Arial" w:hAnsi="Arial"/>
                <w:sz w:val="16"/>
                <w:szCs w:val="16"/>
                <w:color w:val="auto"/>
              </w:rPr>
              <w:t>—</w:t>
            </w:r>
          </w:p>
        </w:tc>
      </w:tr>
      <w:tr>
        <w:trPr>
          <w:trHeight w:val="250"/>
        </w:trPr>
        <w:tc>
          <w:tcPr>
            <w:tcW w:w="20" w:type="dxa"/>
            <w:vAlign w:val="bottom"/>
          </w:tcPr>
          <w:p>
            <w:pPr>
              <w:spacing w:after="0"/>
              <w:rPr>
                <w:sz w:val="21"/>
                <w:szCs w:val="21"/>
                <w:color w:val="auto"/>
              </w:rPr>
            </w:pPr>
          </w:p>
        </w:tc>
        <w:tc>
          <w:tcPr>
            <w:tcW w:w="8360" w:type="dxa"/>
            <w:vAlign w:val="bottom"/>
            <w:tcBorders>
              <w:bottom w:val="single" w:sz="8" w:color="BAD3EA"/>
            </w:tcBorders>
            <w:shd w:val="clear" w:color="auto" w:fill="BAD3EA"/>
          </w:tcPr>
          <w:p>
            <w:pPr>
              <w:ind w:left="640"/>
              <w:spacing w:after="0"/>
              <w:rPr>
                <w:sz w:val="20"/>
                <w:szCs w:val="20"/>
                <w:color w:val="auto"/>
              </w:rPr>
            </w:pPr>
            <w:r>
              <w:rPr>
                <w:rFonts w:ascii="Arial" w:cs="Arial" w:eastAsia="Arial" w:hAnsi="Arial"/>
                <w:sz w:val="16"/>
                <w:szCs w:val="16"/>
                <w:color w:val="auto"/>
              </w:rPr>
              <w:t>(Gain) loss on equity security investments</w:t>
            </w:r>
          </w:p>
        </w:tc>
        <w:tc>
          <w:tcPr>
            <w:tcW w:w="1320" w:type="dxa"/>
            <w:vAlign w:val="bottom"/>
            <w:tcBorders>
              <w:bottom w:val="single" w:sz="8" w:color="BAD3EA"/>
            </w:tcBorders>
            <w:shd w:val="clear" w:color="auto" w:fill="BAD3EA"/>
          </w:tcPr>
          <w:p>
            <w:pPr>
              <w:jc w:val="right"/>
              <w:ind w:right="101"/>
              <w:spacing w:after="0"/>
              <w:rPr>
                <w:sz w:val="20"/>
                <w:szCs w:val="20"/>
                <w:color w:val="auto"/>
              </w:rPr>
            </w:pPr>
            <w:r>
              <w:rPr>
                <w:rFonts w:ascii="Arial" w:cs="Arial" w:eastAsia="Arial" w:hAnsi="Arial"/>
                <w:sz w:val="16"/>
                <w:szCs w:val="16"/>
                <w:color w:val="auto"/>
              </w:rPr>
              <w:t>(128.0)</w:t>
            </w:r>
          </w:p>
        </w:tc>
        <w:tc>
          <w:tcPr>
            <w:tcW w:w="1340" w:type="dxa"/>
            <w:vAlign w:val="bottom"/>
            <w:tcBorders>
              <w:bottom w:val="single" w:sz="8" w:color="BAD3EA"/>
            </w:tcBorders>
            <w:shd w:val="clear" w:color="auto" w:fill="BAD3EA"/>
          </w:tcPr>
          <w:p>
            <w:pPr>
              <w:jc w:val="right"/>
              <w:ind w:right="122"/>
              <w:spacing w:after="0"/>
              <w:rPr>
                <w:sz w:val="20"/>
                <w:szCs w:val="20"/>
                <w:color w:val="auto"/>
              </w:rPr>
            </w:pPr>
            <w:r>
              <w:rPr>
                <w:rFonts w:ascii="Arial" w:cs="Arial" w:eastAsia="Arial" w:hAnsi="Arial"/>
                <w:sz w:val="16"/>
                <w:szCs w:val="16"/>
                <w:color w:val="auto"/>
              </w:rPr>
              <w:t>—</w:t>
            </w:r>
          </w:p>
        </w:tc>
      </w:tr>
      <w:tr>
        <w:trPr>
          <w:trHeight w:val="270"/>
        </w:trPr>
        <w:tc>
          <w:tcPr>
            <w:tcW w:w="20" w:type="dxa"/>
            <w:vAlign w:val="bottom"/>
          </w:tcPr>
          <w:p>
            <w:pPr>
              <w:spacing w:after="0"/>
              <w:rPr>
                <w:sz w:val="23"/>
                <w:szCs w:val="23"/>
                <w:color w:val="auto"/>
              </w:rPr>
            </w:pPr>
          </w:p>
        </w:tc>
        <w:tc>
          <w:tcPr>
            <w:tcW w:w="8360" w:type="dxa"/>
            <w:vAlign w:val="bottom"/>
            <w:shd w:val="clear" w:color="auto" w:fill="E8F0F8"/>
          </w:tcPr>
          <w:p>
            <w:pPr>
              <w:ind w:left="640"/>
              <w:spacing w:after="0" w:line="270" w:lineRule="exact"/>
              <w:rPr>
                <w:sz w:val="20"/>
                <w:szCs w:val="20"/>
                <w:color w:val="auto"/>
              </w:rPr>
            </w:pPr>
            <w:r>
              <w:rPr>
                <w:rFonts w:ascii="Arial" w:cs="Arial" w:eastAsia="Arial" w:hAnsi="Arial"/>
                <w:sz w:val="16"/>
                <w:szCs w:val="16"/>
                <w:color w:val="auto"/>
              </w:rPr>
              <w:t>Net distribution to noncontrolling interests</w:t>
            </w:r>
            <w:r>
              <w:rPr>
                <w:rFonts w:ascii="Arial" w:cs="Arial" w:eastAsia="Arial" w:hAnsi="Arial"/>
                <w:sz w:val="27"/>
                <w:szCs w:val="27"/>
                <w:color w:val="auto"/>
                <w:vertAlign w:val="superscript"/>
              </w:rPr>
              <w:t>F</w:t>
            </w:r>
          </w:p>
        </w:tc>
        <w:tc>
          <w:tcPr>
            <w:tcW w:w="1320" w:type="dxa"/>
            <w:vAlign w:val="bottom"/>
            <w:shd w:val="clear" w:color="auto" w:fill="E8F0F8"/>
          </w:tcPr>
          <w:p>
            <w:pPr>
              <w:jc w:val="right"/>
              <w:ind w:right="101"/>
              <w:spacing w:after="0"/>
              <w:rPr>
                <w:sz w:val="20"/>
                <w:szCs w:val="20"/>
                <w:color w:val="auto"/>
              </w:rPr>
            </w:pPr>
            <w:r>
              <w:rPr>
                <w:rFonts w:ascii="Arial" w:cs="Arial" w:eastAsia="Arial" w:hAnsi="Arial"/>
                <w:sz w:val="16"/>
                <w:szCs w:val="16"/>
                <w:color w:val="auto"/>
              </w:rPr>
              <w:t>43.7</w:t>
            </w:r>
          </w:p>
        </w:tc>
        <w:tc>
          <w:tcPr>
            <w:tcW w:w="1340" w:type="dxa"/>
            <w:vAlign w:val="bottom"/>
            <w:shd w:val="clear" w:color="auto" w:fill="E8F0F8"/>
          </w:tcPr>
          <w:p>
            <w:pPr>
              <w:jc w:val="right"/>
              <w:ind w:right="122"/>
              <w:spacing w:after="0"/>
              <w:rPr>
                <w:sz w:val="20"/>
                <w:szCs w:val="20"/>
                <w:color w:val="auto"/>
              </w:rPr>
            </w:pPr>
            <w:r>
              <w:rPr>
                <w:rFonts w:ascii="Arial" w:cs="Arial" w:eastAsia="Arial" w:hAnsi="Arial"/>
                <w:sz w:val="16"/>
                <w:szCs w:val="16"/>
                <w:color w:val="auto"/>
              </w:rPr>
              <w:t>132.4</w:t>
            </w:r>
          </w:p>
        </w:tc>
      </w:tr>
      <w:tr>
        <w:trPr>
          <w:trHeight w:val="250"/>
        </w:trPr>
        <w:tc>
          <w:tcPr>
            <w:tcW w:w="20" w:type="dxa"/>
            <w:vAlign w:val="bottom"/>
          </w:tcPr>
          <w:p>
            <w:pPr>
              <w:spacing w:after="0"/>
              <w:rPr>
                <w:sz w:val="21"/>
                <w:szCs w:val="21"/>
                <w:color w:val="auto"/>
              </w:rPr>
            </w:pPr>
          </w:p>
        </w:tc>
        <w:tc>
          <w:tcPr>
            <w:tcW w:w="8360" w:type="dxa"/>
            <w:vAlign w:val="bottom"/>
            <w:tcBorders>
              <w:bottom w:val="single" w:sz="8" w:color="BAD3EA"/>
            </w:tcBorders>
            <w:shd w:val="clear" w:color="auto" w:fill="BAD3EA"/>
          </w:tcPr>
          <w:p>
            <w:pPr>
              <w:ind w:left="640"/>
              <w:spacing w:after="0"/>
              <w:rPr>
                <w:sz w:val="20"/>
                <w:szCs w:val="20"/>
                <w:color w:val="auto"/>
              </w:rPr>
            </w:pPr>
            <w:r>
              <w:rPr>
                <w:rFonts w:ascii="Arial" w:cs="Arial" w:eastAsia="Arial" w:hAnsi="Arial"/>
                <w:sz w:val="16"/>
                <w:szCs w:val="16"/>
                <w:color w:val="auto"/>
              </w:rPr>
              <w:t>Restructuring, business transformation and other cost saving initiatives:</w:t>
            </w:r>
          </w:p>
        </w:tc>
        <w:tc>
          <w:tcPr>
            <w:tcW w:w="1320" w:type="dxa"/>
            <w:vAlign w:val="bottom"/>
            <w:tcBorders>
              <w:bottom w:val="single" w:sz="8" w:color="BAD3EA"/>
            </w:tcBorders>
            <w:shd w:val="clear" w:color="auto" w:fill="BAD3EA"/>
          </w:tcPr>
          <w:p>
            <w:pPr>
              <w:spacing w:after="0"/>
              <w:rPr>
                <w:sz w:val="21"/>
                <w:szCs w:val="21"/>
                <w:color w:val="auto"/>
              </w:rPr>
            </w:pPr>
          </w:p>
        </w:tc>
        <w:tc>
          <w:tcPr>
            <w:tcW w:w="1340" w:type="dxa"/>
            <w:vAlign w:val="bottom"/>
            <w:tcBorders>
              <w:bottom w:val="single" w:sz="8" w:color="BAD3EA"/>
            </w:tcBorders>
            <w:shd w:val="clear" w:color="auto" w:fill="BAD3EA"/>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8360" w:type="dxa"/>
            <w:vAlign w:val="bottom"/>
            <w:shd w:val="clear" w:color="auto" w:fill="E8F0F8"/>
          </w:tcPr>
          <w:p>
            <w:pPr>
              <w:ind w:left="960"/>
              <w:spacing w:after="0" w:line="270" w:lineRule="exact"/>
              <w:rPr>
                <w:sz w:val="20"/>
                <w:szCs w:val="20"/>
                <w:color w:val="auto"/>
              </w:rPr>
            </w:pPr>
            <w:r>
              <w:rPr>
                <w:rFonts w:ascii="Arial" w:cs="Arial" w:eastAsia="Arial" w:hAnsi="Arial"/>
                <w:sz w:val="16"/>
                <w:szCs w:val="16"/>
                <w:color w:val="auto"/>
              </w:rPr>
              <w:t>2017 corporate strategy implementation</w:t>
            </w:r>
            <w:r>
              <w:rPr>
                <w:rFonts w:ascii="Arial" w:cs="Arial" w:eastAsia="Arial" w:hAnsi="Arial"/>
                <w:sz w:val="27"/>
                <w:szCs w:val="27"/>
                <w:color w:val="auto"/>
                <w:vertAlign w:val="superscript"/>
              </w:rPr>
              <w:t>G</w:t>
            </w:r>
          </w:p>
        </w:tc>
        <w:tc>
          <w:tcPr>
            <w:tcW w:w="1320" w:type="dxa"/>
            <w:vAlign w:val="bottom"/>
            <w:shd w:val="clear" w:color="auto" w:fill="E8F0F8"/>
          </w:tcPr>
          <w:p>
            <w:pPr>
              <w:jc w:val="right"/>
              <w:ind w:right="101"/>
              <w:spacing w:after="0"/>
              <w:rPr>
                <w:sz w:val="20"/>
                <w:szCs w:val="20"/>
                <w:color w:val="auto"/>
              </w:rPr>
            </w:pPr>
            <w:r>
              <w:rPr>
                <w:rFonts w:ascii="Arial" w:cs="Arial" w:eastAsia="Arial" w:hAnsi="Arial"/>
                <w:sz w:val="16"/>
                <w:szCs w:val="16"/>
                <w:color w:val="auto"/>
              </w:rPr>
              <w:t>10.9</w:t>
            </w:r>
          </w:p>
        </w:tc>
        <w:tc>
          <w:tcPr>
            <w:tcW w:w="1340" w:type="dxa"/>
            <w:vAlign w:val="bottom"/>
            <w:shd w:val="clear" w:color="auto" w:fill="E8F0F8"/>
          </w:tcPr>
          <w:p>
            <w:pPr>
              <w:jc w:val="right"/>
              <w:ind w:right="122"/>
              <w:spacing w:after="0"/>
              <w:rPr>
                <w:sz w:val="20"/>
                <w:szCs w:val="20"/>
                <w:color w:val="auto"/>
              </w:rPr>
            </w:pPr>
            <w:r>
              <w:rPr>
                <w:rFonts w:ascii="Arial" w:cs="Arial" w:eastAsia="Arial" w:hAnsi="Arial"/>
                <w:sz w:val="16"/>
                <w:szCs w:val="16"/>
                <w:color w:val="auto"/>
              </w:rPr>
              <w:t>18.5</w:t>
            </w:r>
          </w:p>
        </w:tc>
      </w:tr>
      <w:tr>
        <w:trPr>
          <w:trHeight w:val="270"/>
        </w:trPr>
        <w:tc>
          <w:tcPr>
            <w:tcW w:w="20" w:type="dxa"/>
            <w:vAlign w:val="bottom"/>
          </w:tcPr>
          <w:p>
            <w:pPr>
              <w:spacing w:after="0"/>
              <w:rPr>
                <w:sz w:val="23"/>
                <w:szCs w:val="23"/>
                <w:color w:val="auto"/>
              </w:rPr>
            </w:pPr>
          </w:p>
        </w:tc>
        <w:tc>
          <w:tcPr>
            <w:tcW w:w="8360" w:type="dxa"/>
            <w:vAlign w:val="bottom"/>
            <w:shd w:val="clear" w:color="auto" w:fill="BAD3EA"/>
          </w:tcPr>
          <w:p>
            <w:pPr>
              <w:ind w:left="960"/>
              <w:spacing w:after="0" w:line="270" w:lineRule="exact"/>
              <w:rPr>
                <w:sz w:val="20"/>
                <w:szCs w:val="20"/>
                <w:color w:val="auto"/>
              </w:rPr>
            </w:pPr>
            <w:r>
              <w:rPr>
                <w:rFonts w:ascii="Arial" w:cs="Arial" w:eastAsia="Arial" w:hAnsi="Arial"/>
                <w:sz w:val="16"/>
                <w:szCs w:val="16"/>
                <w:color w:val="auto"/>
              </w:rPr>
              <w:t>Restructuring charges</w:t>
            </w:r>
            <w:r>
              <w:rPr>
                <w:rFonts w:ascii="Arial" w:cs="Arial" w:eastAsia="Arial" w:hAnsi="Arial"/>
                <w:sz w:val="27"/>
                <w:szCs w:val="27"/>
                <w:color w:val="auto"/>
                <w:vertAlign w:val="superscript"/>
              </w:rPr>
              <w:t>G</w:t>
            </w:r>
          </w:p>
        </w:tc>
        <w:tc>
          <w:tcPr>
            <w:tcW w:w="1320" w:type="dxa"/>
            <w:vAlign w:val="bottom"/>
            <w:shd w:val="clear" w:color="auto" w:fill="BAD3EA"/>
          </w:tcPr>
          <w:p>
            <w:pPr>
              <w:jc w:val="right"/>
              <w:ind w:right="101"/>
              <w:spacing w:after="0"/>
              <w:rPr>
                <w:sz w:val="20"/>
                <w:szCs w:val="20"/>
                <w:color w:val="auto"/>
              </w:rPr>
            </w:pPr>
            <w:r>
              <w:rPr>
                <w:rFonts w:ascii="Arial" w:cs="Arial" w:eastAsia="Arial" w:hAnsi="Arial"/>
                <w:sz w:val="16"/>
                <w:szCs w:val="16"/>
                <w:color w:val="auto"/>
              </w:rPr>
              <w:t>12.0</w:t>
            </w:r>
          </w:p>
        </w:tc>
        <w:tc>
          <w:tcPr>
            <w:tcW w:w="1340" w:type="dxa"/>
            <w:vAlign w:val="bottom"/>
            <w:shd w:val="clear" w:color="auto" w:fill="BAD3EA"/>
          </w:tcPr>
          <w:p>
            <w:pPr>
              <w:jc w:val="right"/>
              <w:ind w:right="122"/>
              <w:spacing w:after="0"/>
              <w:rPr>
                <w:sz w:val="20"/>
                <w:szCs w:val="20"/>
                <w:color w:val="auto"/>
              </w:rPr>
            </w:pPr>
            <w:r>
              <w:rPr>
                <w:rFonts w:ascii="Arial" w:cs="Arial" w:eastAsia="Arial" w:hAnsi="Arial"/>
                <w:sz w:val="16"/>
                <w:szCs w:val="16"/>
                <w:color w:val="auto"/>
              </w:rPr>
              <w:t>0.9</w:t>
            </w:r>
          </w:p>
        </w:tc>
      </w:tr>
      <w:tr>
        <w:trPr>
          <w:trHeight w:val="250"/>
        </w:trPr>
        <w:tc>
          <w:tcPr>
            <w:tcW w:w="20" w:type="dxa"/>
            <w:vAlign w:val="bottom"/>
          </w:tcPr>
          <w:p>
            <w:pPr>
              <w:spacing w:after="0"/>
              <w:rPr>
                <w:sz w:val="21"/>
                <w:szCs w:val="21"/>
                <w:color w:val="auto"/>
              </w:rPr>
            </w:pPr>
          </w:p>
        </w:tc>
        <w:tc>
          <w:tcPr>
            <w:tcW w:w="8360" w:type="dxa"/>
            <w:vAlign w:val="bottom"/>
            <w:tcBorders>
              <w:bottom w:val="single" w:sz="8" w:color="E8F0F8"/>
            </w:tcBorders>
            <w:shd w:val="clear" w:color="auto" w:fill="E8F0F8"/>
          </w:tcPr>
          <w:p>
            <w:pPr>
              <w:ind w:left="640"/>
              <w:spacing w:after="0"/>
              <w:rPr>
                <w:sz w:val="20"/>
                <w:szCs w:val="20"/>
                <w:color w:val="auto"/>
              </w:rPr>
            </w:pPr>
            <w:r>
              <w:rPr>
                <w:rFonts w:ascii="Arial" w:cs="Arial" w:eastAsia="Arial" w:hAnsi="Arial"/>
                <w:sz w:val="16"/>
                <w:szCs w:val="16"/>
                <w:color w:val="auto"/>
              </w:rPr>
              <w:t>Hemophilia business separation costs</w:t>
            </w:r>
          </w:p>
        </w:tc>
        <w:tc>
          <w:tcPr>
            <w:tcW w:w="1320" w:type="dxa"/>
            <w:vAlign w:val="bottom"/>
            <w:tcBorders>
              <w:bottom w:val="single" w:sz="8" w:color="E8F0F8"/>
            </w:tcBorders>
            <w:shd w:val="clear" w:color="auto" w:fill="E8F0F8"/>
          </w:tcPr>
          <w:p>
            <w:pPr>
              <w:jc w:val="right"/>
              <w:ind w:right="10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8F0F8"/>
            </w:tcBorders>
            <w:shd w:val="clear" w:color="auto" w:fill="E8F0F8"/>
          </w:tcPr>
          <w:p>
            <w:pPr>
              <w:jc w:val="right"/>
              <w:ind w:right="122"/>
              <w:spacing w:after="0"/>
              <w:rPr>
                <w:sz w:val="20"/>
                <w:szCs w:val="20"/>
                <w:color w:val="auto"/>
              </w:rPr>
            </w:pPr>
            <w:r>
              <w:rPr>
                <w:rFonts w:ascii="Arial" w:cs="Arial" w:eastAsia="Arial" w:hAnsi="Arial"/>
                <w:sz w:val="16"/>
                <w:szCs w:val="16"/>
                <w:color w:val="auto"/>
              </w:rPr>
              <w:t>19.2</w:t>
            </w:r>
          </w:p>
        </w:tc>
      </w:tr>
      <w:tr>
        <w:trPr>
          <w:trHeight w:val="250"/>
        </w:trPr>
        <w:tc>
          <w:tcPr>
            <w:tcW w:w="20" w:type="dxa"/>
            <w:vAlign w:val="bottom"/>
          </w:tcPr>
          <w:p>
            <w:pPr>
              <w:spacing w:after="0"/>
              <w:rPr>
                <w:sz w:val="21"/>
                <w:szCs w:val="21"/>
                <w:color w:val="auto"/>
              </w:rPr>
            </w:pPr>
          </w:p>
        </w:tc>
        <w:tc>
          <w:tcPr>
            <w:tcW w:w="8360" w:type="dxa"/>
            <w:vAlign w:val="bottom"/>
            <w:tcBorders>
              <w:bottom w:val="single" w:sz="8" w:color="BAD3EA"/>
            </w:tcBorders>
            <w:shd w:val="clear" w:color="auto" w:fill="BAD3EA"/>
          </w:tcPr>
          <w:p>
            <w:pPr>
              <w:ind w:left="640"/>
              <w:spacing w:after="0"/>
              <w:rPr>
                <w:sz w:val="20"/>
                <w:szCs w:val="20"/>
                <w:color w:val="auto"/>
              </w:rPr>
            </w:pPr>
            <w:r>
              <w:rPr>
                <w:rFonts w:ascii="Arial" w:cs="Arial" w:eastAsia="Arial" w:hAnsi="Arial"/>
                <w:sz w:val="16"/>
                <w:szCs w:val="16"/>
                <w:color w:val="auto"/>
              </w:rPr>
              <w:t>Income tax effect related to reconciling items</w:t>
            </w:r>
          </w:p>
        </w:tc>
        <w:tc>
          <w:tcPr>
            <w:tcW w:w="1320" w:type="dxa"/>
            <w:vAlign w:val="bottom"/>
            <w:tcBorders>
              <w:bottom w:val="single" w:sz="8" w:color="BAD3EA"/>
            </w:tcBorders>
            <w:shd w:val="clear" w:color="auto" w:fill="BAD3EA"/>
          </w:tcPr>
          <w:p>
            <w:pPr>
              <w:jc w:val="right"/>
              <w:ind w:right="101"/>
              <w:spacing w:after="0"/>
              <w:rPr>
                <w:sz w:val="20"/>
                <w:szCs w:val="20"/>
                <w:color w:val="auto"/>
              </w:rPr>
            </w:pPr>
            <w:r>
              <w:rPr>
                <w:rFonts w:ascii="Arial" w:cs="Arial" w:eastAsia="Arial" w:hAnsi="Arial"/>
                <w:sz w:val="16"/>
                <w:szCs w:val="16"/>
                <w:color w:val="auto"/>
              </w:rPr>
              <w:t>(146.6)</w:t>
            </w:r>
          </w:p>
        </w:tc>
        <w:tc>
          <w:tcPr>
            <w:tcW w:w="1340" w:type="dxa"/>
            <w:vAlign w:val="bottom"/>
            <w:tcBorders>
              <w:bottom w:val="single" w:sz="8" w:color="BAD3EA"/>
            </w:tcBorders>
            <w:shd w:val="clear" w:color="auto" w:fill="BAD3EA"/>
          </w:tcPr>
          <w:p>
            <w:pPr>
              <w:jc w:val="right"/>
              <w:ind w:right="122"/>
              <w:spacing w:after="0"/>
              <w:rPr>
                <w:sz w:val="20"/>
                <w:szCs w:val="20"/>
                <w:color w:val="auto"/>
              </w:rPr>
            </w:pPr>
            <w:r>
              <w:rPr>
                <w:rFonts w:ascii="Arial" w:cs="Arial" w:eastAsia="Arial" w:hAnsi="Arial"/>
                <w:sz w:val="16"/>
                <w:szCs w:val="16"/>
                <w:color w:val="auto"/>
              </w:rPr>
              <w:t>(235.7)</w:t>
            </w:r>
          </w:p>
        </w:tc>
      </w:tr>
      <w:tr>
        <w:trPr>
          <w:trHeight w:val="270"/>
        </w:trPr>
        <w:tc>
          <w:tcPr>
            <w:tcW w:w="20" w:type="dxa"/>
            <w:vAlign w:val="bottom"/>
          </w:tcPr>
          <w:p>
            <w:pPr>
              <w:spacing w:after="0"/>
              <w:rPr>
                <w:sz w:val="23"/>
                <w:szCs w:val="23"/>
                <w:color w:val="auto"/>
              </w:rPr>
            </w:pPr>
          </w:p>
        </w:tc>
        <w:tc>
          <w:tcPr>
            <w:tcW w:w="8360" w:type="dxa"/>
            <w:vAlign w:val="bottom"/>
            <w:shd w:val="clear" w:color="auto" w:fill="E8F0F8"/>
          </w:tcPr>
          <w:p>
            <w:pPr>
              <w:ind w:left="640"/>
              <w:spacing w:after="0" w:line="270" w:lineRule="exact"/>
              <w:rPr>
                <w:sz w:val="20"/>
                <w:szCs w:val="20"/>
                <w:color w:val="auto"/>
              </w:rPr>
            </w:pPr>
            <w:r>
              <w:rPr>
                <w:rFonts w:ascii="Arial" w:cs="Arial" w:eastAsia="Arial" w:hAnsi="Arial"/>
                <w:sz w:val="16"/>
                <w:szCs w:val="16"/>
                <w:color w:val="auto"/>
              </w:rPr>
              <w:t>Elimination of deferred tax asset</w:t>
            </w:r>
            <w:r>
              <w:rPr>
                <w:rFonts w:ascii="Arial" w:cs="Arial" w:eastAsia="Arial" w:hAnsi="Arial"/>
                <w:sz w:val="27"/>
                <w:szCs w:val="27"/>
                <w:color w:val="auto"/>
                <w:vertAlign w:val="superscript"/>
              </w:rPr>
              <w:t>H</w:t>
            </w:r>
          </w:p>
        </w:tc>
        <w:tc>
          <w:tcPr>
            <w:tcW w:w="1320" w:type="dxa"/>
            <w:vAlign w:val="bottom"/>
            <w:shd w:val="clear" w:color="auto" w:fill="E8F0F8"/>
          </w:tcPr>
          <w:p>
            <w:pPr>
              <w:jc w:val="right"/>
              <w:ind w:right="101"/>
              <w:spacing w:after="0"/>
              <w:rPr>
                <w:sz w:val="20"/>
                <w:szCs w:val="20"/>
                <w:color w:val="auto"/>
              </w:rPr>
            </w:pPr>
            <w:r>
              <w:rPr>
                <w:rFonts w:ascii="Arial" w:cs="Arial" w:eastAsia="Arial" w:hAnsi="Arial"/>
                <w:sz w:val="16"/>
                <w:szCs w:val="16"/>
                <w:color w:val="auto"/>
              </w:rPr>
              <w:t>10.6</w:t>
            </w:r>
          </w:p>
        </w:tc>
        <w:tc>
          <w:tcPr>
            <w:tcW w:w="1340" w:type="dxa"/>
            <w:vAlign w:val="bottom"/>
            <w:shd w:val="clear" w:color="auto" w:fill="E8F0F8"/>
          </w:tcPr>
          <w:p>
            <w:pPr>
              <w:jc w:val="right"/>
              <w:ind w:right="122"/>
              <w:spacing w:after="0"/>
              <w:rPr>
                <w:sz w:val="20"/>
                <w:szCs w:val="20"/>
                <w:color w:val="auto"/>
              </w:rPr>
            </w:pPr>
            <w:r>
              <w:rPr>
                <w:rFonts w:ascii="Arial" w:cs="Arial" w:eastAsia="Arial" w:hAnsi="Arial"/>
                <w:sz w:val="16"/>
                <w:szCs w:val="16"/>
                <w:color w:val="auto"/>
              </w:rPr>
              <w:t>—</w:t>
            </w:r>
          </w:p>
        </w:tc>
      </w:tr>
      <w:tr>
        <w:trPr>
          <w:trHeight w:val="270"/>
        </w:trPr>
        <w:tc>
          <w:tcPr>
            <w:tcW w:w="20" w:type="dxa"/>
            <w:vAlign w:val="bottom"/>
          </w:tcPr>
          <w:p>
            <w:pPr>
              <w:spacing w:after="0"/>
              <w:rPr>
                <w:sz w:val="23"/>
                <w:szCs w:val="23"/>
                <w:color w:val="auto"/>
              </w:rPr>
            </w:pPr>
          </w:p>
        </w:tc>
        <w:tc>
          <w:tcPr>
            <w:tcW w:w="8360" w:type="dxa"/>
            <w:vAlign w:val="bottom"/>
            <w:shd w:val="clear" w:color="auto" w:fill="BAD3EA"/>
          </w:tcPr>
          <w:p>
            <w:pPr>
              <w:ind w:left="640"/>
              <w:spacing w:after="0" w:line="270" w:lineRule="exact"/>
              <w:rPr>
                <w:sz w:val="20"/>
                <w:szCs w:val="20"/>
                <w:color w:val="auto"/>
              </w:rPr>
            </w:pPr>
            <w:r>
              <w:rPr>
                <w:rFonts w:ascii="Arial" w:cs="Arial" w:eastAsia="Arial" w:hAnsi="Arial"/>
                <w:sz w:val="16"/>
                <w:szCs w:val="16"/>
                <w:color w:val="auto"/>
              </w:rPr>
              <w:t>Tax reform</w:t>
            </w:r>
            <w:r>
              <w:rPr>
                <w:rFonts w:ascii="Arial" w:cs="Arial" w:eastAsia="Arial" w:hAnsi="Arial"/>
                <w:sz w:val="27"/>
                <w:szCs w:val="27"/>
                <w:color w:val="auto"/>
                <w:vertAlign w:val="superscript"/>
              </w:rPr>
              <w:t>I</w:t>
            </w:r>
          </w:p>
        </w:tc>
        <w:tc>
          <w:tcPr>
            <w:tcW w:w="1320" w:type="dxa"/>
            <w:vAlign w:val="bottom"/>
            <w:shd w:val="clear" w:color="auto" w:fill="BAD3EA"/>
          </w:tcPr>
          <w:p>
            <w:pPr>
              <w:jc w:val="right"/>
              <w:ind w:right="101"/>
              <w:spacing w:after="0"/>
              <w:rPr>
                <w:sz w:val="20"/>
                <w:szCs w:val="20"/>
                <w:color w:val="auto"/>
              </w:rPr>
            </w:pPr>
            <w:r>
              <w:rPr>
                <w:rFonts w:ascii="Arial" w:cs="Arial" w:eastAsia="Arial" w:hAnsi="Arial"/>
                <w:sz w:val="16"/>
                <w:szCs w:val="16"/>
                <w:color w:val="auto"/>
              </w:rPr>
              <w:t>124.9</w:t>
            </w:r>
          </w:p>
        </w:tc>
        <w:tc>
          <w:tcPr>
            <w:tcW w:w="1340" w:type="dxa"/>
            <w:vAlign w:val="bottom"/>
            <w:shd w:val="clear" w:color="auto" w:fill="BAD3EA"/>
          </w:tcPr>
          <w:p>
            <w:pPr>
              <w:jc w:val="right"/>
              <w:ind w:right="122"/>
              <w:spacing w:after="0"/>
              <w:rPr>
                <w:sz w:val="20"/>
                <w:szCs w:val="20"/>
                <w:color w:val="auto"/>
              </w:rPr>
            </w:pPr>
            <w:r>
              <w:rPr>
                <w:rFonts w:ascii="Arial" w:cs="Arial" w:eastAsia="Arial" w:hAnsi="Arial"/>
                <w:sz w:val="16"/>
                <w:szCs w:val="16"/>
                <w:color w:val="auto"/>
              </w:rPr>
              <w:t>1,173.6</w:t>
            </w:r>
          </w:p>
        </w:tc>
      </w:tr>
      <w:tr>
        <w:trPr>
          <w:trHeight w:val="250"/>
        </w:trPr>
        <w:tc>
          <w:tcPr>
            <w:tcW w:w="20" w:type="dxa"/>
            <w:vAlign w:val="bottom"/>
          </w:tcPr>
          <w:p>
            <w:pPr>
              <w:spacing w:after="0"/>
              <w:rPr>
                <w:sz w:val="21"/>
                <w:szCs w:val="21"/>
                <w:color w:val="auto"/>
              </w:rPr>
            </w:pPr>
          </w:p>
        </w:tc>
        <w:tc>
          <w:tcPr>
            <w:tcW w:w="8360" w:type="dxa"/>
            <w:vAlign w:val="bottom"/>
            <w:tcBorders>
              <w:bottom w:val="single" w:sz="8" w:color="E8F0F8"/>
            </w:tcBorders>
            <w:shd w:val="clear" w:color="auto" w:fill="E8F0F8"/>
          </w:tcPr>
          <w:p>
            <w:pPr>
              <w:ind w:left="60"/>
              <w:spacing w:after="0"/>
              <w:rPr>
                <w:sz w:val="20"/>
                <w:szCs w:val="20"/>
                <w:color w:val="auto"/>
              </w:rPr>
            </w:pPr>
            <w:r>
              <w:rPr>
                <w:rFonts w:ascii="Arial" w:cs="Arial" w:eastAsia="Arial" w:hAnsi="Arial"/>
                <w:sz w:val="16"/>
                <w:szCs w:val="16"/>
                <w:color w:val="auto"/>
              </w:rPr>
              <w:t>Non-GAAP net income attributable to Biogen Inc.</w:t>
            </w:r>
          </w:p>
        </w:tc>
        <w:tc>
          <w:tcPr>
            <w:tcW w:w="1320" w:type="dxa"/>
            <w:vAlign w:val="bottom"/>
            <w:tcBorders>
              <w:bottom w:val="single" w:sz="8" w:color="E8F0F8"/>
            </w:tcBorders>
            <w:shd w:val="clear" w:color="auto" w:fill="E8F0F8"/>
          </w:tcPr>
          <w:p>
            <w:pPr>
              <w:jc w:val="right"/>
              <w:ind w:right="101"/>
              <w:spacing w:after="0"/>
              <w:rPr>
                <w:sz w:val="20"/>
                <w:szCs w:val="20"/>
                <w:color w:val="auto"/>
              </w:rPr>
            </w:pPr>
            <w:r>
              <w:rPr>
                <w:rFonts w:ascii="Arial" w:cs="Arial" w:eastAsia="Arial" w:hAnsi="Arial"/>
                <w:sz w:val="16"/>
                <w:szCs w:val="16"/>
                <w:color w:val="auto"/>
              </w:rPr>
              <w:t>$5,377.8</w:t>
            </w:r>
          </w:p>
        </w:tc>
        <w:tc>
          <w:tcPr>
            <w:tcW w:w="1340" w:type="dxa"/>
            <w:vAlign w:val="bottom"/>
            <w:tcBorders>
              <w:bottom w:val="single" w:sz="8" w:color="E8F0F8"/>
            </w:tcBorders>
            <w:shd w:val="clear" w:color="auto" w:fill="E8F0F8"/>
          </w:tcPr>
          <w:p>
            <w:pPr>
              <w:jc w:val="right"/>
              <w:ind w:right="122"/>
              <w:spacing w:after="0"/>
              <w:rPr>
                <w:sz w:val="20"/>
                <w:szCs w:val="20"/>
                <w:color w:val="auto"/>
              </w:rPr>
            </w:pPr>
            <w:r>
              <w:rPr>
                <w:rFonts w:ascii="Arial" w:cs="Arial" w:eastAsia="Arial" w:hAnsi="Arial"/>
                <w:sz w:val="16"/>
                <w:szCs w:val="16"/>
                <w:color w:val="auto"/>
              </w:rPr>
              <w:t>$4,645.4</w:t>
            </w:r>
          </w:p>
        </w:tc>
      </w:tr>
      <w:tr>
        <w:trPr>
          <w:trHeight w:val="20"/>
        </w:trPr>
        <w:tc>
          <w:tcPr>
            <w:tcW w:w="20" w:type="dxa"/>
            <w:vAlign w:val="bottom"/>
          </w:tcPr>
          <w:p>
            <w:pPr>
              <w:spacing w:after="0" w:line="20" w:lineRule="exact"/>
              <w:rPr>
                <w:sz w:val="1"/>
                <w:szCs w:val="1"/>
                <w:color w:val="auto"/>
              </w:rPr>
            </w:pPr>
          </w:p>
        </w:tc>
        <w:tc>
          <w:tcPr>
            <w:tcW w:w="83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r>
        <w:trPr>
          <w:trHeight w:val="398"/>
        </w:trPr>
        <w:tc>
          <w:tcPr>
            <w:tcW w:w="8380" w:type="dxa"/>
            <w:vAlign w:val="bottom"/>
            <w:gridSpan w:val="2"/>
          </w:tcPr>
          <w:p>
            <w:pPr>
              <w:spacing w:after="0"/>
              <w:rPr>
                <w:sz w:val="20"/>
                <w:szCs w:val="20"/>
                <w:color w:val="auto"/>
              </w:rPr>
            </w:pPr>
            <w:r>
              <w:rPr>
                <w:rFonts w:ascii="Arial" w:cs="Arial" w:eastAsia="Arial" w:hAnsi="Arial"/>
                <w:sz w:val="18"/>
                <w:szCs w:val="18"/>
                <w:b w:val="1"/>
                <w:bCs w:val="1"/>
                <w:color w:val="1A6DBB"/>
              </w:rPr>
              <w:t>Free Cash Flow Reconciliation</w:t>
            </w: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1"/>
        </w:trPr>
        <w:tc>
          <w:tcPr>
            <w:tcW w:w="8380" w:type="dxa"/>
            <w:vAlign w:val="bottom"/>
            <w:gridSpan w:val="2"/>
          </w:tcPr>
          <w:p>
            <w:pPr>
              <w:spacing w:after="0"/>
              <w:rPr>
                <w:sz w:val="20"/>
                <w:szCs w:val="20"/>
                <w:color w:val="auto"/>
              </w:rPr>
            </w:pPr>
            <w:r>
              <w:rPr>
                <w:rFonts w:ascii="Arial" w:cs="Arial" w:eastAsia="Arial" w:hAnsi="Arial"/>
                <w:sz w:val="16"/>
                <w:szCs w:val="16"/>
                <w:i w:val="1"/>
                <w:iCs w:val="1"/>
                <w:color w:val="auto"/>
              </w:rPr>
              <w:t>(unaudited, $ in millions)</w:t>
            </w: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180"/>
        </w:trPr>
        <w:tc>
          <w:tcPr>
            <w:tcW w:w="20" w:type="dxa"/>
            <w:vAlign w:val="bottom"/>
          </w:tcPr>
          <w:p>
            <w:pPr>
              <w:spacing w:after="0"/>
              <w:rPr>
                <w:sz w:val="15"/>
                <w:szCs w:val="15"/>
                <w:color w:val="auto"/>
              </w:rPr>
            </w:pPr>
          </w:p>
        </w:tc>
        <w:tc>
          <w:tcPr>
            <w:tcW w:w="8360" w:type="dxa"/>
            <w:vAlign w:val="bottom"/>
            <w:shd w:val="clear" w:color="auto" w:fill="1A6DBB"/>
          </w:tcPr>
          <w:p>
            <w:pPr>
              <w:spacing w:after="0"/>
              <w:rPr>
                <w:sz w:val="15"/>
                <w:szCs w:val="15"/>
                <w:color w:val="auto"/>
              </w:rPr>
            </w:pPr>
          </w:p>
        </w:tc>
        <w:tc>
          <w:tcPr>
            <w:tcW w:w="1320" w:type="dxa"/>
            <w:vAlign w:val="bottom"/>
            <w:shd w:val="clear" w:color="auto" w:fill="1A6DBB"/>
          </w:tcPr>
          <w:p>
            <w:pPr>
              <w:spacing w:after="0"/>
              <w:rPr>
                <w:sz w:val="15"/>
                <w:szCs w:val="15"/>
                <w:color w:val="auto"/>
              </w:rPr>
            </w:pPr>
          </w:p>
        </w:tc>
        <w:tc>
          <w:tcPr>
            <w:tcW w:w="1340" w:type="dxa"/>
            <w:vAlign w:val="bottom"/>
            <w:shd w:val="clear" w:color="auto" w:fill="1A6DBB"/>
          </w:tcPr>
          <w:p>
            <w:pPr>
              <w:jc w:val="center"/>
              <w:ind w:right="122"/>
              <w:spacing w:after="0"/>
              <w:rPr>
                <w:sz w:val="20"/>
                <w:szCs w:val="20"/>
                <w:color w:val="auto"/>
              </w:rPr>
            </w:pPr>
            <w:r>
              <w:rPr>
                <w:rFonts w:ascii="Arial" w:cs="Arial" w:eastAsia="Arial" w:hAnsi="Arial"/>
                <w:sz w:val="14"/>
                <w:szCs w:val="14"/>
                <w:color w:val="FFFFFF"/>
              </w:rPr>
              <w:t>For the Twelve</w:t>
            </w:r>
          </w:p>
        </w:tc>
      </w:tr>
      <w:tr>
        <w:trPr>
          <w:trHeight w:val="162"/>
        </w:trPr>
        <w:tc>
          <w:tcPr>
            <w:tcW w:w="20" w:type="dxa"/>
            <w:vAlign w:val="bottom"/>
          </w:tcPr>
          <w:p>
            <w:pPr>
              <w:spacing w:after="0"/>
              <w:rPr>
                <w:sz w:val="14"/>
                <w:szCs w:val="14"/>
                <w:color w:val="auto"/>
              </w:rPr>
            </w:pPr>
          </w:p>
        </w:tc>
        <w:tc>
          <w:tcPr>
            <w:tcW w:w="8360" w:type="dxa"/>
            <w:vAlign w:val="bottom"/>
            <w:shd w:val="clear" w:color="auto" w:fill="1A6DBB"/>
          </w:tcPr>
          <w:p>
            <w:pPr>
              <w:spacing w:after="0"/>
              <w:rPr>
                <w:sz w:val="14"/>
                <w:szCs w:val="14"/>
                <w:color w:val="auto"/>
              </w:rPr>
            </w:pPr>
          </w:p>
        </w:tc>
        <w:tc>
          <w:tcPr>
            <w:tcW w:w="1320" w:type="dxa"/>
            <w:vAlign w:val="bottom"/>
            <w:shd w:val="clear" w:color="auto" w:fill="1A6DBB"/>
          </w:tcPr>
          <w:p>
            <w:pPr>
              <w:spacing w:after="0"/>
              <w:rPr>
                <w:sz w:val="14"/>
                <w:szCs w:val="14"/>
                <w:color w:val="auto"/>
              </w:rPr>
            </w:pPr>
          </w:p>
        </w:tc>
        <w:tc>
          <w:tcPr>
            <w:tcW w:w="1340" w:type="dxa"/>
            <w:vAlign w:val="bottom"/>
            <w:shd w:val="clear" w:color="auto" w:fill="1A6DBB"/>
          </w:tcPr>
          <w:p>
            <w:pPr>
              <w:jc w:val="center"/>
              <w:ind w:right="142"/>
              <w:spacing w:after="0"/>
              <w:rPr>
                <w:sz w:val="20"/>
                <w:szCs w:val="20"/>
                <w:color w:val="auto"/>
              </w:rPr>
            </w:pPr>
            <w:r>
              <w:rPr>
                <w:rFonts w:ascii="Arial" w:cs="Arial" w:eastAsia="Arial" w:hAnsi="Arial"/>
                <w:sz w:val="14"/>
                <w:szCs w:val="14"/>
                <w:color w:val="FFFFFF"/>
              </w:rPr>
              <w:t>Months Ended</w:t>
            </w:r>
          </w:p>
        </w:tc>
      </w:tr>
      <w:tr>
        <w:trPr>
          <w:trHeight w:val="162"/>
        </w:trPr>
        <w:tc>
          <w:tcPr>
            <w:tcW w:w="20" w:type="dxa"/>
            <w:vAlign w:val="bottom"/>
          </w:tcPr>
          <w:p>
            <w:pPr>
              <w:spacing w:after="0"/>
              <w:rPr>
                <w:sz w:val="14"/>
                <w:szCs w:val="14"/>
                <w:color w:val="auto"/>
              </w:rPr>
            </w:pPr>
          </w:p>
        </w:tc>
        <w:tc>
          <w:tcPr>
            <w:tcW w:w="8360" w:type="dxa"/>
            <w:vAlign w:val="bottom"/>
            <w:shd w:val="clear" w:color="auto" w:fill="1A6DBB"/>
          </w:tcPr>
          <w:p>
            <w:pPr>
              <w:spacing w:after="0"/>
              <w:rPr>
                <w:sz w:val="14"/>
                <w:szCs w:val="14"/>
                <w:color w:val="auto"/>
              </w:rPr>
            </w:pPr>
          </w:p>
        </w:tc>
        <w:tc>
          <w:tcPr>
            <w:tcW w:w="1320" w:type="dxa"/>
            <w:vAlign w:val="bottom"/>
            <w:shd w:val="clear" w:color="auto" w:fill="1A6DBB"/>
          </w:tcPr>
          <w:p>
            <w:pPr>
              <w:spacing w:after="0"/>
              <w:rPr>
                <w:sz w:val="14"/>
                <w:szCs w:val="14"/>
                <w:color w:val="auto"/>
              </w:rPr>
            </w:pPr>
          </w:p>
        </w:tc>
        <w:tc>
          <w:tcPr>
            <w:tcW w:w="1340" w:type="dxa"/>
            <w:vAlign w:val="bottom"/>
            <w:shd w:val="clear" w:color="auto" w:fill="1A6DBB"/>
          </w:tcPr>
          <w:p>
            <w:pPr>
              <w:jc w:val="center"/>
              <w:ind w:right="142"/>
              <w:spacing w:after="0"/>
              <w:rPr>
                <w:sz w:val="20"/>
                <w:szCs w:val="20"/>
                <w:color w:val="auto"/>
              </w:rPr>
            </w:pPr>
            <w:r>
              <w:rPr>
                <w:rFonts w:ascii="Arial" w:cs="Arial" w:eastAsia="Arial" w:hAnsi="Arial"/>
                <w:sz w:val="14"/>
                <w:szCs w:val="14"/>
                <w:color w:val="FFFFFF"/>
              </w:rPr>
              <w:t>December 31,</w:t>
            </w:r>
          </w:p>
        </w:tc>
      </w:tr>
      <w:tr>
        <w:trPr>
          <w:trHeight w:val="171"/>
        </w:trPr>
        <w:tc>
          <w:tcPr>
            <w:tcW w:w="20" w:type="dxa"/>
            <w:vAlign w:val="bottom"/>
          </w:tcPr>
          <w:p>
            <w:pPr>
              <w:spacing w:after="0"/>
              <w:rPr>
                <w:sz w:val="14"/>
                <w:szCs w:val="14"/>
                <w:color w:val="auto"/>
              </w:rPr>
            </w:pPr>
          </w:p>
        </w:tc>
        <w:tc>
          <w:tcPr>
            <w:tcW w:w="8360" w:type="dxa"/>
            <w:vAlign w:val="bottom"/>
            <w:shd w:val="clear" w:color="auto" w:fill="1A6DBB"/>
          </w:tcPr>
          <w:p>
            <w:pPr>
              <w:spacing w:after="0"/>
              <w:rPr>
                <w:sz w:val="14"/>
                <w:szCs w:val="14"/>
                <w:color w:val="auto"/>
              </w:rPr>
            </w:pPr>
          </w:p>
        </w:tc>
        <w:tc>
          <w:tcPr>
            <w:tcW w:w="1320" w:type="dxa"/>
            <w:vAlign w:val="bottom"/>
            <w:shd w:val="clear" w:color="auto" w:fill="1A6DBB"/>
          </w:tcPr>
          <w:p>
            <w:pPr>
              <w:spacing w:after="0"/>
              <w:rPr>
                <w:sz w:val="14"/>
                <w:szCs w:val="14"/>
                <w:color w:val="auto"/>
              </w:rPr>
            </w:pPr>
          </w:p>
        </w:tc>
        <w:tc>
          <w:tcPr>
            <w:tcW w:w="1340" w:type="dxa"/>
            <w:vAlign w:val="bottom"/>
            <w:shd w:val="clear" w:color="auto" w:fill="1A6DBB"/>
          </w:tcPr>
          <w:p>
            <w:pPr>
              <w:jc w:val="center"/>
              <w:ind w:right="142"/>
              <w:spacing w:after="0"/>
              <w:rPr>
                <w:sz w:val="20"/>
                <w:szCs w:val="20"/>
                <w:color w:val="auto"/>
              </w:rPr>
            </w:pPr>
            <w:r>
              <w:rPr>
                <w:rFonts w:ascii="Arial" w:cs="Arial" w:eastAsia="Arial" w:hAnsi="Arial"/>
                <w:sz w:val="14"/>
                <w:szCs w:val="14"/>
                <w:color w:val="FFFFFF"/>
              </w:rPr>
              <w:t>2018</w:t>
            </w:r>
          </w:p>
        </w:tc>
      </w:tr>
      <w:tr>
        <w:trPr>
          <w:trHeight w:val="250"/>
        </w:trPr>
        <w:tc>
          <w:tcPr>
            <w:tcW w:w="20" w:type="dxa"/>
            <w:vAlign w:val="bottom"/>
          </w:tcPr>
          <w:p>
            <w:pPr>
              <w:spacing w:after="0"/>
              <w:rPr>
                <w:sz w:val="21"/>
                <w:szCs w:val="21"/>
                <w:color w:val="auto"/>
              </w:rPr>
            </w:pPr>
          </w:p>
        </w:tc>
        <w:tc>
          <w:tcPr>
            <w:tcW w:w="8360" w:type="dxa"/>
            <w:vAlign w:val="bottom"/>
            <w:tcBorders>
              <w:bottom w:val="single" w:sz="8" w:color="E8F0F8"/>
            </w:tcBorders>
            <w:shd w:val="clear" w:color="auto" w:fill="E8F0F8"/>
          </w:tcPr>
          <w:p>
            <w:pPr>
              <w:ind w:left="60"/>
              <w:spacing w:after="0"/>
              <w:rPr>
                <w:sz w:val="20"/>
                <w:szCs w:val="20"/>
                <w:color w:val="auto"/>
              </w:rPr>
            </w:pPr>
            <w:r>
              <w:rPr>
                <w:rFonts w:ascii="Arial" w:cs="Arial" w:eastAsia="Arial" w:hAnsi="Arial"/>
                <w:sz w:val="16"/>
                <w:szCs w:val="16"/>
                <w:color w:val="auto"/>
              </w:rPr>
              <w:t>Net cash flows provided by operating activities</w:t>
            </w:r>
          </w:p>
        </w:tc>
        <w:tc>
          <w:tcPr>
            <w:tcW w:w="1320" w:type="dxa"/>
            <w:vAlign w:val="bottom"/>
            <w:tcBorders>
              <w:bottom w:val="single" w:sz="8" w:color="E8F0F8"/>
            </w:tcBorders>
            <w:shd w:val="clear" w:color="auto" w:fill="E8F0F8"/>
          </w:tcPr>
          <w:p>
            <w:pPr>
              <w:spacing w:after="0"/>
              <w:rPr>
                <w:sz w:val="21"/>
                <w:szCs w:val="21"/>
                <w:color w:val="auto"/>
              </w:rPr>
            </w:pPr>
          </w:p>
        </w:tc>
        <w:tc>
          <w:tcPr>
            <w:tcW w:w="1340" w:type="dxa"/>
            <w:vAlign w:val="bottom"/>
            <w:tcBorders>
              <w:bottom w:val="single" w:sz="8" w:color="E8F0F8"/>
            </w:tcBorders>
            <w:shd w:val="clear" w:color="auto" w:fill="E8F0F8"/>
          </w:tcPr>
          <w:p>
            <w:pPr>
              <w:jc w:val="right"/>
              <w:ind w:right="122"/>
              <w:spacing w:after="0"/>
              <w:rPr>
                <w:sz w:val="20"/>
                <w:szCs w:val="20"/>
                <w:color w:val="auto"/>
              </w:rPr>
            </w:pPr>
            <w:r>
              <w:rPr>
                <w:rFonts w:ascii="Arial" w:cs="Arial" w:eastAsia="Arial" w:hAnsi="Arial"/>
                <w:sz w:val="16"/>
                <w:szCs w:val="16"/>
                <w:color w:val="auto"/>
              </w:rPr>
              <w:t>$ 6,187.7</w:t>
            </w:r>
          </w:p>
        </w:tc>
      </w:tr>
      <w:tr>
        <w:trPr>
          <w:trHeight w:val="250"/>
        </w:trPr>
        <w:tc>
          <w:tcPr>
            <w:tcW w:w="20" w:type="dxa"/>
            <w:vAlign w:val="bottom"/>
          </w:tcPr>
          <w:p>
            <w:pPr>
              <w:spacing w:after="0"/>
              <w:rPr>
                <w:sz w:val="21"/>
                <w:szCs w:val="21"/>
                <w:color w:val="auto"/>
              </w:rPr>
            </w:pPr>
          </w:p>
        </w:tc>
        <w:tc>
          <w:tcPr>
            <w:tcW w:w="8360" w:type="dxa"/>
            <w:vAlign w:val="bottom"/>
            <w:tcBorders>
              <w:bottom w:val="single" w:sz="8" w:color="BAD3EA"/>
            </w:tcBorders>
            <w:shd w:val="clear" w:color="auto" w:fill="BAD3EA"/>
          </w:tcPr>
          <w:p>
            <w:pPr>
              <w:ind w:left="60"/>
              <w:spacing w:after="0"/>
              <w:rPr>
                <w:sz w:val="20"/>
                <w:szCs w:val="20"/>
                <w:color w:val="auto"/>
              </w:rPr>
            </w:pPr>
            <w:r>
              <w:rPr>
                <w:rFonts w:ascii="Arial" w:cs="Arial" w:eastAsia="Arial" w:hAnsi="Arial"/>
                <w:sz w:val="16"/>
                <w:szCs w:val="16"/>
                <w:color w:val="auto"/>
              </w:rPr>
              <w:t>Purchases of property, plant and equipment (Capital Expenditures)</w:t>
            </w:r>
          </w:p>
        </w:tc>
        <w:tc>
          <w:tcPr>
            <w:tcW w:w="1320" w:type="dxa"/>
            <w:vAlign w:val="bottom"/>
            <w:tcBorders>
              <w:bottom w:val="single" w:sz="8" w:color="BAD3EA"/>
            </w:tcBorders>
            <w:shd w:val="clear" w:color="auto" w:fill="BAD3EA"/>
          </w:tcPr>
          <w:p>
            <w:pPr>
              <w:spacing w:after="0"/>
              <w:rPr>
                <w:sz w:val="21"/>
                <w:szCs w:val="21"/>
                <w:color w:val="auto"/>
              </w:rPr>
            </w:pPr>
          </w:p>
        </w:tc>
        <w:tc>
          <w:tcPr>
            <w:tcW w:w="1340" w:type="dxa"/>
            <w:vAlign w:val="bottom"/>
            <w:tcBorders>
              <w:bottom w:val="single" w:sz="8" w:color="BAD3EA"/>
            </w:tcBorders>
            <w:shd w:val="clear" w:color="auto" w:fill="BAD3EA"/>
          </w:tcPr>
          <w:p>
            <w:pPr>
              <w:jc w:val="right"/>
              <w:ind w:right="122"/>
              <w:spacing w:after="0"/>
              <w:rPr>
                <w:sz w:val="20"/>
                <w:szCs w:val="20"/>
                <w:color w:val="auto"/>
              </w:rPr>
            </w:pPr>
            <w:r>
              <w:rPr>
                <w:rFonts w:ascii="Arial" w:cs="Arial" w:eastAsia="Arial" w:hAnsi="Arial"/>
                <w:sz w:val="16"/>
                <w:szCs w:val="16"/>
                <w:color w:val="auto"/>
              </w:rPr>
              <w:t>(770.6)</w:t>
            </w:r>
          </w:p>
        </w:tc>
      </w:tr>
      <w:tr>
        <w:trPr>
          <w:trHeight w:val="250"/>
        </w:trPr>
        <w:tc>
          <w:tcPr>
            <w:tcW w:w="20" w:type="dxa"/>
            <w:vAlign w:val="bottom"/>
          </w:tcPr>
          <w:p>
            <w:pPr>
              <w:spacing w:after="0"/>
              <w:rPr>
                <w:sz w:val="21"/>
                <w:szCs w:val="21"/>
                <w:color w:val="auto"/>
              </w:rPr>
            </w:pPr>
          </w:p>
        </w:tc>
        <w:tc>
          <w:tcPr>
            <w:tcW w:w="8360" w:type="dxa"/>
            <w:vAlign w:val="bottom"/>
            <w:tcBorders>
              <w:bottom w:val="single" w:sz="8" w:color="E8F0F8"/>
            </w:tcBorders>
            <w:shd w:val="clear" w:color="auto" w:fill="E8F0F8"/>
          </w:tcPr>
          <w:p>
            <w:pPr>
              <w:ind w:left="60"/>
              <w:spacing w:after="0"/>
              <w:rPr>
                <w:sz w:val="20"/>
                <w:szCs w:val="20"/>
                <w:color w:val="auto"/>
              </w:rPr>
            </w:pPr>
            <w:r>
              <w:rPr>
                <w:rFonts w:ascii="Arial" w:cs="Arial" w:eastAsia="Arial" w:hAnsi="Arial"/>
                <w:sz w:val="16"/>
                <w:szCs w:val="16"/>
                <w:color w:val="auto"/>
              </w:rPr>
              <w:t>Contingent consideration related to Fumapharm AG acquisition</w:t>
            </w:r>
          </w:p>
        </w:tc>
        <w:tc>
          <w:tcPr>
            <w:tcW w:w="1320" w:type="dxa"/>
            <w:vAlign w:val="bottom"/>
            <w:tcBorders>
              <w:bottom w:val="single" w:sz="8" w:color="E8F0F8"/>
            </w:tcBorders>
            <w:shd w:val="clear" w:color="auto" w:fill="E8F0F8"/>
          </w:tcPr>
          <w:p>
            <w:pPr>
              <w:spacing w:after="0"/>
              <w:rPr>
                <w:sz w:val="21"/>
                <w:szCs w:val="21"/>
                <w:color w:val="auto"/>
              </w:rPr>
            </w:pPr>
          </w:p>
        </w:tc>
        <w:tc>
          <w:tcPr>
            <w:tcW w:w="1340" w:type="dxa"/>
            <w:vAlign w:val="bottom"/>
            <w:tcBorders>
              <w:bottom w:val="single" w:sz="8" w:color="E8F0F8"/>
            </w:tcBorders>
            <w:shd w:val="clear" w:color="auto" w:fill="E8F0F8"/>
          </w:tcPr>
          <w:p>
            <w:pPr>
              <w:jc w:val="right"/>
              <w:ind w:right="122"/>
              <w:spacing w:after="0"/>
              <w:rPr>
                <w:sz w:val="20"/>
                <w:szCs w:val="20"/>
                <w:color w:val="auto"/>
              </w:rPr>
            </w:pPr>
            <w:r>
              <w:rPr>
                <w:rFonts w:ascii="Arial" w:cs="Arial" w:eastAsia="Arial" w:hAnsi="Arial"/>
                <w:sz w:val="16"/>
                <w:szCs w:val="16"/>
                <w:color w:val="auto"/>
              </w:rPr>
              <w:t>(1,500.0)</w:t>
            </w:r>
          </w:p>
        </w:tc>
      </w:tr>
      <w:tr>
        <w:trPr>
          <w:trHeight w:val="250"/>
        </w:trPr>
        <w:tc>
          <w:tcPr>
            <w:tcW w:w="20" w:type="dxa"/>
            <w:vAlign w:val="bottom"/>
          </w:tcPr>
          <w:p>
            <w:pPr>
              <w:spacing w:after="0"/>
              <w:rPr>
                <w:sz w:val="21"/>
                <w:szCs w:val="21"/>
                <w:color w:val="auto"/>
              </w:rPr>
            </w:pPr>
          </w:p>
        </w:tc>
        <w:tc>
          <w:tcPr>
            <w:tcW w:w="8360" w:type="dxa"/>
            <w:vAlign w:val="bottom"/>
            <w:tcBorders>
              <w:bottom w:val="single" w:sz="8" w:color="BAD3EA"/>
            </w:tcBorders>
            <w:shd w:val="clear" w:color="auto" w:fill="BAD3EA"/>
          </w:tcPr>
          <w:p>
            <w:pPr>
              <w:ind w:left="60"/>
              <w:spacing w:after="0"/>
              <w:rPr>
                <w:sz w:val="20"/>
                <w:szCs w:val="20"/>
                <w:color w:val="auto"/>
              </w:rPr>
            </w:pPr>
            <w:r>
              <w:rPr>
                <w:rFonts w:ascii="Arial" w:cs="Arial" w:eastAsia="Arial" w:hAnsi="Arial"/>
                <w:sz w:val="16"/>
                <w:szCs w:val="16"/>
                <w:color w:val="auto"/>
              </w:rPr>
              <w:t>Free Cash Flow</w:t>
            </w:r>
          </w:p>
        </w:tc>
        <w:tc>
          <w:tcPr>
            <w:tcW w:w="1320" w:type="dxa"/>
            <w:vAlign w:val="bottom"/>
            <w:tcBorders>
              <w:bottom w:val="single" w:sz="8" w:color="BAD3EA"/>
            </w:tcBorders>
            <w:shd w:val="clear" w:color="auto" w:fill="BAD3EA"/>
          </w:tcPr>
          <w:p>
            <w:pPr>
              <w:spacing w:after="0"/>
              <w:rPr>
                <w:sz w:val="21"/>
                <w:szCs w:val="21"/>
                <w:color w:val="auto"/>
              </w:rPr>
            </w:pPr>
          </w:p>
        </w:tc>
        <w:tc>
          <w:tcPr>
            <w:tcW w:w="1340" w:type="dxa"/>
            <w:vAlign w:val="bottom"/>
            <w:tcBorders>
              <w:bottom w:val="single" w:sz="8" w:color="BAD3EA"/>
            </w:tcBorders>
            <w:shd w:val="clear" w:color="auto" w:fill="BAD3EA"/>
          </w:tcPr>
          <w:p>
            <w:pPr>
              <w:jc w:val="right"/>
              <w:ind w:right="122"/>
              <w:spacing w:after="0"/>
              <w:rPr>
                <w:sz w:val="20"/>
                <w:szCs w:val="20"/>
                <w:color w:val="auto"/>
              </w:rPr>
            </w:pPr>
            <w:r>
              <w:rPr>
                <w:rFonts w:ascii="Arial" w:cs="Arial" w:eastAsia="Arial" w:hAnsi="Arial"/>
                <w:sz w:val="16"/>
                <w:szCs w:val="16"/>
                <w:color w:val="auto"/>
              </w:rPr>
              <w:t>$ 3,917.1</w:t>
            </w:r>
          </w:p>
        </w:tc>
      </w:tr>
      <w:tr>
        <w:trPr>
          <w:trHeight w:val="20"/>
        </w:trPr>
        <w:tc>
          <w:tcPr>
            <w:tcW w:w="20" w:type="dxa"/>
            <w:vAlign w:val="bottom"/>
          </w:tcPr>
          <w:p>
            <w:pPr>
              <w:spacing w:after="0" w:line="20" w:lineRule="exact"/>
              <w:rPr>
                <w:sz w:val="1"/>
                <w:szCs w:val="1"/>
                <w:color w:val="auto"/>
              </w:rPr>
            </w:pPr>
          </w:p>
        </w:tc>
        <w:tc>
          <w:tcPr>
            <w:tcW w:w="83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-5822315</wp:posOffset>
            </wp:positionV>
            <wp:extent cx="154368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543685" cy="8890"/>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-4810125</wp:posOffset>
            </wp:positionV>
            <wp:extent cx="168084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6" w:lineRule="exact"/>
        <w:rPr>
          <w:sz w:val="20"/>
          <w:szCs w:val="20"/>
          <w:color w:val="auto"/>
        </w:rPr>
      </w:pPr>
    </w:p>
    <w:p>
      <w:pPr>
        <w:ind w:left="420" w:right="60" w:hanging="216"/>
        <w:spacing w:after="0" w:line="258" w:lineRule="auto"/>
        <w:tabs>
          <w:tab w:leader="none" w:pos="42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On February 1, 2017, we completed the spin-off of our hemophilia business. Our consolidated results of operations reflect the financial results of our hemophilia business through January 31, 2017.</w:t>
      </w:r>
    </w:p>
    <w:p>
      <w:pPr>
        <w:spacing w:after="0" w:line="59" w:lineRule="exact"/>
        <w:rPr>
          <w:sz w:val="20"/>
          <w:szCs w:val="20"/>
          <w:color w:val="auto"/>
        </w:rPr>
      </w:pPr>
    </w:p>
    <w:p>
      <w:pPr>
        <w:ind w:left="420" w:right="60" w:hanging="216"/>
        <w:spacing w:after="0" w:line="183" w:lineRule="auto"/>
        <w:tabs>
          <w:tab w:leader="none" w:pos="420" w:val="left"/>
        </w:tabs>
        <w:numPr>
          <w:ilvl w:val="0"/>
          <w:numId w:val="152"/>
        </w:numPr>
        <w:rPr>
          <w:rFonts w:ascii="Arial" w:cs="Arial" w:eastAsia="Arial" w:hAnsi="Arial"/>
          <w:sz w:val="24"/>
          <w:szCs w:val="24"/>
          <w:color w:val="auto"/>
          <w:vertAlign w:val="superscript"/>
        </w:rPr>
      </w:pPr>
      <w:r>
        <w:rPr>
          <w:rFonts w:ascii="Arial" w:cs="Arial" w:eastAsia="Arial" w:hAnsi="Arial"/>
          <w:sz w:val="14"/>
          <w:szCs w:val="14"/>
          <w:color w:val="auto"/>
        </w:rPr>
        <w:t>In January 2017 we entered into a settlement and license agreement among Biogen Swiss Manufacturing GmbH, Biogen International Holding Ltd., Forward Pharma A/S (Forward Pharma) and certain related parties, which was effective February 1, 2017. Pursuant to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76835</wp:posOffset>
            </wp:positionV>
            <wp:extent cx="720090" cy="15430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0090" cy="154305"/>
                    </a:xfrm>
                    <a:prstGeom prst="rect">
                      <a:avLst/>
                    </a:prstGeom>
                    <a:noFill/>
                  </pic:spPr>
                </pic:pic>
              </a:graphicData>
            </a:graphic>
          </wp:anchor>
        </w:drawing>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-71120</wp:posOffset>
            </wp:positionV>
            <wp:extent cx="102870" cy="9461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18034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997700" cy="180340"/>
                    </a:xfrm>
                    <a:prstGeom prst="rect">
                      <a:avLst/>
                    </a:prstGeom>
                    <a:noFill/>
                  </pic:spPr>
                </pic:pic>
              </a:graphicData>
            </a:graphic>
          </wp:anchor>
        </w:drawing>
      </w:r>
    </w:p>
    <w:p>
      <w:pPr>
        <w:spacing w:after="0" w:line="345"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FFFFFF"/>
        </w:rPr>
        <w:t>2019 PROXY STATEMENT</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1A6DBB"/>
        </w:rPr>
        <w:t xml:space="preserve">Appendix A </w:t>
      </w:r>
      <w:r>
        <w:rPr>
          <w:rFonts w:ascii="Arial" w:cs="Arial" w:eastAsia="Arial" w:hAnsi="Arial"/>
          <w:sz w:val="11"/>
          <w:szCs w:val="11"/>
          <w:color w:val="1A6DBB"/>
        </w:rPr>
        <w:t>(continued)</w:t>
      </w:r>
    </w:p>
    <w:p>
      <w:pPr>
        <w:spacing w:after="0" w:line="168" w:lineRule="exact"/>
        <w:rPr>
          <w:sz w:val="20"/>
          <w:szCs w:val="20"/>
          <w:color w:val="auto"/>
        </w:rPr>
      </w:pPr>
    </w:p>
    <w:p>
      <w:pPr>
        <w:ind w:left="420" w:right="400"/>
        <w:spacing w:after="0" w:line="258" w:lineRule="auto"/>
        <w:rPr>
          <w:sz w:val="20"/>
          <w:szCs w:val="20"/>
          <w:color w:val="auto"/>
        </w:rPr>
      </w:pPr>
      <w:r>
        <w:rPr>
          <w:rFonts w:ascii="Arial" w:cs="Arial" w:eastAsia="Arial" w:hAnsi="Arial"/>
          <w:sz w:val="14"/>
          <w:szCs w:val="14"/>
          <w:color w:val="auto"/>
        </w:rPr>
        <w:t>agreement, we obtained U.S. and rest of world licenses to Forward Pharma’s intellectual property, including Forward Pharma’s intellectual property related to TECFIDERA. In exchange, we paid Forward Pharma $1.25 billion in cash, of which $795.2 million was recognized as an intangible asset in the first quarter of 2017.</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We have two intellectual property disputes with Forward Pharma, one in the U.S. and one in the European Union, concerning intellectual property related to TECFIDERA.</w:t>
      </w:r>
    </w:p>
    <w:p>
      <w:pPr>
        <w:spacing w:after="0" w:line="69" w:lineRule="exact"/>
        <w:rPr>
          <w:sz w:val="20"/>
          <w:szCs w:val="20"/>
          <w:color w:val="auto"/>
        </w:rPr>
      </w:pPr>
    </w:p>
    <w:p>
      <w:pPr>
        <w:ind w:left="420"/>
        <w:spacing w:after="0" w:line="244" w:lineRule="auto"/>
        <w:rPr>
          <w:sz w:val="20"/>
          <w:szCs w:val="20"/>
          <w:color w:val="auto"/>
        </w:rPr>
      </w:pPr>
      <w:r>
        <w:rPr>
          <w:rFonts w:ascii="Arial" w:cs="Arial" w:eastAsia="Arial" w:hAnsi="Arial"/>
          <w:sz w:val="14"/>
          <w:szCs w:val="14"/>
          <w:color w:val="auto"/>
        </w:rPr>
        <w:t>In March 2017 the U.S. intellectual property dispute was decided in our favor. Forward Pharma appealed to the U.S. Court of Appeals for the Federal Circuit. We evaluated the recoverability of the U.S. asset acquired from Forward Pharma and recorded a $328.2 million impairment charge in the first quarter of 2017 to adjust the carrying value of the acquired U.S. asset to fair value reflecting the impact of the developments in the U.S. legal dispute and continued to amortize the remaining net book value of the U.S. intangible asset in our consolidated statements of income utilizing an economic consumption model. The U.S. Court of Appeals for the Federal Circuit upheld the U.S. Patent and Trademark Office’s March 2017 ruling and in January 2019 denied Forward Pharma’s petition for rehearing. We evaluated the recoverability of the U.S. asset based upon these most recent developments and recorded a $176.8 million impairment charge in the fourth quarter of 2018 to reduce the remaining net book value of the U.S. asset to zero.</w:t>
      </w:r>
    </w:p>
    <w:p>
      <w:pPr>
        <w:spacing w:after="0" w:line="70" w:lineRule="exact"/>
        <w:rPr>
          <w:sz w:val="20"/>
          <w:szCs w:val="20"/>
          <w:color w:val="auto"/>
        </w:rPr>
      </w:pPr>
    </w:p>
    <w:p>
      <w:pPr>
        <w:ind w:left="420" w:right="220"/>
        <w:spacing w:after="0" w:line="250" w:lineRule="auto"/>
        <w:rPr>
          <w:sz w:val="20"/>
          <w:szCs w:val="20"/>
          <w:color w:val="auto"/>
        </w:rPr>
      </w:pPr>
      <w:r>
        <w:rPr>
          <w:rFonts w:ascii="Arial" w:cs="Arial" w:eastAsia="Arial" w:hAnsi="Arial"/>
          <w:sz w:val="14"/>
          <w:szCs w:val="14"/>
          <w:color w:val="auto"/>
        </w:rPr>
        <w:t>In March 2018 the European Patent Office (EPO) revoked Forward Pharma’s European Patent No. 2 801 355. Forward Pharma has filed an appeal to the Technical Boards of Appeal of the EPO and the appeal is pending. Based upon our assessment of this ruling, we continue to amortize the remaining net book value of the rest of world intangible asset in our consolidated statements of income utilizing an economic consumption model.</w:t>
      </w:r>
    </w:p>
    <w:p>
      <w:pPr>
        <w:spacing w:after="0" w:line="64" w:lineRule="exact"/>
        <w:rPr>
          <w:sz w:val="20"/>
          <w:szCs w:val="20"/>
          <w:color w:val="auto"/>
        </w:rPr>
      </w:pPr>
    </w:p>
    <w:p>
      <w:pPr>
        <w:ind w:left="420" w:right="280"/>
        <w:spacing w:after="0" w:line="250" w:lineRule="auto"/>
        <w:rPr>
          <w:sz w:val="20"/>
          <w:szCs w:val="20"/>
          <w:color w:val="auto"/>
        </w:rPr>
      </w:pPr>
      <w:r>
        <w:rPr>
          <w:rFonts w:ascii="Arial" w:cs="Arial" w:eastAsia="Arial" w:hAnsi="Arial"/>
          <w:sz w:val="14"/>
          <w:szCs w:val="14"/>
          <w:color w:val="auto"/>
        </w:rPr>
        <w:t>Amortization of acquired intangible assets for the twelve months ended December 31, 2017, also includes a $31.2 million pre-tax impairment charge related to our acquired and in-licensed rights and patents intangible asset associated with ZINBRYTA after the initiation of an European Medicines Agency review (referred to as an Article 20 Procedure) of ZINBRYTA following the report of a case of fatal fulminant liver failure, as well as four cases of serious liver injury.</w:t>
      </w:r>
    </w:p>
    <w:p>
      <w:pPr>
        <w:spacing w:after="0" w:line="51" w:lineRule="exact"/>
        <w:rPr>
          <w:sz w:val="20"/>
          <w:szCs w:val="20"/>
          <w:color w:val="auto"/>
        </w:rPr>
      </w:pPr>
    </w:p>
    <w:p>
      <w:pPr>
        <w:ind w:left="420" w:right="140" w:hanging="216"/>
        <w:spacing w:after="0" w:line="183" w:lineRule="auto"/>
        <w:tabs>
          <w:tab w:leader="none" w:pos="420" w:val="left"/>
        </w:tabs>
        <w:numPr>
          <w:ilvl w:val="0"/>
          <w:numId w:val="153"/>
        </w:numPr>
        <w:rPr>
          <w:rFonts w:ascii="Arial" w:cs="Arial" w:eastAsia="Arial" w:hAnsi="Arial"/>
          <w:sz w:val="24"/>
          <w:szCs w:val="24"/>
          <w:color w:val="auto"/>
          <w:vertAlign w:val="superscript"/>
        </w:rPr>
      </w:pPr>
      <w:r>
        <w:rPr>
          <w:rFonts w:ascii="Arial" w:cs="Arial" w:eastAsia="Arial" w:hAnsi="Arial"/>
          <w:sz w:val="14"/>
          <w:szCs w:val="14"/>
          <w:color w:val="auto"/>
        </w:rPr>
        <w:t>Amortization of acquired intangible assets for the twelve months ended December 31, 2018, includes the impact of impairment charges totaling $189.3 million related to certain in-process research and development (IPR&amp;D) assets associated with our vixotrigine (BIIB074) program.</w:t>
      </w:r>
    </w:p>
    <w:p>
      <w:pPr>
        <w:spacing w:after="0" w:line="71" w:lineRule="exact"/>
        <w:rPr>
          <w:rFonts w:ascii="Arial" w:cs="Arial" w:eastAsia="Arial" w:hAnsi="Arial"/>
          <w:sz w:val="24"/>
          <w:szCs w:val="24"/>
          <w:color w:val="auto"/>
          <w:vertAlign w:val="superscript"/>
        </w:rPr>
      </w:pPr>
    </w:p>
    <w:p>
      <w:pPr>
        <w:ind w:left="420"/>
        <w:spacing w:after="0" w:line="243" w:lineRule="auto"/>
        <w:rPr>
          <w:rFonts w:ascii="Arial" w:cs="Arial" w:eastAsia="Arial" w:hAnsi="Arial"/>
          <w:sz w:val="24"/>
          <w:szCs w:val="24"/>
          <w:color w:val="auto"/>
          <w:vertAlign w:val="superscript"/>
        </w:rPr>
      </w:pPr>
      <w:r>
        <w:rPr>
          <w:rFonts w:ascii="Arial" w:cs="Arial" w:eastAsia="Arial" w:hAnsi="Arial"/>
          <w:sz w:val="14"/>
          <w:szCs w:val="14"/>
          <w:color w:val="auto"/>
        </w:rPr>
        <w:t>During the third quarter of 2018 we completed a Phase 2b study of vixotrigine for the treatment of painful lumbosacral radiculopathy (PLSR). The study did not meet its primary or secondary efficacy endpoints; therefore, we discontinued development of vixotrigine for the treatment of PLSR and we recognized an impairment charge of approximately $60.0 million during the third quarter of 2018 to reduce the fair value of the related IPR&amp;D intangible asset to zero. In addition, we delayed the initiation of the Phase 3 studies of vixotrigine for the treatment of trigeminal neuralgia (TGN) as we awaited the outcome of ongoing interactions with the U.S. Food and Drug Administration (FDA) regarding the design of the Phase 3 studies, a more detailed review of the data from the Phase 2b study of vixotrigine for the treatment of PLSR and insights from the Phase 2 study of vixotrigine for the treatment of small fiber neuropathy. We reassessed the fair value of our vixotrigine program for the treatment of TGN using reduced expected lifetime revenues, higher expected clinical development costs and a lower cumulative probability of success and, as a result of that assessment, we recognized an impairment charge of $129.3 million during the third quarter of 2018 to reduce the fair value of the IPR&amp;D intangible asset associated with our vixotrigine program for the treatment of TGN to $41.8 million.</w:t>
      </w:r>
    </w:p>
    <w:p>
      <w:pPr>
        <w:spacing w:after="0" w:line="73" w:lineRule="exact"/>
        <w:rPr>
          <w:sz w:val="20"/>
          <w:szCs w:val="20"/>
          <w:color w:val="auto"/>
        </w:rPr>
      </w:pPr>
    </w:p>
    <w:p>
      <w:pPr>
        <w:ind w:left="420" w:hanging="216"/>
        <w:spacing w:after="0" w:line="183" w:lineRule="auto"/>
        <w:tabs>
          <w:tab w:leader="none" w:pos="420" w:val="left"/>
        </w:tabs>
        <w:numPr>
          <w:ilvl w:val="0"/>
          <w:numId w:val="154"/>
        </w:numPr>
        <w:rPr>
          <w:rFonts w:ascii="Arial" w:cs="Arial" w:eastAsia="Arial" w:hAnsi="Arial"/>
          <w:sz w:val="24"/>
          <w:szCs w:val="24"/>
          <w:color w:val="auto"/>
          <w:vertAlign w:val="superscript"/>
        </w:rPr>
      </w:pPr>
      <w:r>
        <w:rPr>
          <w:rFonts w:ascii="Arial" w:cs="Arial" w:eastAsia="Arial" w:hAnsi="Arial"/>
          <w:sz w:val="14"/>
          <w:szCs w:val="14"/>
          <w:color w:val="auto"/>
        </w:rPr>
        <w:t>GAAP research and development expense for the twelve months ended December 31, 2018, include a $10.0 million contingent consideration payment accrued in relation to the acquisition of an asset.</w:t>
      </w:r>
    </w:p>
    <w:p>
      <w:pPr>
        <w:spacing w:after="0" w:line="58" w:lineRule="exact"/>
        <w:rPr>
          <w:sz w:val="20"/>
          <w:szCs w:val="20"/>
          <w:color w:val="auto"/>
        </w:rPr>
      </w:pPr>
    </w:p>
    <w:p>
      <w:pPr>
        <w:ind w:left="420" w:hanging="216"/>
        <w:spacing w:after="0" w:line="183" w:lineRule="auto"/>
        <w:tabs>
          <w:tab w:leader="none" w:pos="420" w:val="left"/>
        </w:tabs>
        <w:numPr>
          <w:ilvl w:val="0"/>
          <w:numId w:val="155"/>
        </w:numPr>
        <w:rPr>
          <w:rFonts w:ascii="Arial" w:cs="Arial" w:eastAsia="Arial" w:hAnsi="Arial"/>
          <w:sz w:val="24"/>
          <w:szCs w:val="24"/>
          <w:color w:val="auto"/>
          <w:vertAlign w:val="superscript"/>
        </w:rPr>
      </w:pPr>
      <w:r>
        <w:rPr>
          <w:rFonts w:ascii="Arial" w:cs="Arial" w:eastAsia="Arial" w:hAnsi="Arial"/>
          <w:sz w:val="14"/>
          <w:szCs w:val="14"/>
          <w:color w:val="auto"/>
        </w:rPr>
        <w:t>During the third quarter of 2018, we adjusted the fair value of our contingent consideration obligations related to our vixotrigine program for the treatment of TGN to reflect the lower cumulative probabilities of success, which resulted in a gain of $89.6 million.</w:t>
      </w:r>
    </w:p>
    <w:p>
      <w:pPr>
        <w:spacing w:after="0" w:line="71" w:lineRule="exact"/>
        <w:rPr>
          <w:rFonts w:ascii="Arial" w:cs="Arial" w:eastAsia="Arial" w:hAnsi="Arial"/>
          <w:sz w:val="24"/>
          <w:szCs w:val="24"/>
          <w:color w:val="auto"/>
          <w:vertAlign w:val="superscript"/>
        </w:rPr>
      </w:pPr>
    </w:p>
    <w:p>
      <w:pPr>
        <w:ind w:left="420" w:right="80"/>
        <w:spacing w:after="0" w:line="247" w:lineRule="auto"/>
        <w:rPr>
          <w:rFonts w:ascii="Arial" w:cs="Arial" w:eastAsia="Arial" w:hAnsi="Arial"/>
          <w:sz w:val="24"/>
          <w:szCs w:val="24"/>
          <w:color w:val="auto"/>
          <w:vertAlign w:val="superscript"/>
        </w:rPr>
      </w:pPr>
      <w:r>
        <w:rPr>
          <w:rFonts w:ascii="Arial" w:cs="Arial" w:eastAsia="Arial" w:hAnsi="Arial"/>
          <w:sz w:val="14"/>
          <w:szCs w:val="14"/>
          <w:color w:val="auto"/>
        </w:rPr>
        <w:t>In late December 2018 we received feedback from the FDA regarding the design of the Phase 3 studies of vixotrigine for the treatment of TGN. Following this feedback, we are now planning to initiate the Phase 3 studies for our vixotrigine program for the treatment of TGN and, as a result, we adjusted the fair value of our contingent consideration obligations related to our vixotrigine program for the treatment of TGN to reflect increased probabilities of success and recognized a loss of $80.6 million in the fourth quarter of 2018.</w:t>
      </w:r>
    </w:p>
    <w:p>
      <w:pPr>
        <w:spacing w:after="0" w:line="67" w:lineRule="exact"/>
        <w:rPr>
          <w:sz w:val="20"/>
          <w:szCs w:val="20"/>
          <w:color w:val="auto"/>
        </w:rPr>
      </w:pPr>
    </w:p>
    <w:p>
      <w:pPr>
        <w:ind w:left="420" w:right="100" w:hanging="216"/>
        <w:spacing w:after="0" w:line="199" w:lineRule="auto"/>
        <w:tabs>
          <w:tab w:leader="none" w:pos="420" w:val="left"/>
        </w:tabs>
        <w:numPr>
          <w:ilvl w:val="0"/>
          <w:numId w:val="156"/>
        </w:numPr>
        <w:rPr>
          <w:rFonts w:ascii="Arial" w:cs="Arial" w:eastAsia="Arial" w:hAnsi="Arial"/>
          <w:sz w:val="24"/>
          <w:szCs w:val="24"/>
          <w:color w:val="auto"/>
          <w:vertAlign w:val="superscript"/>
        </w:rPr>
      </w:pPr>
      <w:r>
        <w:rPr>
          <w:rFonts w:ascii="Arial" w:cs="Arial" w:eastAsia="Arial" w:hAnsi="Arial"/>
          <w:sz w:val="14"/>
          <w:szCs w:val="14"/>
          <w:color w:val="auto"/>
        </w:rPr>
        <w:t>In June 2018 we closed a new ten-year exclusive agreement with Ionis Pharmaceuticals, Inc. (Ionis) to develop novel antisense oligonucleotide drug candidates for a broad range of neurological diseases for a total payment of $1.0 billion consisting of an upfront payment of $375.0 million and the purchase of approximately 11.5 million shares of Ionis’ common stock at a cost of $625.0 million.</w:t>
      </w:r>
    </w:p>
    <w:p>
      <w:pPr>
        <w:spacing w:after="0" w:line="71" w:lineRule="exact"/>
        <w:rPr>
          <w:rFonts w:ascii="Arial" w:cs="Arial" w:eastAsia="Arial" w:hAnsi="Arial"/>
          <w:sz w:val="24"/>
          <w:szCs w:val="24"/>
          <w:color w:val="auto"/>
          <w:vertAlign w:val="superscript"/>
        </w:rPr>
      </w:pPr>
    </w:p>
    <w:p>
      <w:pPr>
        <w:ind w:left="420" w:right="40"/>
        <w:spacing w:after="0" w:line="245" w:lineRule="auto"/>
        <w:rPr>
          <w:rFonts w:ascii="Arial" w:cs="Arial" w:eastAsia="Arial" w:hAnsi="Arial"/>
          <w:sz w:val="24"/>
          <w:szCs w:val="24"/>
          <w:color w:val="auto"/>
          <w:vertAlign w:val="superscript"/>
        </w:rPr>
      </w:pPr>
      <w:r>
        <w:rPr>
          <w:rFonts w:ascii="Arial" w:cs="Arial" w:eastAsia="Arial" w:hAnsi="Arial"/>
          <w:sz w:val="14"/>
          <w:szCs w:val="14"/>
          <w:color w:val="auto"/>
        </w:rPr>
        <w:t>The 11.5 million shares of Ionis’ common stock were purchased at a premium to their fair value at the transaction closing date. The premium consisted of acquiring the shares at a price above the fair value based on the trailing 10-day weighted-average close price prior to entering into the agreement in April 2018 and the effect of certain holding period restrictions. We recorded an asset of $462.9 million in investments and other assets in our consolidated balance sheets reflecting the fair value of the common stock as of the purchase date and a charge of $162.1 million to research and development expense in our consolidated statements of income during the second quarter of 2018 reflecting the premium paid for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75565</wp:posOffset>
            </wp:positionV>
            <wp:extent cx="720090" cy="15430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0090" cy="154305"/>
                    </a:xfrm>
                    <a:prstGeom prst="rect">
                      <a:avLst/>
                    </a:prstGeom>
                    <a:noFill/>
                  </pic:spPr>
                </pic:pic>
              </a:graphicData>
            </a:graphic>
          </wp:anchor>
        </w:drawing>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-71120</wp:posOffset>
            </wp:positionV>
            <wp:extent cx="102870" cy="9461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18034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997700" cy="180340"/>
                    </a:xfrm>
                    <a:prstGeom prst="rect">
                      <a:avLst/>
                    </a:prstGeom>
                    <a:noFill/>
                  </pic:spPr>
                </pic:pic>
              </a:graphicData>
            </a:graphic>
          </wp:anchor>
        </w:drawing>
      </w:r>
    </w:p>
    <w:p>
      <w:pPr>
        <w:spacing w:after="0" w:line="345"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FFFFFF"/>
        </w:rPr>
        <w:t>2019 PROXY STATEMENT</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1A6DBB"/>
        </w:rPr>
        <w:t xml:space="preserve">Appendix A </w:t>
      </w:r>
      <w:r>
        <w:rPr>
          <w:rFonts w:ascii="Arial" w:cs="Arial" w:eastAsia="Arial" w:hAnsi="Arial"/>
          <w:sz w:val="11"/>
          <w:szCs w:val="11"/>
          <w:color w:val="1A6DBB"/>
        </w:rPr>
        <w:t>(continued)</w:t>
      </w:r>
    </w:p>
    <w:p>
      <w:pPr>
        <w:spacing w:after="0" w:line="249" w:lineRule="exact"/>
        <w:rPr>
          <w:sz w:val="20"/>
          <w:szCs w:val="20"/>
          <w:color w:val="auto"/>
        </w:rPr>
      </w:pPr>
    </w:p>
    <w:p>
      <w:pPr>
        <w:ind w:left="420" w:right="200" w:hanging="216"/>
        <w:spacing w:after="0" w:line="208" w:lineRule="auto"/>
        <w:tabs>
          <w:tab w:leader="none" w:pos="420" w:val="left"/>
        </w:tabs>
        <w:numPr>
          <w:ilvl w:val="0"/>
          <w:numId w:val="157"/>
        </w:numPr>
        <w:rPr>
          <w:rFonts w:ascii="Arial" w:cs="Arial" w:eastAsia="Arial" w:hAnsi="Arial"/>
          <w:sz w:val="24"/>
          <w:szCs w:val="24"/>
          <w:color w:val="auto"/>
          <w:vertAlign w:val="superscript"/>
        </w:rPr>
      </w:pPr>
      <w:r>
        <w:rPr>
          <w:rFonts w:ascii="Arial" w:cs="Arial" w:eastAsia="Arial" w:hAnsi="Arial"/>
          <w:sz w:val="14"/>
          <w:szCs w:val="14"/>
          <w:color w:val="auto"/>
        </w:rPr>
        <w:t>In October 2017 we amended the terms of our collaboration and license agreement with Neurimmune SubOne AG (Neurimmune). Under the amended agreement, we made a $150.0 million payment to Neurimmune in exchange for a 15% reduction in the previously negotiated royalty rates payable on products developed under this agreement. In May 2018 we made an additional $50.0 million payment to Neurimmune to further reduce the previously negotiated royalty rates payable on products developed under this agreement by an additional 5%.</w:t>
      </w:r>
    </w:p>
    <w:p>
      <w:pPr>
        <w:spacing w:after="0" w:line="71" w:lineRule="exact"/>
        <w:rPr>
          <w:rFonts w:ascii="Arial" w:cs="Arial" w:eastAsia="Arial" w:hAnsi="Arial"/>
          <w:sz w:val="24"/>
          <w:szCs w:val="24"/>
          <w:color w:val="auto"/>
          <w:vertAlign w:val="superscript"/>
        </w:rPr>
      </w:pPr>
    </w:p>
    <w:p>
      <w:pPr>
        <w:ind w:left="420"/>
        <w:spacing w:after="0" w:line="258" w:lineRule="auto"/>
        <w:rPr>
          <w:rFonts w:ascii="Arial" w:cs="Arial" w:eastAsia="Arial" w:hAnsi="Arial"/>
          <w:sz w:val="24"/>
          <w:szCs w:val="24"/>
          <w:color w:val="auto"/>
          <w:vertAlign w:val="superscript"/>
        </w:rPr>
      </w:pPr>
      <w:r>
        <w:rPr>
          <w:rFonts w:ascii="Arial" w:cs="Arial" w:eastAsia="Arial" w:hAnsi="Arial"/>
          <w:sz w:val="14"/>
          <w:szCs w:val="14"/>
          <w:color w:val="auto"/>
        </w:rPr>
        <w:t>Net distribution to noncontrolling interest for the twelve months ended December 31, 2018, reflects the $50.0 million payment made to Neurimmune, net of Neurimmune’s tax, in May 2018.</w:t>
      </w:r>
    </w:p>
    <w:p>
      <w:pPr>
        <w:spacing w:after="0" w:line="59" w:lineRule="exact"/>
        <w:rPr>
          <w:sz w:val="20"/>
          <w:szCs w:val="20"/>
          <w:color w:val="auto"/>
        </w:rPr>
      </w:pPr>
    </w:p>
    <w:p>
      <w:pPr>
        <w:ind w:left="420" w:right="900"/>
        <w:spacing w:after="0" w:line="258" w:lineRule="auto"/>
        <w:rPr>
          <w:sz w:val="20"/>
          <w:szCs w:val="20"/>
          <w:color w:val="auto"/>
        </w:rPr>
      </w:pPr>
      <w:r>
        <w:rPr>
          <w:rFonts w:ascii="Arial" w:cs="Arial" w:eastAsia="Arial" w:hAnsi="Arial"/>
          <w:sz w:val="14"/>
          <w:szCs w:val="14"/>
          <w:color w:val="auto"/>
        </w:rPr>
        <w:t>Net distribution to noncontrolling interest for the twelve months ended December 31, 2017, reflects the $150.0 million payment made to Neurimmune, net of Neurimmune’s tax, in October 2017.</w:t>
      </w:r>
    </w:p>
    <w:p>
      <w:pPr>
        <w:ind w:left="420" w:hanging="216"/>
        <w:spacing w:after="0" w:line="201" w:lineRule="auto"/>
        <w:tabs>
          <w:tab w:leader="none" w:pos="420" w:val="left"/>
        </w:tabs>
        <w:numPr>
          <w:ilvl w:val="0"/>
          <w:numId w:val="158"/>
        </w:numPr>
        <w:rPr>
          <w:rFonts w:ascii="Arial" w:cs="Arial" w:eastAsia="Arial" w:hAnsi="Arial"/>
          <w:sz w:val="24"/>
          <w:szCs w:val="24"/>
          <w:color w:val="auto"/>
          <w:vertAlign w:val="superscript"/>
        </w:rPr>
      </w:pPr>
      <w:r>
        <w:rPr>
          <w:rFonts w:ascii="Arial" w:cs="Arial" w:eastAsia="Arial" w:hAnsi="Arial"/>
          <w:sz w:val="14"/>
          <w:szCs w:val="14"/>
          <w:color w:val="auto"/>
        </w:rPr>
        <w:t>2017 corporate strategy implementation and restructuring charges are related to our efforts to create a leaner and simpler operating model.</w:t>
      </w:r>
    </w:p>
    <w:p>
      <w:pPr>
        <w:ind w:left="420" w:hanging="216"/>
        <w:spacing w:after="0" w:line="199" w:lineRule="auto"/>
        <w:tabs>
          <w:tab w:leader="none" w:pos="420" w:val="left"/>
        </w:tabs>
        <w:numPr>
          <w:ilvl w:val="0"/>
          <w:numId w:val="159"/>
        </w:numPr>
        <w:rPr>
          <w:rFonts w:ascii="Arial" w:cs="Arial" w:eastAsia="Arial" w:hAnsi="Arial"/>
          <w:sz w:val="24"/>
          <w:szCs w:val="24"/>
          <w:color w:val="auto"/>
          <w:vertAlign w:val="superscript"/>
        </w:rPr>
      </w:pPr>
      <w:r>
        <w:rPr>
          <w:rFonts w:ascii="Arial" w:cs="Arial" w:eastAsia="Arial" w:hAnsi="Arial"/>
          <w:sz w:val="14"/>
          <w:szCs w:val="14"/>
          <w:color w:val="auto"/>
        </w:rPr>
        <w:t>Elimination of deferred tax asset due to Samsung Bioepis Co., Ltd. qualifying as a corporate joint venture for accounting purposes.</w:t>
      </w:r>
    </w:p>
    <w:p>
      <w:pPr>
        <w:spacing w:after="0" w:line="58" w:lineRule="exact"/>
        <w:rPr>
          <w:sz w:val="20"/>
          <w:szCs w:val="20"/>
          <w:color w:val="auto"/>
        </w:rPr>
      </w:pPr>
    </w:p>
    <w:p>
      <w:pPr>
        <w:ind w:left="420" w:right="20" w:hanging="216"/>
        <w:spacing w:after="0" w:line="218" w:lineRule="auto"/>
        <w:tabs>
          <w:tab w:leader="none" w:pos="420" w:val="left"/>
        </w:tabs>
        <w:numPr>
          <w:ilvl w:val="0"/>
          <w:numId w:val="160"/>
        </w:numPr>
        <w:rPr>
          <w:rFonts w:ascii="Arial" w:cs="Arial" w:eastAsia="Arial" w:hAnsi="Arial"/>
          <w:sz w:val="24"/>
          <w:szCs w:val="24"/>
          <w:color w:val="auto"/>
          <w:vertAlign w:val="superscript"/>
        </w:rPr>
      </w:pPr>
      <w:r>
        <w:rPr>
          <w:rFonts w:ascii="Arial" w:cs="Arial" w:eastAsia="Arial" w:hAnsi="Arial"/>
          <w:sz w:val="14"/>
          <w:szCs w:val="14"/>
          <w:color w:val="auto"/>
        </w:rPr>
        <w:t>The Tax Cuts and Jobs Act of 2017 (2017 Tax Act) resulted in significant changes to the U.S. corporate tax system. These changes include a federal statutory rate reduction from 35% to 21%, the elimination or reduction of certain domestic deductions and credits and limitations on the deductibility of interest expense and executive compensation. The 2017 Tax Act also transitions international taxation from a worldwide system to a modified territorial system and includes base erosion prevention measures on non-U.S. earnings, which has the effect of subjecting certain earnings of our foreign subsidiaries to U.S. taxation as global low-taxed income (GILTI). During the fourth quarter of 2018 we elected to recognize deferred taxes for basis differences expected to reverse as GILTI is incurred and have established initial deferred tax balances, as of the enactment date of the 2017 Tax Act.</w:t>
      </w:r>
    </w:p>
    <w:p>
      <w:pPr>
        <w:spacing w:after="0" w:line="71" w:lineRule="exact"/>
        <w:rPr>
          <w:rFonts w:ascii="Arial" w:cs="Arial" w:eastAsia="Arial" w:hAnsi="Arial"/>
          <w:sz w:val="24"/>
          <w:szCs w:val="24"/>
          <w:color w:val="auto"/>
          <w:vertAlign w:val="superscript"/>
        </w:rPr>
      </w:pPr>
    </w:p>
    <w:p>
      <w:pPr>
        <w:ind w:left="420"/>
        <w:spacing w:after="0" w:line="247" w:lineRule="auto"/>
        <w:rPr>
          <w:rFonts w:ascii="Arial" w:cs="Arial" w:eastAsia="Arial" w:hAnsi="Arial"/>
          <w:sz w:val="24"/>
          <w:szCs w:val="24"/>
          <w:color w:val="auto"/>
          <w:vertAlign w:val="superscript"/>
        </w:rPr>
      </w:pPr>
      <w:r>
        <w:rPr>
          <w:rFonts w:ascii="Arial" w:cs="Arial" w:eastAsia="Arial" w:hAnsi="Arial"/>
          <w:sz w:val="14"/>
          <w:szCs w:val="14"/>
          <w:color w:val="auto"/>
        </w:rPr>
        <w:t>During the fourth quarter of 2017 we recognized within our provision for income taxes a $1.2 billion provisional estimate pursuant to U.S. Securities and Exchange Commission Staff Accounting Bulletin No. 118. Our provisional estimate included an amount of $989.6 million associated with a one-time mandatory deemed repatriation tax on accumulated foreign subsidiaries’ previously untaxed foreign earnings (the Transition Toll Tax) and $184.0 million related to the impact of remeasuring our deferred tax balances to reflect the new federal statutory rate and other changes to U.S. tax law.</w:t>
      </w:r>
    </w:p>
    <w:p>
      <w:pPr>
        <w:spacing w:after="0" w:line="66" w:lineRule="exact"/>
        <w:rPr>
          <w:rFonts w:ascii="Arial" w:cs="Arial" w:eastAsia="Arial" w:hAnsi="Arial"/>
          <w:sz w:val="24"/>
          <w:szCs w:val="24"/>
          <w:color w:val="auto"/>
          <w:vertAlign w:val="superscript"/>
        </w:rPr>
      </w:pPr>
    </w:p>
    <w:p>
      <w:pPr>
        <w:ind w:left="420" w:right="280"/>
        <w:spacing w:after="0" w:line="258" w:lineRule="auto"/>
        <w:rPr>
          <w:rFonts w:ascii="Arial" w:cs="Arial" w:eastAsia="Arial" w:hAnsi="Arial"/>
          <w:sz w:val="24"/>
          <w:szCs w:val="24"/>
          <w:color w:val="auto"/>
          <w:vertAlign w:val="superscript"/>
        </w:rPr>
      </w:pPr>
      <w:r>
        <w:rPr>
          <w:rFonts w:ascii="Arial" w:cs="Arial" w:eastAsia="Arial" w:hAnsi="Arial"/>
          <w:sz w:val="14"/>
          <w:szCs w:val="14"/>
          <w:color w:val="auto"/>
        </w:rPr>
        <w:t>Tax reform amounts for the twelve months ended December 31, 2018, reflect the effect of an expense of $135.8 million related to the establishment of GILTI deferred taxes.</w:t>
      </w:r>
    </w:p>
    <w:p>
      <w:pPr>
        <w:spacing w:after="0" w:line="59" w:lineRule="exact"/>
        <w:rPr>
          <w:rFonts w:ascii="Arial" w:cs="Arial" w:eastAsia="Arial" w:hAnsi="Arial"/>
          <w:sz w:val="24"/>
          <w:szCs w:val="24"/>
          <w:color w:val="auto"/>
          <w:vertAlign w:val="superscript"/>
        </w:rPr>
      </w:pPr>
    </w:p>
    <w:p>
      <w:pPr>
        <w:ind w:left="420" w:right="100"/>
        <w:spacing w:after="0" w:line="258" w:lineRule="auto"/>
        <w:rPr>
          <w:rFonts w:ascii="Arial" w:cs="Arial" w:eastAsia="Arial" w:hAnsi="Arial"/>
          <w:sz w:val="24"/>
          <w:szCs w:val="24"/>
          <w:color w:val="auto"/>
          <w:vertAlign w:val="superscript"/>
        </w:rPr>
      </w:pPr>
      <w:r>
        <w:rPr>
          <w:rFonts w:ascii="Arial" w:cs="Arial" w:eastAsia="Arial" w:hAnsi="Arial"/>
          <w:sz w:val="14"/>
          <w:szCs w:val="14"/>
          <w:color w:val="auto"/>
        </w:rPr>
        <w:t>Tax reform amounts for the twelve months ended December 31, 2018, also reflect the effect of a net reduction of $34.6 million to our 2017 preliminary Transition Toll Tax estimate, an expense of $12.7 million for the remeasurement of our deferred tax balance and an $11.0 million expense to reflect other aspects of the 2017 Tax Act.</w:t>
      </w:r>
    </w:p>
    <w:p>
      <w:pPr>
        <w:spacing w:after="0" w:line="59" w:lineRule="exact"/>
        <w:rPr>
          <w:rFonts w:ascii="Arial" w:cs="Arial" w:eastAsia="Arial" w:hAnsi="Arial"/>
          <w:sz w:val="24"/>
          <w:szCs w:val="24"/>
          <w:color w:val="auto"/>
          <w:vertAlign w:val="superscript"/>
        </w:rPr>
      </w:pPr>
    </w:p>
    <w:p>
      <w:pPr>
        <w:ind w:left="420"/>
        <w:spacing w:after="0"/>
        <w:rPr>
          <w:rFonts w:ascii="Arial" w:cs="Arial" w:eastAsia="Arial" w:hAnsi="Arial"/>
          <w:sz w:val="24"/>
          <w:szCs w:val="24"/>
          <w:color w:val="auto"/>
          <w:vertAlign w:val="superscript"/>
        </w:rPr>
      </w:pPr>
      <w:r>
        <w:rPr>
          <w:rFonts w:ascii="Arial" w:cs="Arial" w:eastAsia="Arial" w:hAnsi="Arial"/>
          <w:sz w:val="14"/>
          <w:szCs w:val="14"/>
          <w:color w:val="auto"/>
        </w:rPr>
        <w:t>The final determination of the Transition Toll Tax and remeasurement of our deferred assets and liabilities was completed in the fourth quarter of 2018.</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1A6DBB"/>
        </w:rPr>
        <w:t>Use of Non-GAAP Financial Measures</w:t>
      </w:r>
    </w:p>
    <w:p>
      <w:pPr>
        <w:spacing w:after="0" w:line="128" w:lineRule="exact"/>
        <w:rPr>
          <w:sz w:val="20"/>
          <w:szCs w:val="20"/>
          <w:color w:val="auto"/>
        </w:rPr>
      </w:pPr>
    </w:p>
    <w:p>
      <w:pPr>
        <w:ind w:left="200"/>
        <w:spacing w:after="0" w:line="249" w:lineRule="auto"/>
        <w:rPr>
          <w:sz w:val="20"/>
          <w:szCs w:val="20"/>
          <w:color w:val="auto"/>
        </w:rPr>
      </w:pPr>
      <w:r>
        <w:rPr>
          <w:rFonts w:ascii="Arial" w:cs="Arial" w:eastAsia="Arial" w:hAnsi="Arial"/>
          <w:sz w:val="16"/>
          <w:szCs w:val="16"/>
          <w:color w:val="auto"/>
        </w:rPr>
        <w:t>We supplement our consolidated financial statements presented on a GAAP basis by providing additional measures which may be considered “Non-GAAP” financial measures under applicable SEC rules. We believe that the disclosure of these Non-GAAP financial measures provides additional insight into the ongoing economics of our business and reflects how we manage our business internally, set operational goals and form the basis of our management incentive programs. These Non-GAAP financial measures are not in accordance with generally accepted accounting principles in the United States and should not be viewed in isolation or as a substitute for reported, or GAAP, net income attributable to Biogen Inc., diluted earnings per share and net cash flows provided by operating activities.</w:t>
      </w:r>
    </w:p>
    <w:p>
      <w:pPr>
        <w:spacing w:after="0" w:line="97" w:lineRule="exact"/>
        <w:rPr>
          <w:sz w:val="20"/>
          <w:szCs w:val="20"/>
          <w:color w:val="auto"/>
        </w:rPr>
      </w:pPr>
    </w:p>
    <w:p>
      <w:pPr>
        <w:ind w:left="200" w:right="320"/>
        <w:spacing w:after="0" w:line="260" w:lineRule="auto"/>
        <w:rPr>
          <w:sz w:val="20"/>
          <w:szCs w:val="20"/>
          <w:color w:val="auto"/>
        </w:rPr>
      </w:pPr>
      <w:r>
        <w:rPr>
          <w:rFonts w:ascii="Arial" w:cs="Arial" w:eastAsia="Arial" w:hAnsi="Arial"/>
          <w:sz w:val="16"/>
          <w:szCs w:val="16"/>
          <w:color w:val="auto"/>
        </w:rPr>
        <w:t>Our “Non-GAAP net income attributable to Biogen Inc.” and “Non-GAAP earnings per share – Diluted” financial measures exclude the following items from “GAAP net income attributable to Biogen Inc.” and “GAAP earnings per share – Diluted”:</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1A6DBB"/>
        </w:rPr>
        <w:t>1. Purchase accounting, merger-related and other adjustments</w:t>
      </w:r>
    </w:p>
    <w:p>
      <w:pPr>
        <w:spacing w:after="0" w:line="62" w:lineRule="exact"/>
        <w:rPr>
          <w:sz w:val="20"/>
          <w:szCs w:val="20"/>
          <w:color w:val="auto"/>
        </w:rPr>
      </w:pPr>
    </w:p>
    <w:p>
      <w:pPr>
        <w:ind w:left="200" w:right="100"/>
        <w:spacing w:after="0" w:line="251" w:lineRule="auto"/>
        <w:rPr>
          <w:sz w:val="20"/>
          <w:szCs w:val="20"/>
          <w:color w:val="auto"/>
        </w:rPr>
      </w:pPr>
      <w:r>
        <w:rPr>
          <w:rFonts w:ascii="Arial" w:cs="Arial" w:eastAsia="Arial" w:hAnsi="Arial"/>
          <w:sz w:val="16"/>
          <w:szCs w:val="16"/>
          <w:color w:val="auto"/>
        </w:rPr>
        <w:t>We exclude certain purchase accounting related items associated with the acquisition of businesses, assets and amounts in relation to the consolidation or deconsolidation of variable interest entities for which we are the primary beneficiary. These adjustments include, but are not limited to, charges for IPR&amp;D and certain milestones, the amortization of intangible assets and charges or credits from the fair value remeasurement of our contingent consideration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76200</wp:posOffset>
            </wp:positionV>
            <wp:extent cx="720090" cy="15430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0090" cy="154305"/>
                    </a:xfrm>
                    <a:prstGeom prst="rect">
                      <a:avLst/>
                    </a:prstGeom>
                    <a:noFill/>
                  </pic:spPr>
                </pic:pic>
              </a:graphicData>
            </a:graphic>
          </wp:anchor>
        </w:drawing>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-62865</wp:posOffset>
            </wp:positionV>
            <wp:extent cx="102870" cy="9461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18034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997700" cy="180340"/>
                    </a:xfrm>
                    <a:prstGeom prst="rect">
                      <a:avLst/>
                    </a:prstGeom>
                    <a:noFill/>
                  </pic:spPr>
                </pic:pic>
              </a:graphicData>
            </a:graphic>
          </wp:anchor>
        </w:drawing>
      </w:r>
    </w:p>
    <w:p>
      <w:pPr>
        <w:spacing w:after="0" w:line="3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FFFFFF"/>
        </w:rPr>
        <w:t>2019 PROXY STATEMENT</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1A6DBB"/>
        </w:rPr>
        <w:t xml:space="preserve">Appendix A </w:t>
      </w:r>
      <w:r>
        <w:rPr>
          <w:rFonts w:ascii="Arial" w:cs="Arial" w:eastAsia="Arial" w:hAnsi="Arial"/>
          <w:sz w:val="11"/>
          <w:szCs w:val="11"/>
          <w:color w:val="1A6DBB"/>
        </w:rPr>
        <w:t>(continued)</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1A6DBB"/>
        </w:rPr>
        <w:t>2. Hemophilia business separation costs</w:t>
      </w:r>
    </w:p>
    <w:p>
      <w:pPr>
        <w:spacing w:after="0" w:line="62" w:lineRule="exact"/>
        <w:rPr>
          <w:sz w:val="20"/>
          <w:szCs w:val="20"/>
          <w:color w:val="auto"/>
        </w:rPr>
      </w:pPr>
    </w:p>
    <w:p>
      <w:pPr>
        <w:ind w:left="200" w:right="100"/>
        <w:spacing w:after="0" w:line="260" w:lineRule="auto"/>
        <w:rPr>
          <w:sz w:val="20"/>
          <w:szCs w:val="20"/>
          <w:color w:val="auto"/>
        </w:rPr>
      </w:pPr>
      <w:r>
        <w:rPr>
          <w:rFonts w:ascii="Arial" w:cs="Arial" w:eastAsia="Arial" w:hAnsi="Arial"/>
          <w:sz w:val="16"/>
          <w:szCs w:val="16"/>
          <w:color w:val="auto"/>
        </w:rPr>
        <w:t>We have excluded costs that are directly associated with the set up and spin-off of our hemophilia business on February 1, 2017. These costs represent incremental third-party costs attributable solely to hemophilia spin-off and set up activities.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1A6DBB"/>
        </w:rPr>
        <w:t>3. Restructuring, business transformation and other cost saving initiatives</w:t>
      </w:r>
    </w:p>
    <w:p>
      <w:pPr>
        <w:spacing w:after="0" w:line="62" w:lineRule="exact"/>
        <w:rPr>
          <w:sz w:val="20"/>
          <w:szCs w:val="20"/>
          <w:color w:val="auto"/>
        </w:rPr>
      </w:pPr>
    </w:p>
    <w:p>
      <w:pPr>
        <w:ind w:left="200" w:right="20"/>
        <w:spacing w:after="0" w:line="251" w:lineRule="auto"/>
        <w:rPr>
          <w:sz w:val="20"/>
          <w:szCs w:val="20"/>
          <w:color w:val="auto"/>
        </w:rPr>
      </w:pPr>
      <w:r>
        <w:rPr>
          <w:rFonts w:ascii="Arial" w:cs="Arial" w:eastAsia="Arial" w:hAnsi="Arial"/>
          <w:sz w:val="16"/>
          <w:szCs w:val="16"/>
          <w:color w:val="auto"/>
        </w:rPr>
        <w:t>We exclude costs associated with our execution of certain strategies and initiatives to streamline operations, achieve targeted cost reductions, rationalize manufacturing facilities or refocus R&amp;D activities. These costs may include employee separation costs, retention bonuses, facility closing and exit costs, asset impairment charges or additional depreciation when the expected useful life of certain assets have been shortened due to changes in anticipated usage and other costs or credits that management believes do not have a direct correlation to our ongoing or future business operations.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1A6DBB"/>
        </w:rPr>
        <w:t>4. (Gain) loss on equity security investments</w:t>
      </w:r>
    </w:p>
    <w:p>
      <w:pPr>
        <w:spacing w:after="0" w:line="48" w:lineRule="exact"/>
        <w:rPr>
          <w:sz w:val="20"/>
          <w:szCs w:val="20"/>
          <w:color w:val="auto"/>
        </w:rPr>
      </w:pPr>
    </w:p>
    <w:p>
      <w:pPr>
        <w:ind w:left="200" w:right="60"/>
        <w:spacing w:after="0" w:line="260" w:lineRule="auto"/>
        <w:rPr>
          <w:sz w:val="20"/>
          <w:szCs w:val="20"/>
          <w:color w:val="auto"/>
        </w:rPr>
      </w:pPr>
      <w:r>
        <w:rPr>
          <w:rFonts w:ascii="Arial" w:cs="Arial" w:eastAsia="Arial" w:hAnsi="Arial"/>
          <w:sz w:val="16"/>
          <w:szCs w:val="16"/>
          <w:color w:val="auto"/>
        </w:rPr>
        <w:t>Effective January 2018 we exclude unrealized and realized gains and losses and discounts or premiums on our equity security investments as we do not believe that these components of income or expense have a direct correlation to our ongoing or future business operations.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1A6DBB"/>
        </w:rPr>
        <w:t>5. Other items</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evaluate other items of income and expense on an individual basis and consider both the quantitative and qualitative aspects of the item, including</w:t>
      </w:r>
    </w:p>
    <w:p>
      <w:pPr>
        <w:spacing w:after="0" w:line="5" w:lineRule="exact"/>
        <w:rPr>
          <w:sz w:val="20"/>
          <w:szCs w:val="20"/>
          <w:color w:val="auto"/>
        </w:rPr>
      </w:pPr>
    </w:p>
    <w:p>
      <w:pPr>
        <w:ind w:left="200" w:right="20" w:firstLine="4"/>
        <w:spacing w:after="0" w:line="253" w:lineRule="auto"/>
        <w:tabs>
          <w:tab w:leader="none" w:pos="389"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its size and nature, (ii) whether or not it relates to our ongoing business operations and (iii) whether or not we expect it to occur as part of our normal business on a regular basis. We also include an adjustment to reflect the related tax effect of all reconciling items within our reconciliation of our GAAP to Non-GAAP net income attributable to Biogen Inc. and diluted earnings per share.</w:t>
      </w:r>
    </w:p>
    <w:p>
      <w:pPr>
        <w:spacing w:after="0" w:line="93" w:lineRule="exact"/>
        <w:rPr>
          <w:sz w:val="20"/>
          <w:szCs w:val="20"/>
          <w:color w:val="auto"/>
        </w:rPr>
      </w:pPr>
    </w:p>
    <w:p>
      <w:pPr>
        <w:ind w:left="200" w:right="820"/>
        <w:spacing w:after="0" w:line="260" w:lineRule="auto"/>
        <w:rPr>
          <w:sz w:val="20"/>
          <w:szCs w:val="20"/>
          <w:color w:val="auto"/>
        </w:rPr>
      </w:pPr>
      <w:r>
        <w:rPr>
          <w:rFonts w:ascii="Arial" w:cs="Arial" w:eastAsia="Arial" w:hAnsi="Arial"/>
          <w:sz w:val="16"/>
          <w:szCs w:val="16"/>
          <w:color w:val="auto"/>
        </w:rPr>
        <w:t>“Free Cash Flow” is defined as net cash flows provided by operating activities less purchases of property, plant and equipment and contingent consideration related to our acquisition of Fumapharm AG as disclosed in our 2018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71755</wp:posOffset>
            </wp:positionV>
            <wp:extent cx="720090" cy="15430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0090" cy="154305"/>
                    </a:xfrm>
                    <a:prstGeom prst="rect">
                      <a:avLst/>
                    </a:prstGeom>
                    <a:noFill/>
                  </pic:spPr>
                </pic:pic>
              </a:graphicData>
            </a:graphic>
          </wp:anchor>
        </w:drawing>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2"/>
          <w:szCs w:val="12"/>
          <w:color w:val="1A6DBB"/>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-62865</wp:posOffset>
            </wp:positionV>
            <wp:extent cx="102870" cy="9461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5760085</wp:posOffset>
            </wp:positionV>
            <wp:extent cx="1543685" cy="52324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543685" cy="5232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240030</wp:posOffset>
            </wp:positionV>
            <wp:extent cx="1260475" cy="42862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604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BIOGEN INC.</w:t>
      </w:r>
    </w:p>
    <w:p>
      <w:pPr>
        <w:spacing w:after="0" w:line="22"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225 BINNEY STREET</w:t>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CAMBRIDGE, MA 02142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-794385</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i w:val="1"/>
          <w:iCs w:val="1"/>
          <w:color w:val="auto"/>
        </w:rPr>
        <w:t xml:space="preserve">Before The Meeting </w:t>
      </w:r>
      <w:r>
        <w:rPr>
          <w:rFonts w:ascii="Arial" w:cs="Arial" w:eastAsia="Arial" w:hAnsi="Arial"/>
          <w:sz w:val="13"/>
          <w:szCs w:val="13"/>
          <w:color w:val="auto"/>
        </w:rPr>
        <w:t>- Go to</w:t>
      </w:r>
      <w:r>
        <w:rPr>
          <w:rFonts w:ascii="Arial" w:cs="Arial" w:eastAsia="Arial" w:hAnsi="Arial"/>
          <w:sz w:val="13"/>
          <w:szCs w:val="13"/>
          <w:i w:val="1"/>
          <w:iCs w:val="1"/>
          <w:color w:val="auto"/>
        </w:rPr>
        <w:t xml:space="preserve"> </w:t>
      </w:r>
      <w:r>
        <w:rPr>
          <w:rFonts w:ascii="Arial" w:cs="Arial" w:eastAsia="Arial" w:hAnsi="Arial"/>
          <w:sz w:val="13"/>
          <w:szCs w:val="13"/>
          <w:b w:val="1"/>
          <w:bCs w:val="1"/>
          <w:u w:val="single" w:color="auto"/>
          <w:color w:val="auto"/>
        </w:rPr>
        <w:t>www.proxyvote.com</w:t>
      </w:r>
    </w:p>
    <w:p>
      <w:pPr>
        <w:spacing w:after="0" w:line="84" w:lineRule="exact"/>
        <w:rPr>
          <w:sz w:val="20"/>
          <w:szCs w:val="20"/>
          <w:color w:val="auto"/>
        </w:rPr>
      </w:pPr>
    </w:p>
    <w:p>
      <w:pPr>
        <w:spacing w:after="0" w:line="226" w:lineRule="auto"/>
        <w:rPr>
          <w:sz w:val="20"/>
          <w:szCs w:val="20"/>
          <w:color w:val="auto"/>
        </w:rPr>
      </w:pPr>
      <w:r>
        <w:rPr>
          <w:rFonts w:ascii="Arial" w:cs="Arial" w:eastAsia="Arial" w:hAnsi="Arial"/>
          <w:sz w:val="13"/>
          <w:szCs w:val="13"/>
          <w:color w:val="auto"/>
        </w:rPr>
        <w:t>Use the Internet to transmit your voting instructions and for electronic delivery of information up until 11:59 P.M. Eastern Time the day before the meeting date. Have your proxy card in hand when you access the web site and follow the instructions to obtain your records and to create an electronic voting instruction form.</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During The Meeting </w:t>
      </w:r>
      <w:r>
        <w:rPr>
          <w:rFonts w:ascii="Arial" w:cs="Arial" w:eastAsia="Arial" w:hAnsi="Arial"/>
          <w:sz w:val="13"/>
          <w:szCs w:val="13"/>
          <w:color w:val="auto"/>
        </w:rPr>
        <w:t>- Go to</w:t>
      </w:r>
      <w:r>
        <w:rPr>
          <w:rFonts w:ascii="Arial" w:cs="Arial" w:eastAsia="Arial" w:hAnsi="Arial"/>
          <w:sz w:val="13"/>
          <w:szCs w:val="13"/>
          <w:i w:val="1"/>
          <w:iCs w:val="1"/>
          <w:color w:val="auto"/>
        </w:rPr>
        <w:t xml:space="preserve"> </w:t>
      </w:r>
      <w:r>
        <w:rPr>
          <w:rFonts w:ascii="Arial" w:cs="Arial" w:eastAsia="Arial" w:hAnsi="Arial"/>
          <w:sz w:val="13"/>
          <w:szCs w:val="13"/>
          <w:b w:val="1"/>
          <w:bCs w:val="1"/>
          <w:u w:val="single" w:color="auto"/>
          <w:color w:val="auto"/>
        </w:rPr>
        <w:t>www.virtualshareholdermeeting.com/BIIB2019</w:t>
      </w:r>
    </w:p>
    <w:p>
      <w:pPr>
        <w:spacing w:after="0" w:line="98" w:lineRule="exact"/>
        <w:rPr>
          <w:sz w:val="20"/>
          <w:szCs w:val="20"/>
          <w:color w:val="auto"/>
        </w:rPr>
      </w:pPr>
    </w:p>
    <w:p>
      <w:pPr>
        <w:ind w:right="240"/>
        <w:spacing w:after="0" w:line="273" w:lineRule="auto"/>
        <w:rPr>
          <w:sz w:val="20"/>
          <w:szCs w:val="20"/>
          <w:color w:val="auto"/>
        </w:rPr>
      </w:pPr>
      <w:r>
        <w:rPr>
          <w:rFonts w:ascii="Arial" w:cs="Arial" w:eastAsia="Arial" w:hAnsi="Arial"/>
          <w:sz w:val="12"/>
          <w:szCs w:val="12"/>
          <w:color w:val="auto"/>
        </w:rPr>
        <w:t>You may attend the Meeting via the Internet and vote during the Meeting. Have the information that is printed in the box marked by the arrow available and follow the instructions.</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ind w:right="20"/>
        <w:spacing w:after="0" w:line="301" w:lineRule="auto"/>
        <w:rPr>
          <w:sz w:val="20"/>
          <w:szCs w:val="20"/>
          <w:color w:val="auto"/>
        </w:rPr>
      </w:pPr>
      <w:r>
        <w:rPr>
          <w:rFonts w:ascii="Arial" w:cs="Arial" w:eastAsia="Arial" w:hAnsi="Arial"/>
          <w:sz w:val="11"/>
          <w:szCs w:val="11"/>
          <w:color w:val="auto"/>
        </w:rPr>
        <w:t>Use any touch-tone telephone to transmit your voting instructions up until 11:59 P.M. Eastern Time the day before the meeting date. Have your proxy card in hand when you call and then follow the instructions.</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ind w:right="40"/>
        <w:spacing w:after="0" w:line="256"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100" w:space="720"/>
            <w:col w:w="540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spacing w:after="0"/>
        <w:tabs>
          <w:tab w:leader="none" w:pos="7380" w:val="left"/>
          <w:tab w:leader="none" w:pos="8740" w:val="left"/>
        </w:tabs>
        <w:rPr>
          <w:sz w:val="20"/>
          <w:szCs w:val="20"/>
          <w:color w:val="auto"/>
        </w:rPr>
      </w:pPr>
      <w:r>
        <w:rPr>
          <w:rFonts w:ascii="Arial" w:cs="Arial" w:eastAsia="Arial" w:hAnsi="Arial"/>
          <w:sz w:val="13"/>
          <w:szCs w:val="13"/>
          <w:color w:val="auto"/>
        </w:rPr>
        <w:t>TO VOTE, MARK BLOCKS BELOW IN BLUE OR BLACK INK AS FOLLOWS:</w:t>
      </w:r>
      <w:r>
        <w:rPr>
          <w:sz w:val="20"/>
          <w:szCs w:val="20"/>
          <w:color w:val="auto"/>
        </w:rPr>
        <w:tab/>
      </w:r>
      <w:r>
        <w:rPr>
          <w:rFonts w:ascii="Arial" w:cs="Arial" w:eastAsia="Arial" w:hAnsi="Arial"/>
          <w:sz w:val="13"/>
          <w:szCs w:val="13"/>
          <w:color w:val="auto"/>
        </w:rPr>
        <w:t>E76108-P22124</w:t>
      </w:r>
      <w:r>
        <w:rPr>
          <w:sz w:val="20"/>
          <w:szCs w:val="20"/>
          <w:color w:val="auto"/>
        </w:rPr>
        <w:tab/>
      </w:r>
      <w:r>
        <w:rPr>
          <w:rFonts w:ascii="Arial" w:cs="Arial" w:eastAsia="Arial" w:hAnsi="Arial"/>
          <w:sz w:val="11"/>
          <w:szCs w:val="11"/>
          <w:color w:val="auto"/>
        </w:rPr>
        <w:t>KEEP THIS PORTION FOR YOUR RECORDS</w:t>
      </w:r>
    </w:p>
    <w:p>
      <w:pPr>
        <w:spacing w:after="0" w:line="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 — — — — — — — — — — — — — — — — — — — — — — — — — — — — — — — — — — — — — — — — — — — — — — — — — — — — — — — —</w:t>
      </w:r>
    </w:p>
    <w:p>
      <w:pPr>
        <w:jc w:val="right"/>
        <w:spacing w:after="0" w:line="218" w:lineRule="auto"/>
        <w:rPr>
          <w:sz w:val="20"/>
          <w:szCs w:val="20"/>
          <w:color w:val="auto"/>
        </w:rPr>
      </w:pPr>
      <w:r>
        <w:rPr>
          <w:rFonts w:ascii="Arial" w:cs="Arial" w:eastAsia="Arial" w:hAnsi="Arial"/>
          <w:sz w:val="13"/>
          <w:szCs w:val="13"/>
          <w:color w:val="auto"/>
        </w:rPr>
        <w:t>DETACH AND RETURN THIS PORTION ONLY</w:t>
      </w:r>
    </w:p>
    <w:p>
      <w:pPr>
        <w:jc w:val="center"/>
        <w:ind w:right="-19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17780</wp:posOffset>
            </wp:positionV>
            <wp:extent cx="7005955" cy="329247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005955" cy="3292475"/>
                    </a:xfrm>
                    <a:prstGeom prst="rect">
                      <a:avLst/>
                    </a:prstGeom>
                    <a:noFill/>
                  </pic:spPr>
                </pic:pic>
              </a:graphicData>
            </a:graphic>
          </wp:anchor>
        </w:drawing>
      </w:r>
    </w:p>
    <w:p>
      <w:pPr>
        <w:spacing w:after="0" w:line="64"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auto"/>
        </w:rPr>
        <w:t>BIOGEN INC.</w:t>
      </w:r>
    </w:p>
    <w:p>
      <w:pPr>
        <w:sectPr>
          <w:pgSz w:w="11900" w:h="16838" w:orient="portrait"/>
          <w:cols w:equalWidth="0" w:num="1">
            <w:col w:w="11220"/>
          </w:cols>
          <w:pgMar w:left="240" w:top="459" w:right="439" w:bottom="1440" w:gutter="0" w:footer="0" w:header="0"/>
          <w:type w:val="continuous"/>
        </w:sectPr>
      </w:pPr>
    </w:p>
    <w:p>
      <w:pPr>
        <w:spacing w:after="0" w:line="84"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3640" w:type="dxa"/>
            <w:vAlign w:val="bottom"/>
            <w:gridSpan w:val="4"/>
          </w:tcPr>
          <w:p>
            <w:pPr>
              <w:ind w:left="60"/>
              <w:spacing w:after="0"/>
              <w:rPr>
                <w:sz w:val="20"/>
                <w:szCs w:val="20"/>
                <w:color w:val="auto"/>
              </w:rPr>
            </w:pPr>
            <w:r>
              <w:rPr>
                <w:rFonts w:ascii="Arial" w:cs="Arial" w:eastAsia="Arial" w:hAnsi="Arial"/>
                <w:sz w:val="13"/>
                <w:szCs w:val="13"/>
                <w:b w:val="1"/>
                <w:bCs w:val="1"/>
                <w:color w:val="auto"/>
                <w:w w:val="94"/>
              </w:rPr>
              <w:t>The Board recommends a vote FOR the following proposals:</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4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40" w:type="dxa"/>
            <w:vAlign w:val="bottom"/>
            <w:gridSpan w:val="4"/>
          </w:tcPr>
          <w:p>
            <w:pPr>
              <w:spacing w:after="0"/>
              <w:rPr>
                <w:sz w:val="20"/>
                <w:szCs w:val="20"/>
                <w:color w:val="auto"/>
              </w:rPr>
            </w:pPr>
            <w:r>
              <w:rPr>
                <w:rFonts w:ascii="Arial" w:cs="Arial" w:eastAsia="Arial" w:hAnsi="Arial"/>
                <w:sz w:val="13"/>
                <w:szCs w:val="13"/>
                <w:color w:val="auto"/>
                <w:w w:val="98"/>
              </w:rPr>
              <w:t>1.  Election of Directors. To elect the fourteen director nominees</w:t>
            </w: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3640" w:type="dxa"/>
            <w:vAlign w:val="bottom"/>
            <w:gridSpan w:val="4"/>
          </w:tcPr>
          <w:p>
            <w:pPr>
              <w:ind w:left="200"/>
              <w:spacing w:after="0" w:line="135" w:lineRule="exact"/>
              <w:rPr>
                <w:sz w:val="20"/>
                <w:szCs w:val="20"/>
                <w:color w:val="auto"/>
              </w:rPr>
            </w:pPr>
            <w:r>
              <w:rPr>
                <w:rFonts w:ascii="Arial" w:cs="Arial" w:eastAsia="Arial" w:hAnsi="Arial"/>
                <w:sz w:val="13"/>
                <w:szCs w:val="13"/>
                <w:color w:val="auto"/>
                <w:w w:val="93"/>
              </w:rPr>
              <w:t>numbered 1a through 1n to serve for a one-year term extending</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40" w:type="dxa"/>
            <w:vAlign w:val="bottom"/>
            <w:gridSpan w:val="4"/>
          </w:tcPr>
          <w:p>
            <w:pPr>
              <w:ind w:left="200"/>
              <w:spacing w:after="0" w:line="135" w:lineRule="exact"/>
              <w:rPr>
                <w:sz w:val="20"/>
                <w:szCs w:val="20"/>
                <w:color w:val="auto"/>
              </w:rPr>
            </w:pPr>
            <w:r>
              <w:rPr>
                <w:rFonts w:ascii="Arial" w:cs="Arial" w:eastAsia="Arial" w:hAnsi="Arial"/>
                <w:sz w:val="13"/>
                <w:szCs w:val="13"/>
                <w:color w:val="auto"/>
                <w:w w:val="88"/>
              </w:rPr>
              <w:t>until the 2020 annual meeting of stockholders and their successors</w:t>
            </w:r>
          </w:p>
        </w:tc>
        <w:tc>
          <w:tcPr>
            <w:tcW w:w="3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w:t>
            </w: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640" w:type="dxa"/>
            <w:vAlign w:val="bottom"/>
            <w:gridSpan w:val="4"/>
          </w:tcPr>
          <w:p>
            <w:pPr>
              <w:ind w:left="200"/>
              <w:spacing w:after="0"/>
              <w:rPr>
                <w:sz w:val="20"/>
                <w:szCs w:val="20"/>
                <w:color w:val="auto"/>
              </w:rPr>
            </w:pPr>
            <w:r>
              <w:rPr>
                <w:rFonts w:ascii="Arial" w:cs="Arial" w:eastAsia="Arial" w:hAnsi="Arial"/>
                <w:sz w:val="13"/>
                <w:szCs w:val="13"/>
                <w:color w:val="auto"/>
              </w:rPr>
              <w:t>are duly elected and qualified.</w:t>
            </w:r>
          </w:p>
        </w:tc>
        <w:tc>
          <w:tcPr>
            <w:tcW w:w="3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480" w:type="dxa"/>
            <w:vAlign w:val="bottom"/>
          </w:tcPr>
          <w:p>
            <w:pPr>
              <w:ind w:left="200"/>
              <w:spacing w:after="0"/>
              <w:rPr>
                <w:sz w:val="20"/>
                <w:szCs w:val="20"/>
                <w:color w:val="auto"/>
              </w:rPr>
            </w:pPr>
            <w:r>
              <w:rPr>
                <w:rFonts w:ascii="Arial" w:cs="Arial" w:eastAsia="Arial" w:hAnsi="Arial"/>
                <w:sz w:val="13"/>
                <w:szCs w:val="13"/>
                <w:color w:val="auto"/>
              </w:rPr>
              <w:t>1a.</w:t>
            </w:r>
          </w:p>
        </w:tc>
        <w:tc>
          <w:tcPr>
            <w:tcW w:w="3160" w:type="dxa"/>
            <w:vAlign w:val="bottom"/>
            <w:gridSpan w:val="3"/>
          </w:tcPr>
          <w:p>
            <w:pPr>
              <w:ind w:left="100"/>
              <w:spacing w:after="0"/>
              <w:rPr>
                <w:sz w:val="20"/>
                <w:szCs w:val="20"/>
                <w:color w:val="auto"/>
              </w:rPr>
            </w:pPr>
            <w:r>
              <w:rPr>
                <w:rFonts w:ascii="Arial" w:cs="Arial" w:eastAsia="Arial" w:hAnsi="Arial"/>
                <w:sz w:val="13"/>
                <w:szCs w:val="13"/>
                <w:color w:val="auto"/>
              </w:rPr>
              <w:t>John R. Chiminski</w:t>
            </w:r>
          </w:p>
        </w:tc>
        <w:tc>
          <w:tcPr>
            <w:tcW w:w="3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6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240" w:type="dxa"/>
            <w:vAlign w:val="bottom"/>
          </w:tcPr>
          <w:p>
            <w:pPr>
              <w:spacing w:after="0"/>
              <w:rPr>
                <w:sz w:val="23"/>
                <w:szCs w:val="23"/>
                <w:color w:val="auto"/>
              </w:rPr>
            </w:pPr>
          </w:p>
        </w:tc>
        <w:tc>
          <w:tcPr>
            <w:tcW w:w="320" w:type="dxa"/>
            <w:vAlign w:val="bottom"/>
          </w:tcPr>
          <w:p>
            <w:pPr>
              <w:ind w:left="80"/>
              <w:spacing w:after="0"/>
              <w:rPr>
                <w:sz w:val="20"/>
                <w:szCs w:val="20"/>
                <w:color w:val="auto"/>
              </w:rPr>
            </w:pPr>
            <w:r>
              <w:rPr>
                <w:rFonts w:ascii="Arial" w:cs="Arial" w:eastAsia="Arial" w:hAnsi="Arial"/>
                <w:sz w:val="13"/>
                <w:szCs w:val="13"/>
                <w:color w:val="auto"/>
              </w:rPr>
              <w:t>1j.</w:t>
            </w:r>
          </w:p>
        </w:tc>
        <w:tc>
          <w:tcPr>
            <w:tcW w:w="3300" w:type="dxa"/>
            <w:vAlign w:val="bottom"/>
          </w:tcPr>
          <w:p>
            <w:pPr>
              <w:ind w:left="60"/>
              <w:spacing w:after="0"/>
              <w:rPr>
                <w:sz w:val="20"/>
                <w:szCs w:val="20"/>
                <w:color w:val="auto"/>
              </w:rPr>
            </w:pPr>
            <w:r>
              <w:rPr>
                <w:rFonts w:ascii="Arial" w:cs="Arial" w:eastAsia="Arial" w:hAnsi="Arial"/>
                <w:sz w:val="13"/>
                <w:szCs w:val="13"/>
                <w:color w:val="auto"/>
              </w:rPr>
              <w:t>Brian S. Posner</w:t>
            </w:r>
          </w:p>
        </w:tc>
        <w:tc>
          <w:tcPr>
            <w:tcW w:w="0" w:type="dxa"/>
            <w:vAlign w:val="bottom"/>
          </w:tcPr>
          <w:p>
            <w:pPr>
              <w:spacing w:after="0"/>
              <w:rPr>
                <w:sz w:val="1"/>
                <w:szCs w:val="1"/>
                <w:color w:val="auto"/>
              </w:rPr>
            </w:pPr>
          </w:p>
        </w:tc>
      </w:tr>
      <w:tr>
        <w:trPr>
          <w:trHeight w:val="297"/>
        </w:trPr>
        <w:tc>
          <w:tcPr>
            <w:tcW w:w="480" w:type="dxa"/>
            <w:vAlign w:val="bottom"/>
          </w:tcPr>
          <w:p>
            <w:pPr>
              <w:ind w:left="200"/>
              <w:spacing w:after="0"/>
              <w:rPr>
                <w:sz w:val="20"/>
                <w:szCs w:val="20"/>
                <w:color w:val="auto"/>
              </w:rPr>
            </w:pPr>
            <w:r>
              <w:rPr>
                <w:rFonts w:ascii="Arial" w:cs="Arial" w:eastAsia="Arial" w:hAnsi="Arial"/>
                <w:sz w:val="13"/>
                <w:szCs w:val="13"/>
                <w:color w:val="auto"/>
              </w:rPr>
              <w:t>1b.</w:t>
            </w:r>
          </w:p>
        </w:tc>
        <w:tc>
          <w:tcPr>
            <w:tcW w:w="3160" w:type="dxa"/>
            <w:vAlign w:val="bottom"/>
            <w:gridSpan w:val="3"/>
          </w:tcPr>
          <w:p>
            <w:pPr>
              <w:ind w:left="100"/>
              <w:spacing w:after="0"/>
              <w:rPr>
                <w:sz w:val="20"/>
                <w:szCs w:val="20"/>
                <w:color w:val="auto"/>
              </w:rPr>
            </w:pPr>
            <w:r>
              <w:rPr>
                <w:rFonts w:ascii="Arial" w:cs="Arial" w:eastAsia="Arial" w:hAnsi="Arial"/>
                <w:sz w:val="13"/>
                <w:szCs w:val="13"/>
                <w:color w:val="auto"/>
              </w:rPr>
              <w:t>Alexander J. Denner</w:t>
            </w:r>
          </w:p>
        </w:tc>
        <w:tc>
          <w:tcPr>
            <w:tcW w:w="3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6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240" w:type="dxa"/>
            <w:vAlign w:val="bottom"/>
          </w:tcPr>
          <w:p>
            <w:pPr>
              <w:spacing w:after="0"/>
              <w:rPr>
                <w:sz w:val="24"/>
                <w:szCs w:val="24"/>
                <w:color w:val="auto"/>
              </w:rPr>
            </w:pPr>
          </w:p>
        </w:tc>
        <w:tc>
          <w:tcPr>
            <w:tcW w:w="320" w:type="dxa"/>
            <w:vAlign w:val="bottom"/>
          </w:tcPr>
          <w:p>
            <w:pPr>
              <w:ind w:left="80"/>
              <w:spacing w:after="0"/>
              <w:rPr>
                <w:sz w:val="20"/>
                <w:szCs w:val="20"/>
                <w:color w:val="auto"/>
              </w:rPr>
            </w:pPr>
            <w:r>
              <w:rPr>
                <w:rFonts w:ascii="Arial" w:cs="Arial" w:eastAsia="Arial" w:hAnsi="Arial"/>
                <w:sz w:val="13"/>
                <w:szCs w:val="13"/>
                <w:color w:val="auto"/>
              </w:rPr>
              <w:t>1k.</w:t>
            </w:r>
          </w:p>
        </w:tc>
        <w:tc>
          <w:tcPr>
            <w:tcW w:w="3300" w:type="dxa"/>
            <w:vAlign w:val="bottom"/>
          </w:tcPr>
          <w:p>
            <w:pPr>
              <w:ind w:left="60"/>
              <w:spacing w:after="0"/>
              <w:rPr>
                <w:sz w:val="20"/>
                <w:szCs w:val="20"/>
                <w:color w:val="auto"/>
              </w:rPr>
            </w:pPr>
            <w:r>
              <w:rPr>
                <w:rFonts w:ascii="Arial" w:cs="Arial" w:eastAsia="Arial" w:hAnsi="Arial"/>
                <w:sz w:val="13"/>
                <w:szCs w:val="13"/>
                <w:color w:val="auto"/>
              </w:rPr>
              <w:t>Eric K. Rowinsky</w:t>
            </w:r>
          </w:p>
        </w:tc>
        <w:tc>
          <w:tcPr>
            <w:tcW w:w="0" w:type="dxa"/>
            <w:vAlign w:val="bottom"/>
          </w:tcPr>
          <w:p>
            <w:pPr>
              <w:spacing w:after="0"/>
              <w:rPr>
                <w:sz w:val="1"/>
                <w:szCs w:val="1"/>
                <w:color w:val="auto"/>
              </w:rPr>
            </w:pPr>
          </w:p>
        </w:tc>
      </w:tr>
      <w:tr>
        <w:trPr>
          <w:trHeight w:val="297"/>
        </w:trPr>
        <w:tc>
          <w:tcPr>
            <w:tcW w:w="480" w:type="dxa"/>
            <w:vAlign w:val="bottom"/>
          </w:tcPr>
          <w:p>
            <w:pPr>
              <w:ind w:left="200"/>
              <w:spacing w:after="0"/>
              <w:rPr>
                <w:sz w:val="20"/>
                <w:szCs w:val="20"/>
                <w:color w:val="auto"/>
              </w:rPr>
            </w:pPr>
            <w:r>
              <w:rPr>
                <w:rFonts w:ascii="Arial" w:cs="Arial" w:eastAsia="Arial" w:hAnsi="Arial"/>
                <w:sz w:val="13"/>
                <w:szCs w:val="13"/>
                <w:color w:val="auto"/>
              </w:rPr>
              <w:t>1c.</w:t>
            </w:r>
          </w:p>
        </w:tc>
        <w:tc>
          <w:tcPr>
            <w:tcW w:w="3160" w:type="dxa"/>
            <w:vAlign w:val="bottom"/>
            <w:gridSpan w:val="3"/>
          </w:tcPr>
          <w:p>
            <w:pPr>
              <w:ind w:left="100"/>
              <w:spacing w:after="0"/>
              <w:rPr>
                <w:sz w:val="20"/>
                <w:szCs w:val="20"/>
                <w:color w:val="auto"/>
              </w:rPr>
            </w:pPr>
            <w:r>
              <w:rPr>
                <w:rFonts w:ascii="Arial" w:cs="Arial" w:eastAsia="Arial" w:hAnsi="Arial"/>
                <w:sz w:val="13"/>
                <w:szCs w:val="13"/>
                <w:color w:val="auto"/>
              </w:rPr>
              <w:t>Caroline D. Dorsa</w:t>
            </w:r>
          </w:p>
        </w:tc>
        <w:tc>
          <w:tcPr>
            <w:tcW w:w="3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6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240" w:type="dxa"/>
            <w:vAlign w:val="bottom"/>
          </w:tcPr>
          <w:p>
            <w:pPr>
              <w:spacing w:after="0"/>
              <w:rPr>
                <w:sz w:val="24"/>
                <w:szCs w:val="24"/>
                <w:color w:val="auto"/>
              </w:rPr>
            </w:pPr>
          </w:p>
        </w:tc>
        <w:tc>
          <w:tcPr>
            <w:tcW w:w="320" w:type="dxa"/>
            <w:vAlign w:val="bottom"/>
          </w:tcPr>
          <w:p>
            <w:pPr>
              <w:ind w:left="80"/>
              <w:spacing w:after="0"/>
              <w:rPr>
                <w:sz w:val="20"/>
                <w:szCs w:val="20"/>
                <w:color w:val="auto"/>
              </w:rPr>
            </w:pPr>
            <w:r>
              <w:rPr>
                <w:rFonts w:ascii="Arial" w:cs="Arial" w:eastAsia="Arial" w:hAnsi="Arial"/>
                <w:sz w:val="13"/>
                <w:szCs w:val="13"/>
                <w:color w:val="auto"/>
              </w:rPr>
              <w:t>1l.</w:t>
            </w:r>
          </w:p>
        </w:tc>
        <w:tc>
          <w:tcPr>
            <w:tcW w:w="3300" w:type="dxa"/>
            <w:vAlign w:val="bottom"/>
          </w:tcPr>
          <w:p>
            <w:pPr>
              <w:ind w:left="60"/>
              <w:spacing w:after="0"/>
              <w:rPr>
                <w:sz w:val="20"/>
                <w:szCs w:val="20"/>
                <w:color w:val="auto"/>
              </w:rPr>
            </w:pPr>
            <w:r>
              <w:rPr>
                <w:rFonts w:ascii="Arial" w:cs="Arial" w:eastAsia="Arial" w:hAnsi="Arial"/>
                <w:sz w:val="13"/>
                <w:szCs w:val="13"/>
                <w:color w:val="auto"/>
              </w:rPr>
              <w:t>Lynn Schenk</w:t>
            </w:r>
          </w:p>
        </w:tc>
        <w:tc>
          <w:tcPr>
            <w:tcW w:w="0" w:type="dxa"/>
            <w:vAlign w:val="bottom"/>
          </w:tcPr>
          <w:p>
            <w:pPr>
              <w:spacing w:after="0"/>
              <w:rPr>
                <w:sz w:val="1"/>
                <w:szCs w:val="1"/>
                <w:color w:val="auto"/>
              </w:rPr>
            </w:pPr>
          </w:p>
        </w:tc>
      </w:tr>
      <w:tr>
        <w:trPr>
          <w:trHeight w:val="270"/>
        </w:trPr>
        <w:tc>
          <w:tcPr>
            <w:tcW w:w="480" w:type="dxa"/>
            <w:vAlign w:val="bottom"/>
          </w:tcPr>
          <w:p>
            <w:pPr>
              <w:ind w:left="200"/>
              <w:spacing w:after="0"/>
              <w:rPr>
                <w:sz w:val="20"/>
                <w:szCs w:val="20"/>
                <w:color w:val="auto"/>
              </w:rPr>
            </w:pPr>
            <w:r>
              <w:rPr>
                <w:rFonts w:ascii="Arial" w:cs="Arial" w:eastAsia="Arial" w:hAnsi="Arial"/>
                <w:sz w:val="13"/>
                <w:szCs w:val="13"/>
                <w:color w:val="auto"/>
              </w:rPr>
              <w:t>1d.</w:t>
            </w:r>
          </w:p>
        </w:tc>
        <w:tc>
          <w:tcPr>
            <w:tcW w:w="3160" w:type="dxa"/>
            <w:vAlign w:val="bottom"/>
            <w:gridSpan w:val="3"/>
          </w:tcPr>
          <w:p>
            <w:pPr>
              <w:ind w:left="100"/>
              <w:spacing w:after="0"/>
              <w:rPr>
                <w:sz w:val="20"/>
                <w:szCs w:val="20"/>
                <w:color w:val="auto"/>
              </w:rPr>
            </w:pPr>
            <w:r>
              <w:rPr>
                <w:rFonts w:ascii="Arial" w:cs="Arial" w:eastAsia="Arial" w:hAnsi="Arial"/>
                <w:sz w:val="13"/>
                <w:szCs w:val="13"/>
                <w:color w:val="auto"/>
              </w:rPr>
              <w:t>William A. Hawkins</w:t>
            </w:r>
          </w:p>
        </w:tc>
        <w:tc>
          <w:tcPr>
            <w:tcW w:w="3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6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240" w:type="dxa"/>
            <w:vAlign w:val="bottom"/>
          </w:tcPr>
          <w:p>
            <w:pPr>
              <w:spacing w:after="0"/>
              <w:rPr>
                <w:sz w:val="23"/>
                <w:szCs w:val="23"/>
                <w:color w:val="auto"/>
              </w:rPr>
            </w:pPr>
          </w:p>
        </w:tc>
        <w:tc>
          <w:tcPr>
            <w:tcW w:w="320" w:type="dxa"/>
            <w:vAlign w:val="bottom"/>
          </w:tcPr>
          <w:p>
            <w:pPr>
              <w:ind w:left="80"/>
              <w:spacing w:after="0"/>
              <w:rPr>
                <w:sz w:val="20"/>
                <w:szCs w:val="20"/>
                <w:color w:val="auto"/>
              </w:rPr>
            </w:pPr>
            <w:r>
              <w:rPr>
                <w:rFonts w:ascii="Arial" w:cs="Arial" w:eastAsia="Arial" w:hAnsi="Arial"/>
                <w:sz w:val="13"/>
                <w:szCs w:val="13"/>
                <w:color w:val="auto"/>
              </w:rPr>
              <w:t>1m.</w:t>
            </w:r>
          </w:p>
        </w:tc>
        <w:tc>
          <w:tcPr>
            <w:tcW w:w="3300" w:type="dxa"/>
            <w:vAlign w:val="bottom"/>
          </w:tcPr>
          <w:p>
            <w:pPr>
              <w:ind w:left="60"/>
              <w:spacing w:after="0"/>
              <w:rPr>
                <w:sz w:val="20"/>
                <w:szCs w:val="20"/>
                <w:color w:val="auto"/>
              </w:rPr>
            </w:pPr>
            <w:r>
              <w:rPr>
                <w:rFonts w:ascii="Arial" w:cs="Arial" w:eastAsia="Arial" w:hAnsi="Arial"/>
                <w:sz w:val="13"/>
                <w:szCs w:val="13"/>
                <w:color w:val="auto"/>
              </w:rPr>
              <w:t>Stephen A. Sherwin</w:t>
            </w:r>
          </w:p>
        </w:tc>
        <w:tc>
          <w:tcPr>
            <w:tcW w:w="0" w:type="dxa"/>
            <w:vAlign w:val="bottom"/>
          </w:tcPr>
          <w:p>
            <w:pPr>
              <w:spacing w:after="0"/>
              <w:rPr>
                <w:sz w:val="1"/>
                <w:szCs w:val="1"/>
                <w:color w:val="auto"/>
              </w:rPr>
            </w:pPr>
          </w:p>
        </w:tc>
      </w:tr>
      <w:tr>
        <w:trPr>
          <w:trHeight w:val="297"/>
        </w:trPr>
        <w:tc>
          <w:tcPr>
            <w:tcW w:w="480" w:type="dxa"/>
            <w:vAlign w:val="bottom"/>
          </w:tcPr>
          <w:p>
            <w:pPr>
              <w:ind w:left="200"/>
              <w:spacing w:after="0"/>
              <w:rPr>
                <w:sz w:val="20"/>
                <w:szCs w:val="20"/>
                <w:color w:val="auto"/>
              </w:rPr>
            </w:pPr>
            <w:r>
              <w:rPr>
                <w:rFonts w:ascii="Arial" w:cs="Arial" w:eastAsia="Arial" w:hAnsi="Arial"/>
                <w:sz w:val="13"/>
                <w:szCs w:val="13"/>
                <w:color w:val="auto"/>
              </w:rPr>
              <w:t>1e.</w:t>
            </w:r>
          </w:p>
        </w:tc>
        <w:tc>
          <w:tcPr>
            <w:tcW w:w="3160" w:type="dxa"/>
            <w:vAlign w:val="bottom"/>
            <w:gridSpan w:val="3"/>
          </w:tcPr>
          <w:p>
            <w:pPr>
              <w:ind w:left="100"/>
              <w:spacing w:after="0"/>
              <w:rPr>
                <w:sz w:val="20"/>
                <w:szCs w:val="20"/>
                <w:color w:val="auto"/>
              </w:rPr>
            </w:pPr>
            <w:r>
              <w:rPr>
                <w:rFonts w:ascii="Arial" w:cs="Arial" w:eastAsia="Arial" w:hAnsi="Arial"/>
                <w:sz w:val="13"/>
                <w:szCs w:val="13"/>
                <w:color w:val="auto"/>
              </w:rPr>
              <w:t>Nancy L. Leaming</w:t>
            </w:r>
          </w:p>
        </w:tc>
        <w:tc>
          <w:tcPr>
            <w:tcW w:w="3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6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240" w:type="dxa"/>
            <w:vAlign w:val="bottom"/>
          </w:tcPr>
          <w:p>
            <w:pPr>
              <w:spacing w:after="0"/>
              <w:rPr>
                <w:sz w:val="24"/>
                <w:szCs w:val="24"/>
                <w:color w:val="auto"/>
              </w:rPr>
            </w:pPr>
          </w:p>
        </w:tc>
        <w:tc>
          <w:tcPr>
            <w:tcW w:w="320" w:type="dxa"/>
            <w:vAlign w:val="bottom"/>
          </w:tcPr>
          <w:p>
            <w:pPr>
              <w:ind w:left="80"/>
              <w:spacing w:after="0"/>
              <w:rPr>
                <w:sz w:val="20"/>
                <w:szCs w:val="20"/>
                <w:color w:val="auto"/>
              </w:rPr>
            </w:pPr>
            <w:r>
              <w:rPr>
                <w:rFonts w:ascii="Arial" w:cs="Arial" w:eastAsia="Arial" w:hAnsi="Arial"/>
                <w:sz w:val="13"/>
                <w:szCs w:val="13"/>
                <w:color w:val="auto"/>
              </w:rPr>
              <w:t>1n.</w:t>
            </w:r>
          </w:p>
        </w:tc>
        <w:tc>
          <w:tcPr>
            <w:tcW w:w="3300" w:type="dxa"/>
            <w:vAlign w:val="bottom"/>
          </w:tcPr>
          <w:p>
            <w:pPr>
              <w:ind w:left="60"/>
              <w:spacing w:after="0"/>
              <w:rPr>
                <w:sz w:val="20"/>
                <w:szCs w:val="20"/>
                <w:color w:val="auto"/>
              </w:rPr>
            </w:pPr>
            <w:r>
              <w:rPr>
                <w:rFonts w:ascii="Arial" w:cs="Arial" w:eastAsia="Arial" w:hAnsi="Arial"/>
                <w:sz w:val="13"/>
                <w:szCs w:val="13"/>
                <w:color w:val="auto"/>
              </w:rPr>
              <w:t>Michel Vounatsos</w:t>
            </w:r>
          </w:p>
        </w:tc>
        <w:tc>
          <w:tcPr>
            <w:tcW w:w="0" w:type="dxa"/>
            <w:vAlign w:val="bottom"/>
          </w:tcPr>
          <w:p>
            <w:pPr>
              <w:spacing w:after="0"/>
              <w:rPr>
                <w:sz w:val="1"/>
                <w:szCs w:val="1"/>
                <w:color w:val="auto"/>
              </w:rPr>
            </w:pPr>
          </w:p>
        </w:tc>
      </w:tr>
      <w:tr>
        <w:trPr>
          <w:trHeight w:val="177"/>
        </w:trPr>
        <w:tc>
          <w:tcPr>
            <w:tcW w:w="480" w:type="dxa"/>
            <w:vAlign w:val="bottom"/>
            <w:vMerge w:val="restart"/>
          </w:tcPr>
          <w:p>
            <w:pPr>
              <w:ind w:left="200"/>
              <w:spacing w:after="0"/>
              <w:rPr>
                <w:sz w:val="20"/>
                <w:szCs w:val="20"/>
                <w:color w:val="auto"/>
              </w:rPr>
            </w:pPr>
            <w:r>
              <w:rPr>
                <w:rFonts w:ascii="Arial" w:cs="Arial" w:eastAsia="Arial" w:hAnsi="Arial"/>
                <w:sz w:val="13"/>
                <w:szCs w:val="13"/>
                <w:color w:val="auto"/>
              </w:rPr>
              <w:t>1f.</w:t>
            </w:r>
          </w:p>
        </w:tc>
        <w:tc>
          <w:tcPr>
            <w:tcW w:w="3160" w:type="dxa"/>
            <w:vAlign w:val="bottom"/>
            <w:gridSpan w:val="3"/>
            <w:vMerge w:val="restart"/>
          </w:tcPr>
          <w:p>
            <w:pPr>
              <w:ind w:left="100"/>
              <w:spacing w:after="0"/>
              <w:rPr>
                <w:sz w:val="20"/>
                <w:szCs w:val="20"/>
                <w:color w:val="auto"/>
              </w:rPr>
            </w:pPr>
            <w:r>
              <w:rPr>
                <w:rFonts w:ascii="Arial" w:cs="Arial" w:eastAsia="Arial" w:hAnsi="Arial"/>
                <w:sz w:val="13"/>
                <w:szCs w:val="13"/>
                <w:color w:val="auto"/>
              </w:rPr>
              <w:t>Jesus B. Mantas</w:t>
            </w:r>
          </w:p>
        </w:tc>
        <w:tc>
          <w:tcPr>
            <w:tcW w:w="34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60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8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80"/>
              <w:spacing w:after="0"/>
              <w:rPr>
                <w:sz w:val="20"/>
                <w:szCs w:val="20"/>
                <w:color w:val="auto"/>
              </w:rPr>
            </w:pPr>
            <w:r>
              <w:rPr>
                <w:rFonts w:ascii="Arial" w:cs="Arial" w:eastAsia="Arial" w:hAnsi="Arial"/>
                <w:sz w:val="13"/>
                <w:szCs w:val="13"/>
                <w:color w:val="auto"/>
                <w:w w:val="93"/>
              </w:rPr>
              <w:t>To ratify the selection of PricewaterhouseCoopers LLP as Biogen</w:t>
            </w:r>
          </w:p>
        </w:tc>
        <w:tc>
          <w:tcPr>
            <w:tcW w:w="0" w:type="dxa"/>
            <w:vAlign w:val="bottom"/>
          </w:tcPr>
          <w:p>
            <w:pPr>
              <w:spacing w:after="0"/>
              <w:rPr>
                <w:sz w:val="1"/>
                <w:szCs w:val="1"/>
                <w:color w:val="auto"/>
              </w:rPr>
            </w:pPr>
          </w:p>
        </w:tc>
      </w:tr>
      <w:tr>
        <w:trPr>
          <w:trHeight w:val="66"/>
        </w:trPr>
        <w:tc>
          <w:tcPr>
            <w:tcW w:w="480" w:type="dxa"/>
            <w:vAlign w:val="bottom"/>
            <w:vMerge w:val="continue"/>
          </w:tcPr>
          <w:p>
            <w:pPr>
              <w:spacing w:after="0"/>
              <w:rPr>
                <w:sz w:val="5"/>
                <w:szCs w:val="5"/>
                <w:color w:val="auto"/>
              </w:rPr>
            </w:pPr>
          </w:p>
        </w:tc>
        <w:tc>
          <w:tcPr>
            <w:tcW w:w="3160" w:type="dxa"/>
            <w:vAlign w:val="bottom"/>
            <w:gridSpan w:val="3"/>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620" w:type="dxa"/>
            <w:vAlign w:val="bottom"/>
            <w:gridSpan w:val="2"/>
            <w:vMerge w:val="restart"/>
          </w:tcPr>
          <w:p>
            <w:pPr>
              <w:ind w:left="80"/>
              <w:spacing w:after="0" w:line="135" w:lineRule="exact"/>
              <w:rPr>
                <w:sz w:val="20"/>
                <w:szCs w:val="20"/>
                <w:color w:val="auto"/>
              </w:rPr>
            </w:pPr>
            <w:r>
              <w:rPr>
                <w:rFonts w:ascii="Arial" w:cs="Arial" w:eastAsia="Arial" w:hAnsi="Arial"/>
                <w:sz w:val="13"/>
                <w:szCs w:val="13"/>
                <w:color w:val="auto"/>
                <w:w w:val="88"/>
              </w:rPr>
              <w:t>Inc.’s independent registered public accounting firm for the fiscal year</w:t>
            </w:r>
          </w:p>
        </w:tc>
        <w:tc>
          <w:tcPr>
            <w:tcW w:w="0" w:type="dxa"/>
            <w:vAlign w:val="bottom"/>
          </w:tcPr>
          <w:p>
            <w:pPr>
              <w:spacing w:after="0"/>
              <w:rPr>
                <w:sz w:val="1"/>
                <w:szCs w:val="1"/>
                <w:color w:val="auto"/>
              </w:rPr>
            </w:pPr>
          </w:p>
        </w:tc>
      </w:tr>
      <w:tr>
        <w:trPr>
          <w:trHeight w:val="69"/>
        </w:trPr>
        <w:tc>
          <w:tcPr>
            <w:tcW w:w="4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480" w:type="dxa"/>
            <w:vAlign w:val="bottom"/>
            <w:vMerge w:val="restart"/>
          </w:tcPr>
          <w:p>
            <w:pPr>
              <w:ind w:left="200"/>
              <w:spacing w:after="0"/>
              <w:rPr>
                <w:sz w:val="20"/>
                <w:szCs w:val="20"/>
                <w:color w:val="auto"/>
              </w:rPr>
            </w:pPr>
            <w:r>
              <w:rPr>
                <w:rFonts w:ascii="Arial" w:cs="Arial" w:eastAsia="Arial" w:hAnsi="Arial"/>
                <w:sz w:val="13"/>
                <w:szCs w:val="13"/>
                <w:color w:val="auto"/>
              </w:rPr>
              <w:t>1g.</w:t>
            </w:r>
          </w:p>
        </w:tc>
        <w:tc>
          <w:tcPr>
            <w:tcW w:w="3160" w:type="dxa"/>
            <w:vAlign w:val="bottom"/>
            <w:gridSpan w:val="3"/>
            <w:vMerge w:val="restart"/>
          </w:tcPr>
          <w:p>
            <w:pPr>
              <w:ind w:left="100"/>
              <w:spacing w:after="0"/>
              <w:rPr>
                <w:sz w:val="20"/>
                <w:szCs w:val="20"/>
                <w:color w:val="auto"/>
              </w:rPr>
            </w:pPr>
            <w:r>
              <w:rPr>
                <w:rFonts w:ascii="Arial" w:cs="Arial" w:eastAsia="Arial" w:hAnsi="Arial"/>
                <w:sz w:val="13"/>
                <w:szCs w:val="13"/>
                <w:color w:val="auto"/>
              </w:rPr>
              <w:t>Richard C. Mulligan</w:t>
            </w:r>
          </w:p>
        </w:tc>
        <w:tc>
          <w:tcPr>
            <w:tcW w:w="34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60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8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240" w:type="dxa"/>
            <w:vAlign w:val="bottom"/>
          </w:tcPr>
          <w:p>
            <w:pPr>
              <w:spacing w:after="0"/>
              <w:rPr>
                <w:sz w:val="13"/>
                <w:szCs w:val="13"/>
                <w:color w:val="auto"/>
              </w:rPr>
            </w:pPr>
          </w:p>
        </w:tc>
        <w:tc>
          <w:tcPr>
            <w:tcW w:w="3620" w:type="dxa"/>
            <w:vAlign w:val="bottom"/>
            <w:gridSpan w:val="2"/>
          </w:tcPr>
          <w:p>
            <w:pPr>
              <w:ind w:left="80"/>
              <w:spacing w:after="0"/>
              <w:rPr>
                <w:sz w:val="20"/>
                <w:szCs w:val="20"/>
                <w:color w:val="auto"/>
              </w:rPr>
            </w:pPr>
            <w:r>
              <w:rPr>
                <w:rFonts w:ascii="Arial" w:cs="Arial" w:eastAsia="Arial" w:hAnsi="Arial"/>
                <w:sz w:val="13"/>
                <w:szCs w:val="13"/>
                <w:color w:val="auto"/>
              </w:rPr>
              <w:t>ending December 31, 2019.</w:t>
            </w:r>
          </w:p>
        </w:tc>
        <w:tc>
          <w:tcPr>
            <w:tcW w:w="0" w:type="dxa"/>
            <w:vAlign w:val="bottom"/>
          </w:tcPr>
          <w:p>
            <w:pPr>
              <w:spacing w:after="0"/>
              <w:rPr>
                <w:sz w:val="1"/>
                <w:szCs w:val="1"/>
                <w:color w:val="auto"/>
              </w:rPr>
            </w:pPr>
          </w:p>
        </w:tc>
      </w:tr>
      <w:tr>
        <w:trPr>
          <w:trHeight w:val="122"/>
        </w:trPr>
        <w:tc>
          <w:tcPr>
            <w:tcW w:w="480" w:type="dxa"/>
            <w:vAlign w:val="bottom"/>
            <w:vMerge w:val="continue"/>
          </w:tcPr>
          <w:p>
            <w:pPr>
              <w:spacing w:after="0"/>
              <w:rPr>
                <w:sz w:val="10"/>
                <w:szCs w:val="10"/>
                <w:color w:val="auto"/>
              </w:rPr>
            </w:pPr>
          </w:p>
        </w:tc>
        <w:tc>
          <w:tcPr>
            <w:tcW w:w="3160" w:type="dxa"/>
            <w:vAlign w:val="bottom"/>
            <w:gridSpan w:val="3"/>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80" w:type="dxa"/>
            <w:vAlign w:val="bottom"/>
            <w:vMerge w:val="restart"/>
          </w:tcPr>
          <w:p>
            <w:pPr>
              <w:ind w:left="200"/>
              <w:spacing w:after="0"/>
              <w:rPr>
                <w:sz w:val="20"/>
                <w:szCs w:val="20"/>
                <w:color w:val="auto"/>
              </w:rPr>
            </w:pPr>
            <w:r>
              <w:rPr>
                <w:rFonts w:ascii="Arial" w:cs="Arial" w:eastAsia="Arial" w:hAnsi="Arial"/>
                <w:sz w:val="13"/>
                <w:szCs w:val="13"/>
                <w:color w:val="auto"/>
              </w:rPr>
              <w:t>1h.</w:t>
            </w:r>
          </w:p>
        </w:tc>
        <w:tc>
          <w:tcPr>
            <w:tcW w:w="3160" w:type="dxa"/>
            <w:vAlign w:val="bottom"/>
            <w:gridSpan w:val="3"/>
            <w:vMerge w:val="restart"/>
          </w:tcPr>
          <w:p>
            <w:pPr>
              <w:ind w:left="100"/>
              <w:spacing w:after="0"/>
              <w:rPr>
                <w:sz w:val="20"/>
                <w:szCs w:val="20"/>
                <w:color w:val="auto"/>
              </w:rPr>
            </w:pPr>
            <w:r>
              <w:rPr>
                <w:rFonts w:ascii="Arial" w:cs="Arial" w:eastAsia="Arial" w:hAnsi="Arial"/>
                <w:sz w:val="13"/>
                <w:szCs w:val="13"/>
                <w:color w:val="auto"/>
              </w:rPr>
              <w:t>Robert W. Pangia</w:t>
            </w:r>
          </w:p>
        </w:tc>
        <w:tc>
          <w:tcPr>
            <w:tcW w:w="34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60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8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3620" w:type="dxa"/>
            <w:vAlign w:val="bottom"/>
            <w:gridSpan w:val="2"/>
          </w:tcPr>
          <w:p>
            <w:pPr>
              <w:ind w:left="80"/>
              <w:spacing w:after="0"/>
              <w:rPr>
                <w:sz w:val="20"/>
                <w:szCs w:val="20"/>
                <w:color w:val="auto"/>
              </w:rPr>
            </w:pPr>
            <w:r>
              <w:rPr>
                <w:rFonts w:ascii="Arial" w:cs="Arial" w:eastAsia="Arial" w:hAnsi="Arial"/>
                <w:sz w:val="13"/>
                <w:szCs w:val="13"/>
                <w:color w:val="auto"/>
                <w:w w:val="86"/>
              </w:rPr>
              <w:t>Say on Pay - To approve an advisory vote on executive compensation.</w:t>
            </w:r>
          </w:p>
        </w:tc>
        <w:tc>
          <w:tcPr>
            <w:tcW w:w="0" w:type="dxa"/>
            <w:vAlign w:val="bottom"/>
          </w:tcPr>
          <w:p>
            <w:pPr>
              <w:spacing w:after="0"/>
              <w:rPr>
                <w:sz w:val="1"/>
                <w:szCs w:val="1"/>
                <w:color w:val="auto"/>
              </w:rPr>
            </w:pPr>
          </w:p>
        </w:tc>
      </w:tr>
      <w:tr>
        <w:trPr>
          <w:trHeight w:val="122"/>
        </w:trPr>
        <w:tc>
          <w:tcPr>
            <w:tcW w:w="480" w:type="dxa"/>
            <w:vAlign w:val="bottom"/>
            <w:vMerge w:val="continue"/>
          </w:tcPr>
          <w:p>
            <w:pPr>
              <w:spacing w:after="0"/>
              <w:rPr>
                <w:sz w:val="10"/>
                <w:szCs w:val="10"/>
                <w:color w:val="auto"/>
              </w:rPr>
            </w:pPr>
          </w:p>
        </w:tc>
        <w:tc>
          <w:tcPr>
            <w:tcW w:w="3160" w:type="dxa"/>
            <w:vAlign w:val="bottom"/>
            <w:gridSpan w:val="3"/>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80" w:type="dxa"/>
            <w:vAlign w:val="bottom"/>
          </w:tcPr>
          <w:p>
            <w:pPr>
              <w:ind w:left="200"/>
              <w:spacing w:after="0"/>
              <w:rPr>
                <w:sz w:val="20"/>
                <w:szCs w:val="20"/>
                <w:color w:val="auto"/>
              </w:rPr>
            </w:pPr>
            <w:r>
              <w:rPr>
                <w:rFonts w:ascii="Arial" w:cs="Arial" w:eastAsia="Arial" w:hAnsi="Arial"/>
                <w:sz w:val="13"/>
                <w:szCs w:val="13"/>
                <w:color w:val="auto"/>
              </w:rPr>
              <w:t>1i.</w:t>
            </w:r>
          </w:p>
        </w:tc>
        <w:tc>
          <w:tcPr>
            <w:tcW w:w="3160" w:type="dxa"/>
            <w:vAlign w:val="bottom"/>
            <w:gridSpan w:val="3"/>
          </w:tcPr>
          <w:p>
            <w:pPr>
              <w:ind w:left="100"/>
              <w:spacing w:after="0"/>
              <w:rPr>
                <w:sz w:val="20"/>
                <w:szCs w:val="20"/>
                <w:color w:val="auto"/>
              </w:rPr>
            </w:pPr>
            <w:r>
              <w:rPr>
                <w:rFonts w:ascii="Arial" w:cs="Arial" w:eastAsia="Arial" w:hAnsi="Arial"/>
                <w:sz w:val="13"/>
                <w:szCs w:val="13"/>
                <w:color w:val="auto"/>
              </w:rPr>
              <w:t>Stelios Papadopoulos</w:t>
            </w:r>
          </w:p>
        </w:tc>
        <w:tc>
          <w:tcPr>
            <w:tcW w:w="34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60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8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4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Against  Abstain</w:t>
      </w:r>
    </w:p>
    <w:p>
      <w:pPr>
        <w:spacing w:after="0" w:line="118" w:lineRule="exact"/>
        <w:rPr>
          <w:sz w:val="20"/>
          <w:szCs w:val="20"/>
          <w:color w:val="auto"/>
        </w:rPr>
      </w:pPr>
    </w:p>
    <w:tbl>
      <w:tblPr>
        <w:tblLayout w:type="fixed"/>
        <w:tblInd w:w="60" w:type="dxa"/>
        <w:tblCellMar>
          <w:top w:w="0" w:type="dxa"/>
          <w:left w:w="0" w:type="dxa"/>
          <w:bottom w:w="0" w:type="dxa"/>
          <w:right w:w="0" w:type="dxa"/>
        </w:tblCellMar>
      </w:tblPr>
      <w:tr>
        <w:trPr>
          <w:trHeight w:val="199"/>
        </w:trPr>
        <w:tc>
          <w:tcPr>
            <w:tcW w:w="2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48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320" w:type="dxa"/>
            <w:vAlign w:val="bottom"/>
          </w:tcPr>
          <w:p>
            <w:pPr>
              <w:ind w:left="2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70"/>
        </w:trPr>
        <w:tc>
          <w:tcPr>
            <w:tcW w:w="2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48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320" w:type="dxa"/>
            <w:vAlign w:val="bottom"/>
          </w:tcPr>
          <w:p>
            <w:pPr>
              <w:ind w:left="2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97"/>
        </w:trPr>
        <w:tc>
          <w:tcPr>
            <w:tcW w:w="2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48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320" w:type="dxa"/>
            <w:vAlign w:val="bottom"/>
          </w:tcPr>
          <w:p>
            <w:pPr>
              <w:ind w:left="2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97"/>
        </w:trPr>
        <w:tc>
          <w:tcPr>
            <w:tcW w:w="2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48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320" w:type="dxa"/>
            <w:vAlign w:val="bottom"/>
          </w:tcPr>
          <w:p>
            <w:pPr>
              <w:ind w:left="2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70"/>
        </w:trPr>
        <w:tc>
          <w:tcPr>
            <w:tcW w:w="2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48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320" w:type="dxa"/>
            <w:vAlign w:val="bottom"/>
          </w:tcPr>
          <w:p>
            <w:pPr>
              <w:ind w:left="2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78"/>
        </w:trPr>
        <w:tc>
          <w:tcPr>
            <w:tcW w:w="2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48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320" w:type="dxa"/>
            <w:vAlign w:val="bottom"/>
          </w:tcPr>
          <w:p>
            <w:pPr>
              <w:ind w:left="2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446"/>
        </w:trPr>
        <w:tc>
          <w:tcPr>
            <w:tcW w:w="2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48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320" w:type="dxa"/>
            <w:vAlign w:val="bottom"/>
          </w:tcPr>
          <w:p>
            <w:pPr>
              <w:ind w:left="2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591" w:lineRule="exact"/>
        <w:rPr>
          <w:sz w:val="20"/>
          <w:szCs w:val="20"/>
          <w:color w:val="auto"/>
        </w:rPr>
      </w:pPr>
    </w:p>
    <w:p>
      <w:pPr>
        <w:sectPr>
          <w:pgSz w:w="11900" w:h="16838" w:orient="portrait"/>
          <w:cols w:equalWidth="0" w:num="2">
            <w:col w:w="9420" w:space="160"/>
            <w:col w:w="1640"/>
          </w:cols>
          <w:pgMar w:left="240" w:top="459" w:right="439" w:bottom="1440" w:gutter="0" w:footer="0" w:header="0"/>
          <w:type w:val="continuous"/>
        </w:sectPr>
      </w:pPr>
    </w:p>
    <w:p>
      <w:pPr>
        <w:spacing w:after="0" w:line="247" w:lineRule="exact"/>
        <w:rPr>
          <w:sz w:val="20"/>
          <w:szCs w:val="20"/>
          <w:color w:val="auto"/>
        </w:rPr>
      </w:pPr>
    </w:p>
    <w:p>
      <w:pPr>
        <w:ind w:left="400" w:right="1860"/>
        <w:spacing w:after="0" w:line="273" w:lineRule="auto"/>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15" w:lineRule="exact"/>
        <w:rPr>
          <w:sz w:val="20"/>
          <w:szCs w:val="20"/>
          <w:color w:val="auto"/>
        </w:rPr>
      </w:pPr>
    </w:p>
    <w:p>
      <w:pPr>
        <w:ind w:left="560"/>
        <w:spacing w:after="0"/>
        <w:tabs>
          <w:tab w:leader="none" w:pos="3640" w:val="left"/>
          <w:tab w:leader="none" w:pos="5820" w:val="left"/>
          <w:tab w:leader="none" w:pos="878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1"/>
          <w:szCs w:val="11"/>
          <w:color w:val="auto"/>
        </w:rPr>
        <w:t>Date</w:t>
      </w:r>
    </w:p>
    <w:p>
      <w:pPr>
        <w:sectPr>
          <w:pgSz w:w="11900" w:h="16838" w:orient="portrait"/>
          <w:cols w:equalWidth="0" w:num="1">
            <w:col w:w="11220"/>
          </w:cols>
          <w:pgMar w:left="240" w:top="459" w:right="4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700" w:right="1860"/>
        <w:spacing w:after="0" w:line="266"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 xml:space="preserve">The 2019 Notice and Proxy Statement and 2018 Annual Report with Form 10-K are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 — — — — — — — — — — — — — — — — — — — — — — — — — — — — — —</w:t>
      </w:r>
    </w:p>
    <w:p>
      <w:pPr>
        <w:spacing w:after="0" w:line="2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 — — — — — — — — — — — — — — — — —</w:t>
      </w:r>
    </w:p>
    <w:p>
      <w:pPr>
        <w:spacing w:after="0" w:line="5" w:lineRule="exact"/>
        <w:rPr>
          <w:sz w:val="20"/>
          <w:szCs w:val="20"/>
          <w:color w:val="auto"/>
        </w:rPr>
      </w:pPr>
    </w:p>
    <w:p>
      <w:pPr>
        <w:ind w:left="10160"/>
        <w:spacing w:after="0"/>
        <w:rPr>
          <w:sz w:val="20"/>
          <w:szCs w:val="20"/>
          <w:color w:val="auto"/>
        </w:rPr>
      </w:pPr>
      <w:r>
        <w:rPr>
          <w:rFonts w:ascii="Arial" w:cs="Arial" w:eastAsia="Arial" w:hAnsi="Arial"/>
          <w:sz w:val="11"/>
          <w:szCs w:val="11"/>
          <w:color w:val="auto"/>
        </w:rPr>
        <w:t>E76109-P22124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76835</wp:posOffset>
            </wp:positionV>
            <wp:extent cx="7014845" cy="33616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014845" cy="336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39"/>
        <w:spacing w:after="0"/>
        <w:rPr>
          <w:sz w:val="20"/>
          <w:szCs w:val="20"/>
          <w:color w:val="auto"/>
        </w:rPr>
      </w:pPr>
      <w:r>
        <w:rPr>
          <w:rFonts w:ascii="Arial" w:cs="Arial" w:eastAsia="Arial" w:hAnsi="Arial"/>
          <w:sz w:val="22"/>
          <w:szCs w:val="22"/>
          <w:b w:val="1"/>
          <w:bCs w:val="1"/>
          <w:color w:val="auto"/>
        </w:rPr>
        <w:t>BIOGEN INC.</w:t>
      </w:r>
    </w:p>
    <w:p>
      <w:pPr>
        <w:spacing w:after="0" w:line="4" w:lineRule="exact"/>
        <w:rPr>
          <w:sz w:val="20"/>
          <w:szCs w:val="20"/>
          <w:color w:val="auto"/>
        </w:rPr>
      </w:pPr>
    </w:p>
    <w:p>
      <w:pPr>
        <w:jc w:val="center"/>
        <w:ind w:right="-439"/>
        <w:spacing w:after="0"/>
        <w:rPr>
          <w:sz w:val="20"/>
          <w:szCs w:val="20"/>
          <w:color w:val="auto"/>
        </w:rPr>
      </w:pPr>
      <w:r>
        <w:rPr>
          <w:rFonts w:ascii="Arial" w:cs="Arial" w:eastAsia="Arial" w:hAnsi="Arial"/>
          <w:sz w:val="22"/>
          <w:szCs w:val="22"/>
          <w:b w:val="1"/>
          <w:bCs w:val="1"/>
          <w:color w:val="auto"/>
        </w:rPr>
        <w:t>Annual Meeting of Stockholders</w:t>
      </w:r>
    </w:p>
    <w:p>
      <w:pPr>
        <w:jc w:val="center"/>
        <w:ind w:right="-439"/>
        <w:spacing w:after="0" w:line="230" w:lineRule="auto"/>
        <w:rPr>
          <w:sz w:val="20"/>
          <w:szCs w:val="20"/>
          <w:color w:val="auto"/>
        </w:rPr>
      </w:pPr>
      <w:r>
        <w:rPr>
          <w:rFonts w:ascii="Arial" w:cs="Arial" w:eastAsia="Arial" w:hAnsi="Arial"/>
          <w:sz w:val="22"/>
          <w:szCs w:val="22"/>
          <w:b w:val="1"/>
          <w:bCs w:val="1"/>
          <w:color w:val="auto"/>
        </w:rPr>
        <w:t>June 19, 2019, 9:00 a.m. Eastern Time</w:t>
      </w:r>
    </w:p>
    <w:p>
      <w:pPr>
        <w:spacing w:after="0" w:line="1" w:lineRule="exact"/>
        <w:rPr>
          <w:sz w:val="20"/>
          <w:szCs w:val="20"/>
          <w:color w:val="auto"/>
        </w:rPr>
      </w:pPr>
    </w:p>
    <w:p>
      <w:pPr>
        <w:jc w:val="center"/>
        <w:ind w:right="-439"/>
        <w:spacing w:after="0"/>
        <w:rPr>
          <w:sz w:val="20"/>
          <w:szCs w:val="20"/>
          <w:color w:val="auto"/>
        </w:rPr>
      </w:pPr>
      <w:r>
        <w:rPr>
          <w:rFonts w:ascii="Arial" w:cs="Arial" w:eastAsia="Arial" w:hAnsi="Arial"/>
          <w:sz w:val="22"/>
          <w:szCs w:val="22"/>
          <w:b w:val="1"/>
          <w:bCs w:val="1"/>
          <w:color w:val="auto"/>
        </w:rPr>
        <w:t>This proxy is solicited by the Board of Directors</w:t>
      </w:r>
    </w:p>
    <w:p>
      <w:pPr>
        <w:spacing w:after="0" w:line="195" w:lineRule="exact"/>
        <w:rPr>
          <w:sz w:val="20"/>
          <w:szCs w:val="20"/>
          <w:color w:val="auto"/>
        </w:rPr>
      </w:pPr>
    </w:p>
    <w:p>
      <w:pPr>
        <w:ind w:left="440" w:right="100"/>
        <w:spacing w:after="0" w:line="255" w:lineRule="auto"/>
        <w:rPr>
          <w:sz w:val="20"/>
          <w:szCs w:val="20"/>
          <w:color w:val="auto"/>
        </w:rPr>
      </w:pPr>
      <w:r>
        <w:rPr>
          <w:rFonts w:ascii="Arial" w:cs="Arial" w:eastAsia="Arial" w:hAnsi="Arial"/>
          <w:sz w:val="18"/>
          <w:szCs w:val="18"/>
          <w:color w:val="auto"/>
        </w:rPr>
        <w:t>The undersigned hereby appoints Michel Vounatsos, Jeffrey D. Capello and Susan H. Alexander, and each of them (with full power to act alone), as proxies of the undersigned with all the powers the undersigned would possess if present during the 2019 Annual Meeting,and with full power of substitution in each of them to appear, represent and vote all shares of common stock of Biogen Inc. which the undersigned would be entitled to vote at the 2019 Annual Meeting of Stockholders, to be held at Biogen Inc.’s offices located at 225 Binney Street, Cambridge, Massachusetts 02142 and online at www.virtualshareholdermeeting.com/BIIB2019 on Wednesday, June 19, 2019, at 9:00 a.m. Eastern Time, and at any adjournment or postponement thereof.</w:t>
      </w:r>
    </w:p>
    <w:p>
      <w:pPr>
        <w:spacing w:after="0" w:line="189" w:lineRule="exact"/>
        <w:rPr>
          <w:sz w:val="20"/>
          <w:szCs w:val="20"/>
          <w:color w:val="auto"/>
        </w:rPr>
      </w:pPr>
    </w:p>
    <w:p>
      <w:pPr>
        <w:ind w:left="440"/>
        <w:spacing w:after="0" w:line="314" w:lineRule="auto"/>
        <w:rPr>
          <w:sz w:val="20"/>
          <w:szCs w:val="20"/>
          <w:color w:val="auto"/>
        </w:rPr>
      </w:pPr>
      <w:r>
        <w:rPr>
          <w:rFonts w:ascii="Arial" w:cs="Arial" w:eastAsia="Arial" w:hAnsi="Arial"/>
          <w:sz w:val="16"/>
          <w:szCs w:val="16"/>
          <w:b w:val="1"/>
          <w:bCs w:val="1"/>
          <w:color w:val="auto"/>
        </w:rPr>
        <w:t>The shares represented by this proxy will be voted as directed herein. If no direction is indicated, such shares will be voted FOR the election of all of the director nominees listed in Proposal 1 and FOR Proposals 2 and 3. As to any other matter that may be properly brought before the meeting or any adjournment or postponement thereof, proxy holders will vote in accordance with their best judgment.</w:t>
      </w:r>
    </w:p>
    <w:p>
      <w:pPr>
        <w:spacing w:after="0" w:line="142"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0980"/>
      </w:cols>
      <w:pgMar w:left="240" w:top="459"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
      <w:numFmt w:val="bullet"/>
      <w:start w:val="1"/>
    </w:lvl>
  </w:abstractNum>
  <w:abstractNum w:abstractNumId="3">
    <w:nsid w:val="7FFFCA11"/>
    <w:multiLevelType w:val="hybridMultilevel"/>
    <w:lvl w:ilvl="0">
      <w:lvlJc w:val="left"/>
      <w:lvlText w:val="☒"/>
      <w:numFmt w:val="bullet"/>
      <w:start w:val="1"/>
    </w:lvl>
  </w:abstractNum>
  <w:abstractNum w:abstractNumId="4">
    <w:nsid w:val="1A27709E"/>
    <w:multiLevelType w:val="hybridMultilevel"/>
    <w:lvl w:ilvl="0">
      <w:lvlJc w:val="left"/>
      <w:lvlText w:val="☐"/>
      <w:numFmt w:val="bullet"/>
      <w:start w:val="1"/>
    </w:lvl>
    <w:lvl w:ilvl="1">
      <w:lvlJc w:val="left"/>
      <w:lvlText w:val="%2)"/>
      <w:numFmt w:val="decimal"/>
      <w:start w:val="1"/>
    </w:lvl>
  </w:abstractNum>
  <w:abstractNum w:abstractNumId="5">
    <w:nsid w:val="71EA1109"/>
    <w:multiLevelType w:val="hybridMultilevel"/>
    <w:lvl w:ilvl="0">
      <w:lvlJc w:val="left"/>
      <w:lvlText w:val="•"/>
      <w:numFmt w:val="bullet"/>
      <w:start w:val="1"/>
    </w:lvl>
  </w:abstractNum>
  <w:abstractNum w:abstractNumId="6">
    <w:nsid w:val="100F59DC"/>
    <w:multiLevelType w:val="hybridMultilevel"/>
    <w:lvl w:ilvl="0">
      <w:lvlJc w:val="left"/>
      <w:lvlText w:val="•"/>
      <w:numFmt w:val="bullet"/>
      <w:start w:val="1"/>
    </w:lvl>
  </w:abstractNum>
  <w:abstractNum w:abstractNumId="7">
    <w:nsid w:val="7FB7E0AA"/>
    <w:multiLevelType w:val="hybridMultilevel"/>
    <w:lvl w:ilvl="0">
      <w:lvlJc w:val="left"/>
      <w:lvlText w:val="•"/>
      <w:numFmt w:val="bullet"/>
      <w:start w:val="1"/>
    </w:lvl>
  </w:abstractNum>
  <w:abstractNum w:abstractNumId="8">
    <w:nsid w:val="6EB5BD4"/>
    <w:multiLevelType w:val="hybridMultilevel"/>
    <w:lvl w:ilvl="0">
      <w:lvlJc w:val="left"/>
      <w:lvlText w:val="•"/>
      <w:numFmt w:val="bullet"/>
      <w:start w:val="1"/>
    </w:lvl>
  </w:abstractNum>
  <w:abstractNum w:abstractNumId="9">
    <w:nsid w:val="6F6DD9AC"/>
    <w:multiLevelType w:val="hybridMultilevel"/>
    <w:lvl w:ilvl="0">
      <w:lvlJc w:val="left"/>
      <w:lvlText w:val="*"/>
      <w:numFmt w:val="bullet"/>
      <w:start w:val="1"/>
    </w:lvl>
  </w:abstractNum>
  <w:abstractNum w:abstractNumId="10">
    <w:nsid w:val="94211F2"/>
    <w:multiLevelType w:val="hybridMultilevel"/>
    <w:lvl w:ilvl="0">
      <w:lvlJc w:val="left"/>
      <w:lvlText w:val="1"/>
      <w:numFmt w:val="bullet"/>
      <w:start w:val="1"/>
    </w:lvl>
  </w:abstractNum>
  <w:abstractNum w:abstractNumId="11">
    <w:nsid w:val="885E1B"/>
    <w:multiLevelType w:val="hybridMultilevel"/>
    <w:lvl w:ilvl="0">
      <w:lvlJc w:val="left"/>
      <w:lvlText w:val="1"/>
      <w:numFmt w:val="bullet"/>
      <w:start w:val="1"/>
    </w:lvl>
  </w:abstractNum>
  <w:abstractNum w:abstractNumId="12">
    <w:nsid w:val="76272110"/>
    <w:multiLevelType w:val="hybridMultilevel"/>
    <w:lvl w:ilvl="0">
      <w:lvlJc w:val="left"/>
      <w:lvlText w:val="1"/>
      <w:numFmt w:val="bullet"/>
      <w:start w:val="1"/>
    </w:lvl>
  </w:abstractNum>
  <w:abstractNum w:abstractNumId="13">
    <w:nsid w:val="4C04A8AF"/>
    <w:multiLevelType w:val="hybridMultilevel"/>
    <w:lvl w:ilvl="0">
      <w:lvlJc w:val="left"/>
      <w:lvlText w:val="1"/>
      <w:numFmt w:val="bullet"/>
      <w:start w:val="1"/>
    </w:lvl>
  </w:abstractNum>
  <w:abstractNum w:abstractNumId="14">
    <w:nsid w:val="1716703B"/>
    <w:multiLevelType w:val="hybridMultilevel"/>
    <w:lvl w:ilvl="0">
      <w:lvlJc w:val="left"/>
      <w:lvlText w:val="1"/>
      <w:numFmt w:val="bullet"/>
      <w:start w:val="1"/>
    </w:lvl>
  </w:abstractNum>
  <w:abstractNum w:abstractNumId="15">
    <w:nsid w:val="14E17E33"/>
    <w:multiLevelType w:val="hybridMultilevel"/>
    <w:lvl w:ilvl="0">
      <w:lvlJc w:val="left"/>
      <w:lvlText w:val="2"/>
      <w:numFmt w:val="bullet"/>
      <w:start w:val="1"/>
    </w:lvl>
  </w:abstractNum>
  <w:abstractNum w:abstractNumId="16">
    <w:nsid w:val="3222E7CD"/>
    <w:multiLevelType w:val="hybridMultilevel"/>
    <w:lvl w:ilvl="0">
      <w:lvlJc w:val="left"/>
      <w:lvlText w:val="•"/>
      <w:numFmt w:val="bullet"/>
      <w:start w:val="1"/>
    </w:lvl>
  </w:abstractNum>
  <w:abstractNum w:abstractNumId="17">
    <w:nsid w:val="74DE0EE3"/>
    <w:multiLevelType w:val="hybridMultilevel"/>
    <w:lvl w:ilvl="0">
      <w:lvlJc w:val="left"/>
      <w:lvlText w:val="•"/>
      <w:numFmt w:val="bullet"/>
      <w:start w:val="1"/>
    </w:lvl>
  </w:abstractNum>
  <w:abstractNum w:abstractNumId="18">
    <w:nsid w:val="68EBC550"/>
    <w:multiLevelType w:val="hybridMultilevel"/>
    <w:lvl w:ilvl="0">
      <w:lvlJc w:val="left"/>
      <w:lvlText w:val="•"/>
      <w:numFmt w:val="bullet"/>
      <w:start w:val="1"/>
    </w:lvl>
  </w:abstractNum>
  <w:abstractNum w:abstractNumId="19">
    <w:nsid w:val="2DF6D648"/>
    <w:multiLevelType w:val="hybridMultilevel"/>
    <w:lvl w:ilvl="0">
      <w:lvlJc w:val="left"/>
      <w:lvlText w:val="2"/>
      <w:numFmt w:val="bullet"/>
      <w:start w:val="1"/>
    </w:lvl>
  </w:abstractNum>
  <w:abstractNum w:abstractNumId="20">
    <w:nsid w:val="46B7D447"/>
    <w:multiLevelType w:val="hybridMultilevel"/>
    <w:lvl w:ilvl="0">
      <w:lvlJc w:val="left"/>
      <w:lvlText w:val="•"/>
      <w:numFmt w:val="bullet"/>
      <w:start w:val="1"/>
    </w:lvl>
  </w:abstractNum>
  <w:abstractNum w:abstractNumId="21">
    <w:nsid w:val="4A2AC315"/>
    <w:multiLevelType w:val="hybridMultilevel"/>
    <w:lvl w:ilvl="0">
      <w:lvlJc w:val="left"/>
      <w:lvlText w:val="2"/>
      <w:numFmt w:val="bullet"/>
      <w:start w:val="1"/>
    </w:lvl>
  </w:abstractNum>
  <w:abstractNum w:abstractNumId="22">
    <w:nsid w:val="39EE015C"/>
    <w:multiLevelType w:val="hybridMultilevel"/>
    <w:lvl w:ilvl="0">
      <w:lvlJc w:val="left"/>
      <w:lvlText w:val="3"/>
      <w:numFmt w:val="bullet"/>
      <w:start w:val="1"/>
    </w:lvl>
  </w:abstractNum>
  <w:abstractNum w:abstractNumId="23">
    <w:nsid w:val="57FC4FBB"/>
    <w:multiLevelType w:val="hybridMultilevel"/>
    <w:lvl w:ilvl="0">
      <w:lvlJc w:val="left"/>
      <w:lvlText w:val="3"/>
      <w:numFmt w:val="bullet"/>
      <w:start w:val="1"/>
    </w:lvl>
  </w:abstractNum>
  <w:abstractNum w:abstractNumId="24">
    <w:nsid w:val="CC1016F"/>
    <w:multiLevelType w:val="hybridMultilevel"/>
    <w:lvl w:ilvl="0">
      <w:lvlJc w:val="left"/>
      <w:lvlText w:val="\endash "/>
      <w:numFmt w:val="bullet"/>
      <w:start w:val="1"/>
    </w:lvl>
  </w:abstractNum>
  <w:abstractNum w:abstractNumId="25">
    <w:nsid w:val="43F18422"/>
    <w:multiLevelType w:val="hybridMultilevel"/>
    <w:lvl w:ilvl="0">
      <w:lvlJc w:val="left"/>
      <w:lvlText w:val="\endash "/>
      <w:numFmt w:val="bullet"/>
      <w:start w:val="1"/>
    </w:lvl>
  </w:abstractNum>
  <w:abstractNum w:abstractNumId="26">
    <w:nsid w:val="60EF0119"/>
    <w:multiLevelType w:val="hybridMultilevel"/>
    <w:lvl w:ilvl="0">
      <w:lvlJc w:val="left"/>
      <w:lvlText w:val="\endash "/>
      <w:numFmt w:val="bullet"/>
      <w:start w:val="1"/>
    </w:lvl>
  </w:abstractNum>
  <w:abstractNum w:abstractNumId="27">
    <w:nsid w:val="26F324BA"/>
    <w:multiLevelType w:val="hybridMultilevel"/>
    <w:lvl w:ilvl="0">
      <w:lvlJc w:val="left"/>
      <w:lvlText w:val="\endash "/>
      <w:numFmt w:val="bullet"/>
      <w:start w:val="1"/>
    </w:lvl>
  </w:abstractNum>
  <w:abstractNum w:abstractNumId="28">
    <w:nsid w:val="7F01579B"/>
    <w:multiLevelType w:val="hybridMultilevel"/>
    <w:lvl w:ilvl="0">
      <w:lvlJc w:val="left"/>
      <w:lvlText w:val="3"/>
      <w:numFmt w:val="bullet"/>
      <w:start w:val="1"/>
    </w:lvl>
  </w:abstractNum>
  <w:abstractNum w:abstractNumId="29">
    <w:nsid w:val="49DA307D"/>
    <w:multiLevelType w:val="hybridMultilevel"/>
    <w:lvl w:ilvl="0">
      <w:lvlJc w:val="left"/>
      <w:lvlText w:val="\endash "/>
      <w:numFmt w:val="bullet"/>
      <w:start w:val="1"/>
    </w:lvl>
  </w:abstractNum>
  <w:abstractNum w:abstractNumId="30">
    <w:nsid w:val="7055A5F5"/>
    <w:multiLevelType w:val="hybridMultilevel"/>
    <w:lvl w:ilvl="0">
      <w:lvlJc w:val="left"/>
      <w:lvlText w:val="\endash "/>
      <w:numFmt w:val="bullet"/>
      <w:start w:val="1"/>
    </w:lvl>
  </w:abstractNum>
  <w:abstractNum w:abstractNumId="31">
    <w:nsid w:val="5FB8370B"/>
    <w:multiLevelType w:val="hybridMultilevel"/>
    <w:lvl w:ilvl="0">
      <w:lvlJc w:val="left"/>
      <w:lvlText w:val="\endash "/>
      <w:numFmt w:val="bullet"/>
      <w:start w:val="1"/>
    </w:lvl>
  </w:abstractNum>
  <w:abstractNum w:abstractNumId="32">
    <w:nsid w:val="50801EE1"/>
    <w:multiLevelType w:val="hybridMultilevel"/>
    <w:lvl w:ilvl="0">
      <w:lvlJc w:val="left"/>
      <w:lvlText w:val="\endash "/>
      <w:numFmt w:val="bullet"/>
      <w:start w:val="1"/>
    </w:lvl>
  </w:abstractNum>
  <w:abstractNum w:abstractNumId="33">
    <w:nsid w:val="488AC1A"/>
    <w:multiLevelType w:val="hybridMultilevel"/>
    <w:lvl w:ilvl="0">
      <w:lvlJc w:val="left"/>
      <w:lvlText w:val="3"/>
      <w:numFmt w:val="bullet"/>
      <w:start w:val="1"/>
    </w:lvl>
  </w:abstractNum>
  <w:abstractNum w:abstractNumId="34">
    <w:nsid w:val="5FB8011C"/>
    <w:multiLevelType w:val="hybridMultilevel"/>
    <w:lvl w:ilvl="0">
      <w:lvlJc w:val="left"/>
      <w:lvlText w:val="\endash "/>
      <w:numFmt w:val="bullet"/>
      <w:start w:val="1"/>
    </w:lvl>
  </w:abstractNum>
  <w:abstractNum w:abstractNumId="35">
    <w:nsid w:val="6AA78F7F"/>
    <w:multiLevelType w:val="hybridMultilevel"/>
    <w:lvl w:ilvl="0">
      <w:lvlJc w:val="left"/>
      <w:lvlText w:val="\endash "/>
      <w:numFmt w:val="bullet"/>
      <w:start w:val="1"/>
    </w:lvl>
  </w:abstractNum>
  <w:abstractNum w:abstractNumId="36">
    <w:nsid w:val="7672BD23"/>
    <w:multiLevelType w:val="hybridMultilevel"/>
    <w:lvl w:ilvl="0">
      <w:lvlJc w:val="left"/>
      <w:lvlText w:val="\endash "/>
      <w:numFmt w:val="bullet"/>
      <w:start w:val="1"/>
    </w:lvl>
  </w:abstractNum>
  <w:abstractNum w:abstractNumId="37">
    <w:nsid w:val="6FC75AF8"/>
    <w:multiLevelType w:val="hybridMultilevel"/>
    <w:lvl w:ilvl="0">
      <w:lvlJc w:val="left"/>
      <w:lvlText w:val="\endash "/>
      <w:numFmt w:val="bullet"/>
      <w:start w:val="1"/>
    </w:lvl>
  </w:abstractNum>
  <w:abstractNum w:abstractNumId="38">
    <w:nsid w:val="6A5F7029"/>
    <w:multiLevelType w:val="hybridMultilevel"/>
    <w:lvl w:ilvl="0">
      <w:lvlJc w:val="left"/>
      <w:lvlText w:val="3"/>
      <w:numFmt w:val="bullet"/>
      <w:start w:val="1"/>
    </w:lvl>
  </w:abstractNum>
  <w:abstractNum w:abstractNumId="39">
    <w:nsid w:val="7D5E18F8"/>
    <w:multiLevelType w:val="hybridMultilevel"/>
    <w:lvl w:ilvl="0">
      <w:lvlJc w:val="left"/>
      <w:lvlText w:val="\endash "/>
      <w:numFmt w:val="bullet"/>
      <w:start w:val="1"/>
    </w:lvl>
  </w:abstractNum>
  <w:abstractNum w:abstractNumId="40">
    <w:nsid w:val="5F3534A4"/>
    <w:multiLevelType w:val="hybridMultilevel"/>
    <w:lvl w:ilvl="0">
      <w:lvlJc w:val="left"/>
      <w:lvlText w:val="\endash "/>
      <w:numFmt w:val="bullet"/>
      <w:start w:val="1"/>
    </w:lvl>
  </w:abstractNum>
  <w:abstractNum w:abstractNumId="41">
    <w:nsid w:val="73A1821B"/>
    <w:multiLevelType w:val="hybridMultilevel"/>
    <w:lvl w:ilvl="0">
      <w:lvlJc w:val="left"/>
      <w:lvlText w:val="\endash "/>
      <w:numFmt w:val="bullet"/>
      <w:start w:val="1"/>
    </w:lvl>
  </w:abstractNum>
  <w:abstractNum w:abstractNumId="42">
    <w:nsid w:val="7DE67713"/>
    <w:multiLevelType w:val="hybridMultilevel"/>
    <w:lvl w:ilvl="0">
      <w:lvlJc w:val="left"/>
      <w:lvlText w:val="\endash "/>
      <w:numFmt w:val="bullet"/>
      <w:start w:val="1"/>
    </w:lvl>
  </w:abstractNum>
  <w:abstractNum w:abstractNumId="43">
    <w:nsid w:val="555C55B5"/>
    <w:multiLevelType w:val="hybridMultilevel"/>
    <w:lvl w:ilvl="0">
      <w:lvlJc w:val="left"/>
      <w:lvlText w:val="3"/>
      <w:numFmt w:val="bullet"/>
      <w:start w:val="1"/>
    </w:lvl>
  </w:abstractNum>
  <w:abstractNum w:abstractNumId="44">
    <w:nsid w:val="3FA62ACA"/>
    <w:multiLevelType w:val="hybridMultilevel"/>
    <w:lvl w:ilvl="0">
      <w:lvlJc w:val="left"/>
      <w:lvlText w:val="\endash "/>
      <w:numFmt w:val="bullet"/>
      <w:start w:val="1"/>
    </w:lvl>
  </w:abstractNum>
  <w:abstractNum w:abstractNumId="45">
    <w:nsid w:val="14FCE74E"/>
    <w:multiLevelType w:val="hybridMultilevel"/>
    <w:lvl w:ilvl="0">
      <w:lvlJc w:val="left"/>
      <w:lvlText w:val="\endash "/>
      <w:numFmt w:val="bullet"/>
      <w:start w:val="1"/>
    </w:lvl>
  </w:abstractNum>
  <w:abstractNum w:abstractNumId="46">
    <w:nsid w:val="6A3DD3E8"/>
    <w:multiLevelType w:val="hybridMultilevel"/>
    <w:lvl w:ilvl="0">
      <w:lvlJc w:val="left"/>
      <w:lvlText w:val="\endash "/>
      <w:numFmt w:val="bullet"/>
      <w:start w:val="1"/>
    </w:lvl>
  </w:abstractNum>
  <w:abstractNum w:abstractNumId="47">
    <w:nsid w:val="71C91298"/>
    <w:multiLevelType w:val="hybridMultilevel"/>
    <w:lvl w:ilvl="0">
      <w:lvlJc w:val="left"/>
      <w:lvlText w:val="\endash "/>
      <w:numFmt w:val="bullet"/>
      <w:start w:val="1"/>
    </w:lvl>
  </w:abstractNum>
  <w:abstractNum w:abstractNumId="48">
    <w:nsid w:val="9DAF632"/>
    <w:multiLevelType w:val="hybridMultilevel"/>
    <w:lvl w:ilvl="0">
      <w:lvlJc w:val="left"/>
      <w:lvlText w:val="\endash "/>
      <w:numFmt w:val="bullet"/>
      <w:start w:val="1"/>
    </w:lvl>
  </w:abstractNum>
  <w:abstractNum w:abstractNumId="49">
    <w:nsid w:val="53299938"/>
    <w:multiLevelType w:val="hybridMultilevel"/>
    <w:lvl w:ilvl="0">
      <w:lvlJc w:val="left"/>
      <w:lvlText w:val="\endash "/>
      <w:numFmt w:val="bullet"/>
      <w:start w:val="1"/>
    </w:lvl>
  </w:abstractNum>
  <w:abstractNum w:abstractNumId="50">
    <w:nsid w:val="1FBFE8E0"/>
    <w:multiLevelType w:val="hybridMultilevel"/>
    <w:lvl w:ilvl="0">
      <w:lvlJc w:val="left"/>
      <w:lvlText w:val="\endash "/>
      <w:numFmt w:val="bullet"/>
      <w:start w:val="1"/>
    </w:lvl>
  </w:abstractNum>
  <w:abstractNum w:abstractNumId="51">
    <w:nsid w:val="5092CA79"/>
    <w:multiLevelType w:val="hybridMultilevel"/>
    <w:lvl w:ilvl="0">
      <w:lvlJc w:val="left"/>
      <w:lvlText w:val="3"/>
      <w:numFmt w:val="bullet"/>
      <w:start w:val="1"/>
    </w:lvl>
  </w:abstractNum>
  <w:abstractNum w:abstractNumId="52">
    <w:nsid w:val="1D545C4D"/>
    <w:multiLevelType w:val="hybridMultilevel"/>
    <w:lvl w:ilvl="0">
      <w:lvlJc w:val="left"/>
      <w:lvlText w:val="\endash "/>
      <w:numFmt w:val="bullet"/>
      <w:start w:val="1"/>
    </w:lvl>
  </w:abstractNum>
  <w:abstractNum w:abstractNumId="53">
    <w:nsid w:val="59ADEA3D"/>
    <w:multiLevelType w:val="hybridMultilevel"/>
    <w:lvl w:ilvl="0">
      <w:lvlJc w:val="left"/>
      <w:lvlText w:val="\endash "/>
      <w:numFmt w:val="bullet"/>
      <w:start w:val="1"/>
    </w:lvl>
  </w:abstractNum>
  <w:abstractNum w:abstractNumId="54">
    <w:nsid w:val="288F1A34"/>
    <w:multiLevelType w:val="hybridMultilevel"/>
    <w:lvl w:ilvl="0">
      <w:lvlJc w:val="left"/>
      <w:lvlText w:val="\endash "/>
      <w:numFmt w:val="bullet"/>
      <w:start w:val="1"/>
    </w:lvl>
  </w:abstractNum>
  <w:abstractNum w:abstractNumId="55">
    <w:nsid w:val="2A155DBC"/>
    <w:multiLevelType w:val="hybridMultilevel"/>
    <w:lvl w:ilvl="0">
      <w:lvlJc w:val="left"/>
      <w:lvlText w:val="3"/>
      <w:numFmt w:val="bullet"/>
      <w:start w:val="1"/>
    </w:lvl>
  </w:abstractNum>
  <w:abstractNum w:abstractNumId="56">
    <w:nsid w:val="1D9F6E5F"/>
    <w:multiLevelType w:val="hybridMultilevel"/>
    <w:lvl w:ilvl="0">
      <w:lvlJc w:val="left"/>
      <w:lvlText w:val="\endash "/>
      <w:numFmt w:val="bullet"/>
      <w:start w:val="1"/>
    </w:lvl>
  </w:abstractNum>
  <w:abstractNum w:abstractNumId="57">
    <w:nsid w:val="97E1B4E"/>
    <w:multiLevelType w:val="hybridMultilevel"/>
    <w:lvl w:ilvl="0">
      <w:lvlJc w:val="left"/>
      <w:lvlText w:val="\endash "/>
      <w:numFmt w:val="bullet"/>
      <w:start w:val="1"/>
    </w:lvl>
  </w:abstractNum>
  <w:abstractNum w:abstractNumId="58">
    <w:nsid w:val="51088277"/>
    <w:multiLevelType w:val="hybridMultilevel"/>
    <w:lvl w:ilvl="0">
      <w:lvlJc w:val="left"/>
      <w:lvlText w:val="\endash "/>
      <w:numFmt w:val="bullet"/>
      <w:start w:val="1"/>
    </w:lvl>
  </w:abstractNum>
  <w:abstractNum w:abstractNumId="59">
    <w:nsid w:val="1CA0C5FA"/>
    <w:multiLevelType w:val="hybridMultilevel"/>
    <w:lvl w:ilvl="0">
      <w:lvlJc w:val="left"/>
      <w:lvlText w:val="\endash "/>
      <w:numFmt w:val="bullet"/>
      <w:start w:val="1"/>
    </w:lvl>
  </w:abstractNum>
  <w:abstractNum w:abstractNumId="60">
    <w:nsid w:val="53584BCB"/>
    <w:multiLevelType w:val="hybridMultilevel"/>
    <w:lvl w:ilvl="0">
      <w:lvlJc w:val="left"/>
      <w:lvlText w:val="3"/>
      <w:numFmt w:val="bullet"/>
      <w:start w:val="1"/>
    </w:lvl>
  </w:abstractNum>
  <w:abstractNum w:abstractNumId="61">
    <w:nsid w:val="415E286C"/>
    <w:multiLevelType w:val="hybridMultilevel"/>
    <w:lvl w:ilvl="0">
      <w:lvlJc w:val="left"/>
      <w:lvlText w:val="•"/>
      <w:numFmt w:val="bullet"/>
      <w:start w:val="1"/>
    </w:lvl>
  </w:abstractNum>
  <w:abstractNum w:abstractNumId="62">
    <w:nsid w:val="7C58FD05"/>
    <w:multiLevelType w:val="hybridMultilevel"/>
    <w:lvl w:ilvl="0">
      <w:lvlJc w:val="left"/>
      <w:lvlText w:val="3"/>
      <w:numFmt w:val="bullet"/>
      <w:start w:val="1"/>
    </w:lvl>
  </w:abstractNum>
  <w:abstractNum w:abstractNumId="63">
    <w:nsid w:val="23D86AAC"/>
    <w:multiLevelType w:val="hybridMultilevel"/>
    <w:lvl w:ilvl="0">
      <w:lvlJc w:val="left"/>
      <w:lvlText w:val="(%1)"/>
      <w:numFmt w:val="decimal"/>
      <w:start w:val="1"/>
    </w:lvl>
  </w:abstractNum>
  <w:abstractNum w:abstractNumId="64">
    <w:nsid w:val="45E6D486"/>
    <w:multiLevelType w:val="hybridMultilevel"/>
    <w:lvl w:ilvl="0">
      <w:lvlJc w:val="left"/>
      <w:lvlText w:val="3"/>
      <w:numFmt w:val="bullet"/>
      <w:start w:val="1"/>
    </w:lvl>
  </w:abstractNum>
  <w:abstractNum w:abstractNumId="65">
    <w:nsid w:val="5C10FE21"/>
    <w:multiLevelType w:val="hybridMultilevel"/>
    <w:lvl w:ilvl="0">
      <w:lvlJc w:val="left"/>
      <w:lvlText w:val="(%1)"/>
      <w:numFmt w:val="decimal"/>
      <w:start w:val="1"/>
    </w:lvl>
  </w:abstractNum>
  <w:abstractNum w:abstractNumId="66">
    <w:nsid w:val="E7FFA2B"/>
    <w:multiLevelType w:val="hybridMultilevel"/>
    <w:lvl w:ilvl="0">
      <w:lvlJc w:val="left"/>
      <w:lvlText w:val="3"/>
      <w:numFmt w:val="bullet"/>
      <w:start w:val="1"/>
    </w:lvl>
  </w:abstractNum>
  <w:abstractNum w:abstractNumId="67">
    <w:nsid w:val="3C5991AA"/>
    <w:multiLevelType w:val="hybridMultilevel"/>
    <w:lvl w:ilvl="0">
      <w:lvlJc w:val="left"/>
      <w:lvlText w:val="(%1)"/>
      <w:numFmt w:val="decimal"/>
      <w:start w:val="1"/>
    </w:lvl>
  </w:abstractNum>
  <w:abstractNum w:abstractNumId="68">
    <w:nsid w:val="4BD8591A"/>
    <w:multiLevelType w:val="hybridMultilevel"/>
    <w:lvl w:ilvl="0">
      <w:lvlJc w:val="left"/>
      <w:lvlText w:val="3"/>
      <w:numFmt w:val="bullet"/>
      <w:start w:val="1"/>
    </w:lvl>
  </w:abstractNum>
  <w:abstractNum w:abstractNumId="69">
    <w:nsid w:val="78DF6A55"/>
    <w:multiLevelType w:val="hybridMultilevel"/>
    <w:lvl w:ilvl="0">
      <w:lvlJc w:val="left"/>
      <w:lvlText w:val="3"/>
      <w:numFmt w:val="bullet"/>
      <w:start w:val="1"/>
    </w:lvl>
  </w:abstractNum>
  <w:abstractNum w:abstractNumId="70">
    <w:nsid w:val="39B7AAA2"/>
    <w:multiLevelType w:val="hybridMultilevel"/>
    <w:lvl w:ilvl="0">
      <w:lvlJc w:val="left"/>
      <w:lvlText w:val="4"/>
      <w:numFmt w:val="bullet"/>
      <w:start w:val="1"/>
    </w:lvl>
  </w:abstractNum>
  <w:abstractNum w:abstractNumId="71">
    <w:nsid w:val="2B0D8DBE"/>
    <w:multiLevelType w:val="hybridMultilevel"/>
    <w:lvl w:ilvl="0">
      <w:lvlJc w:val="left"/>
      <w:lvlText w:val="•"/>
      <w:numFmt w:val="bullet"/>
      <w:start w:val="1"/>
    </w:lvl>
  </w:abstractNum>
  <w:abstractNum w:abstractNumId="72">
    <w:nsid w:val="6C80EC70"/>
    <w:multiLevelType w:val="hybridMultilevel"/>
    <w:lvl w:ilvl="0">
      <w:lvlJc w:val="left"/>
      <w:lvlText w:val="•"/>
      <w:numFmt w:val="bullet"/>
      <w:start w:val="1"/>
    </w:lvl>
  </w:abstractNum>
  <w:abstractNum w:abstractNumId="73">
    <w:nsid w:val="379E21B5"/>
    <w:multiLevelType w:val="hybridMultilevel"/>
    <w:lvl w:ilvl="0">
      <w:lvlJc w:val="left"/>
      <w:lvlText w:val="*"/>
      <w:numFmt w:val="bullet"/>
      <w:start w:val="1"/>
    </w:lvl>
  </w:abstractNum>
  <w:abstractNum w:abstractNumId="74">
    <w:nsid w:val="69E373"/>
    <w:multiLevelType w:val="hybridMultilevel"/>
    <w:lvl w:ilvl="0">
      <w:lvlJc w:val="left"/>
      <w:lvlText w:val="5"/>
      <w:numFmt w:val="bullet"/>
      <w:start w:val="1"/>
    </w:lvl>
  </w:abstractNum>
  <w:abstractNum w:abstractNumId="75">
    <w:nsid w:val="2C27173B"/>
    <w:multiLevelType w:val="hybridMultilevel"/>
    <w:lvl w:ilvl="0">
      <w:lvlJc w:val="left"/>
      <w:lvlText w:val="5"/>
      <w:numFmt w:val="bullet"/>
      <w:start w:val="1"/>
    </w:lvl>
  </w:abstractNum>
  <w:abstractNum w:abstractNumId="76">
    <w:nsid w:val="4C9B0904"/>
    <w:multiLevelType w:val="hybridMultilevel"/>
    <w:lvl w:ilvl="0">
      <w:lvlJc w:val="left"/>
      <w:lvlText w:val="5"/>
      <w:numFmt w:val="bullet"/>
      <w:start w:val="1"/>
    </w:lvl>
  </w:abstractNum>
  <w:abstractNum w:abstractNumId="77">
    <w:nsid w:val="6AA7B75C"/>
    <w:multiLevelType w:val="hybridMultilevel"/>
    <w:lvl w:ilvl="0">
      <w:lvlJc w:val="left"/>
      <w:lvlText w:val="•"/>
      <w:numFmt w:val="bullet"/>
      <w:start w:val="1"/>
    </w:lvl>
  </w:abstractNum>
  <w:abstractNum w:abstractNumId="78">
    <w:nsid w:val="1DF029D3"/>
    <w:multiLevelType w:val="hybridMultilevel"/>
    <w:lvl w:ilvl="0">
      <w:lvlJc w:val="left"/>
      <w:lvlText w:val="*"/>
      <w:numFmt w:val="bullet"/>
      <w:start w:val="1"/>
    </w:lvl>
  </w:abstractNum>
  <w:abstractNum w:abstractNumId="79">
    <w:nsid w:val="5675FF36"/>
    <w:multiLevelType w:val="hybridMultilevel"/>
    <w:lvl w:ilvl="0">
      <w:lvlJc w:val="left"/>
      <w:lvlText w:val="•"/>
      <w:numFmt w:val="bullet"/>
      <w:start w:val="1"/>
    </w:lvl>
  </w:abstractNum>
  <w:abstractNum w:abstractNumId="80">
    <w:nsid w:val="3DD15094"/>
    <w:multiLevelType w:val="hybridMultilevel"/>
    <w:lvl w:ilvl="0">
      <w:lvlJc w:val="left"/>
      <w:lvlText w:val="•"/>
      <w:numFmt w:val="bullet"/>
      <w:start w:val="1"/>
    </w:lvl>
  </w:abstractNum>
  <w:abstractNum w:abstractNumId="81">
    <w:nsid w:val="3DB012B3"/>
    <w:multiLevelType w:val="hybridMultilevel"/>
    <w:lvl w:ilvl="0">
      <w:lvlJc w:val="left"/>
      <w:lvlText w:val="5"/>
      <w:numFmt w:val="bullet"/>
      <w:start w:val="1"/>
    </w:lvl>
  </w:abstractNum>
  <w:abstractNum w:abstractNumId="82">
    <w:nsid w:val="2708C9AF"/>
    <w:multiLevelType w:val="hybridMultilevel"/>
    <w:lvl w:ilvl="0">
      <w:lvlJc w:val="left"/>
      <w:lvlText w:val="•"/>
      <w:numFmt w:val="bullet"/>
      <w:start w:val="1"/>
    </w:lvl>
  </w:abstractNum>
  <w:abstractNum w:abstractNumId="83">
    <w:nsid w:val="5B25ACE2"/>
    <w:multiLevelType w:val="hybridMultilevel"/>
    <w:lvl w:ilvl="0">
      <w:lvlJc w:val="left"/>
      <w:lvlText w:val="•"/>
      <w:numFmt w:val="bullet"/>
      <w:start w:val="1"/>
    </w:lvl>
  </w:abstractNum>
  <w:abstractNum w:abstractNumId="84">
    <w:nsid w:val="175DFCF0"/>
    <w:multiLevelType w:val="hybridMultilevel"/>
    <w:lvl w:ilvl="0">
      <w:lvlJc w:val="left"/>
      <w:lvlText w:val="•"/>
      <w:numFmt w:val="bullet"/>
      <w:start w:val="1"/>
    </w:lvl>
  </w:abstractNum>
  <w:abstractNum w:abstractNumId="85">
    <w:nsid w:val="4F97E3E4"/>
    <w:multiLevelType w:val="hybridMultilevel"/>
    <w:lvl w:ilvl="0">
      <w:lvlJc w:val="left"/>
      <w:lvlText w:val="•"/>
      <w:numFmt w:val="bullet"/>
      <w:start w:val="1"/>
    </w:lvl>
  </w:abstractNum>
  <w:abstractNum w:abstractNumId="86">
    <w:nsid w:val="53B0A9E"/>
    <w:multiLevelType w:val="hybridMultilevel"/>
    <w:lvl w:ilvl="0">
      <w:lvlJc w:val="left"/>
      <w:lvlText w:val="•"/>
      <w:numFmt w:val="bullet"/>
      <w:start w:val="1"/>
    </w:lvl>
  </w:abstractNum>
  <w:abstractNum w:abstractNumId="87">
    <w:nsid w:val="34FD6B4F"/>
    <w:multiLevelType w:val="hybridMultilevel"/>
    <w:lvl w:ilvl="0">
      <w:lvlJc w:val="left"/>
      <w:lvlText w:val="5"/>
      <w:numFmt w:val="bullet"/>
      <w:start w:val="1"/>
    </w:lvl>
  </w:abstractNum>
  <w:abstractNum w:abstractNumId="88">
    <w:nsid w:val="5915FF32"/>
    <w:multiLevelType w:val="hybridMultilevel"/>
    <w:lvl w:ilvl="0">
      <w:lvlJc w:val="left"/>
      <w:lvlText w:val="•"/>
      <w:numFmt w:val="bullet"/>
      <w:start w:val="1"/>
    </w:lvl>
  </w:abstractNum>
  <w:abstractNum w:abstractNumId="89">
    <w:nsid w:val="56438D15"/>
    <w:multiLevelType w:val="hybridMultilevel"/>
    <w:lvl w:ilvl="0">
      <w:lvlJc w:val="left"/>
      <w:lvlText w:val="•"/>
      <w:numFmt w:val="bullet"/>
      <w:start w:val="1"/>
    </w:lvl>
  </w:abstractNum>
  <w:abstractNum w:abstractNumId="90">
    <w:nsid w:val="519E3149"/>
    <w:multiLevelType w:val="hybridMultilevel"/>
    <w:lvl w:ilvl="0">
      <w:lvlJc w:val="left"/>
      <w:lvlText w:val="•"/>
      <w:numFmt w:val="bullet"/>
      <w:start w:val="1"/>
    </w:lvl>
  </w:abstractNum>
  <w:abstractNum w:abstractNumId="91">
    <w:nsid w:val="2C6E4AFD"/>
    <w:multiLevelType w:val="hybridMultilevel"/>
    <w:lvl w:ilvl="0">
      <w:lvlJc w:val="left"/>
      <w:lvlText w:val="•"/>
      <w:numFmt w:val="bullet"/>
      <w:start w:val="1"/>
    </w:lvl>
  </w:abstractNum>
  <w:abstractNum w:abstractNumId="92">
    <w:nsid w:val="17A1B582"/>
    <w:multiLevelType w:val="hybridMultilevel"/>
    <w:lvl w:ilvl="0">
      <w:lvlJc w:val="left"/>
      <w:lvlText w:val="•"/>
      <w:numFmt w:val="bullet"/>
      <w:start w:val="1"/>
    </w:lvl>
  </w:abstractNum>
  <w:abstractNum w:abstractNumId="93">
    <w:nsid w:val="4DF72E4E"/>
    <w:multiLevelType w:val="hybridMultilevel"/>
    <w:lvl w:ilvl="0">
      <w:lvlJc w:val="left"/>
      <w:lvlText w:val="5"/>
      <w:numFmt w:val="bullet"/>
      <w:start w:val="1"/>
    </w:lvl>
  </w:abstractNum>
  <w:abstractNum w:abstractNumId="94">
    <w:nsid w:val="5046B5A9"/>
    <w:multiLevelType w:val="hybridMultilevel"/>
    <w:lvl w:ilvl="0">
      <w:lvlJc w:val="left"/>
      <w:lvlText w:val="•"/>
      <w:numFmt w:val="bullet"/>
      <w:start w:val="1"/>
    </w:lvl>
  </w:abstractNum>
  <w:abstractNum w:abstractNumId="95">
    <w:nsid w:val="5D888A08"/>
    <w:multiLevelType w:val="hybridMultilevel"/>
    <w:lvl w:ilvl="0">
      <w:lvlJc w:val="left"/>
      <w:lvlText w:val="•"/>
      <w:numFmt w:val="bullet"/>
      <w:start w:val="1"/>
    </w:lvl>
  </w:abstractNum>
  <w:abstractNum w:abstractNumId="96">
    <w:nsid w:val="2A082C70"/>
    <w:multiLevelType w:val="hybridMultilevel"/>
    <w:lvl w:ilvl="0">
      <w:lvlJc w:val="left"/>
      <w:lvlText w:val="*"/>
      <w:numFmt w:val="bullet"/>
      <w:start w:val="1"/>
    </w:lvl>
  </w:abstractNum>
  <w:abstractNum w:abstractNumId="97">
    <w:nsid w:val="5EC6AFD4"/>
    <w:multiLevelType w:val="hybridMultilevel"/>
    <w:lvl w:ilvl="0">
      <w:lvlJc w:val="left"/>
      <w:lvlText w:val="5"/>
      <w:numFmt w:val="bullet"/>
      <w:start w:val="1"/>
    </w:lvl>
  </w:abstractNum>
  <w:abstractNum w:abstractNumId="98">
    <w:nsid w:val="19E21BB2"/>
    <w:multiLevelType w:val="hybridMultilevel"/>
    <w:lvl w:ilvl="0">
      <w:lvlJc w:val="left"/>
      <w:lvlText w:val="•"/>
      <w:numFmt w:val="bullet"/>
      <w:start w:val="1"/>
    </w:lvl>
  </w:abstractNum>
  <w:abstractNum w:abstractNumId="99">
    <w:nsid w:val="75E0858A"/>
    <w:multiLevelType w:val="hybridMultilevel"/>
    <w:lvl w:ilvl="0">
      <w:lvlJc w:val="left"/>
      <w:lvlText w:val="5"/>
      <w:numFmt w:val="bullet"/>
      <w:start w:val="1"/>
    </w:lvl>
  </w:abstractNum>
  <w:abstractNum w:abstractNumId="100">
    <w:nsid w:val="57A61A29"/>
    <w:multiLevelType w:val="hybridMultilevel"/>
    <w:lvl w:ilvl="0">
      <w:lvlJc w:val="left"/>
      <w:lvlText w:val="•"/>
      <w:numFmt w:val="bullet"/>
      <w:start w:val="1"/>
    </w:lvl>
  </w:abstractNum>
  <w:abstractNum w:abstractNumId="101">
    <w:nsid w:val="5399C654"/>
    <w:multiLevelType w:val="hybridMultilevel"/>
    <w:lvl w:ilvl="0">
      <w:lvlJc w:val="left"/>
      <w:lvlText w:val="•"/>
      <w:numFmt w:val="bullet"/>
      <w:start w:val="1"/>
    </w:lvl>
  </w:abstractNum>
  <w:abstractNum w:abstractNumId="102">
    <w:nsid w:val="20EE1348"/>
    <w:multiLevelType w:val="hybridMultilevel"/>
    <w:lvl w:ilvl="0">
      <w:lvlJc w:val="left"/>
      <w:lvlText w:val="•"/>
      <w:numFmt w:val="bullet"/>
      <w:start w:val="1"/>
    </w:lvl>
  </w:abstractNum>
  <w:abstractNum w:abstractNumId="103">
    <w:nsid w:val="4427069A"/>
    <w:multiLevelType w:val="hybridMultilevel"/>
    <w:lvl w:ilvl="0">
      <w:lvlJc w:val="left"/>
      <w:lvlText w:val="•"/>
      <w:numFmt w:val="bullet"/>
      <w:start w:val="1"/>
    </w:lvl>
  </w:abstractNum>
  <w:abstractNum w:abstractNumId="104">
    <w:nsid w:val="B37E80A"/>
    <w:multiLevelType w:val="hybridMultilevel"/>
    <w:lvl w:ilvl="0">
      <w:lvlJc w:val="left"/>
      <w:lvlText w:val="•"/>
      <w:numFmt w:val="bullet"/>
      <w:start w:val="1"/>
    </w:lvl>
  </w:abstractNum>
  <w:abstractNum w:abstractNumId="105">
    <w:nsid w:val="2157F6BC"/>
    <w:multiLevelType w:val="hybridMultilevel"/>
    <w:lvl w:ilvl="0">
      <w:lvlJc w:val="left"/>
      <w:lvlText w:val="•"/>
      <w:numFmt w:val="bullet"/>
      <w:start w:val="1"/>
    </w:lvl>
  </w:abstractNum>
  <w:abstractNum w:abstractNumId="106">
    <w:nsid w:val="704E1DD5"/>
    <w:multiLevelType w:val="hybridMultilevel"/>
    <w:lvl w:ilvl="0">
      <w:lvlJc w:val="left"/>
      <w:lvlText w:val="(%1)"/>
      <w:numFmt w:val="decimal"/>
      <w:start w:val="1"/>
    </w:lvl>
  </w:abstractNum>
  <w:abstractNum w:abstractNumId="107">
    <w:nsid w:val="57D2F10E"/>
    <w:multiLevelType w:val="hybridMultilevel"/>
    <w:lvl w:ilvl="0">
      <w:lvlJc w:val="left"/>
      <w:lvlText w:val="(%1)"/>
      <w:numFmt w:val="decimal"/>
      <w:start w:val="1"/>
    </w:lvl>
  </w:abstractNum>
  <w:abstractNum w:abstractNumId="108">
    <w:nsid w:val="BFFAE18"/>
    <w:multiLevelType w:val="hybridMultilevel"/>
    <w:lvl w:ilvl="0">
      <w:lvlJc w:val="left"/>
      <w:lvlText w:val="5"/>
      <w:numFmt w:val="bullet"/>
      <w:start w:val="1"/>
    </w:lvl>
  </w:abstractNum>
  <w:abstractNum w:abstractNumId="109">
    <w:nsid w:val="E3E47A8"/>
    <w:multiLevelType w:val="hybridMultilevel"/>
    <w:lvl w:ilvl="0">
      <w:lvlJc w:val="left"/>
      <w:lvlText w:val="(%1)"/>
      <w:numFmt w:val="decimal"/>
      <w:start w:val="1"/>
    </w:lvl>
  </w:abstractNum>
  <w:abstractNum w:abstractNumId="110">
    <w:nsid w:val="2E48F044"/>
    <w:multiLevelType w:val="hybridMultilevel"/>
    <w:lvl w:ilvl="0">
      <w:lvlJc w:val="left"/>
      <w:lvlText w:val="•"/>
      <w:numFmt w:val="bullet"/>
      <w:start w:val="1"/>
    </w:lvl>
  </w:abstractNum>
  <w:abstractNum w:abstractNumId="111">
    <w:nsid w:val="49D0FEAC"/>
    <w:multiLevelType w:val="hybridMultilevel"/>
    <w:lvl w:ilvl="0">
      <w:lvlJc w:val="left"/>
      <w:lvlText w:val="•"/>
      <w:numFmt w:val="bullet"/>
      <w:start w:val="1"/>
    </w:lvl>
  </w:abstractNum>
  <w:abstractNum w:abstractNumId="112">
    <w:nsid w:val="4BEE5A5B"/>
    <w:multiLevelType w:val="hybridMultilevel"/>
    <w:lvl w:ilvl="0">
      <w:lvlJc w:val="left"/>
      <w:lvlText w:val="•"/>
      <w:numFmt w:val="bullet"/>
      <w:start w:val="1"/>
    </w:lvl>
  </w:abstractNum>
  <w:abstractNum w:abstractNumId="113">
    <w:nsid w:val="5551B9F3"/>
    <w:multiLevelType w:val="hybridMultilevel"/>
    <w:lvl w:ilvl="0">
      <w:lvlJc w:val="left"/>
      <w:lvlText w:val="•"/>
      <w:numFmt w:val="bullet"/>
      <w:start w:val="1"/>
    </w:lvl>
  </w:abstractNum>
  <w:abstractNum w:abstractNumId="114">
    <w:nsid w:val="24F6AB8E"/>
    <w:multiLevelType w:val="hybridMultilevel"/>
    <w:lvl w:ilvl="0">
      <w:lvlJc w:val="left"/>
      <w:lvlText w:val="•"/>
      <w:numFmt w:val="bullet"/>
      <w:start w:val="1"/>
    </w:lvl>
  </w:abstractNum>
  <w:abstractNum w:abstractNumId="115">
    <w:nsid w:val="634C574C"/>
    <w:multiLevelType w:val="hybridMultilevel"/>
    <w:lvl w:ilvl="0">
      <w:lvlJc w:val="left"/>
      <w:lvlText w:val="•"/>
      <w:numFmt w:val="bullet"/>
      <w:start w:val="1"/>
    </w:lvl>
  </w:abstractNum>
  <w:abstractNum w:abstractNumId="116">
    <w:nsid w:val="24E99DD7"/>
    <w:multiLevelType w:val="hybridMultilevel"/>
    <w:lvl w:ilvl="0">
      <w:lvlJc w:val="left"/>
      <w:lvlText w:val="•"/>
      <w:numFmt w:val="bullet"/>
      <w:start w:val="1"/>
    </w:lvl>
  </w:abstractNum>
  <w:abstractNum w:abstractNumId="117">
    <w:nsid w:val="2A31B62D"/>
    <w:multiLevelType w:val="hybridMultilevel"/>
    <w:lvl w:ilvl="0">
      <w:lvlJc w:val="left"/>
      <w:lvlText w:val="(%1)"/>
      <w:numFmt w:val="decimal"/>
      <w:start w:val="1"/>
    </w:lvl>
  </w:abstractNum>
  <w:abstractNum w:abstractNumId="118">
    <w:nsid w:val="1849C29B"/>
    <w:multiLevelType w:val="hybridMultilevel"/>
    <w:lvl w:ilvl="0">
      <w:lvlJc w:val="left"/>
      <w:lvlText w:val="5"/>
      <w:numFmt w:val="bullet"/>
      <w:start w:val="1"/>
    </w:lvl>
  </w:abstractNum>
  <w:abstractNum w:abstractNumId="119">
    <w:nsid w:val="7DFF9D09"/>
    <w:multiLevelType w:val="hybridMultilevel"/>
    <w:lvl w:ilvl="0">
      <w:lvlJc w:val="left"/>
      <w:lvlText w:val="(%1)"/>
      <w:numFmt w:val="decimal"/>
      <w:start w:val="1"/>
    </w:lvl>
  </w:abstractNum>
  <w:abstractNum w:abstractNumId="120">
    <w:nsid w:val="754342"/>
    <w:multiLevelType w:val="hybridMultilevel"/>
    <w:lvl w:ilvl="0">
      <w:lvlJc w:val="left"/>
      <w:lvlText w:val="•"/>
      <w:numFmt w:val="bullet"/>
      <w:start w:val="1"/>
    </w:lvl>
  </w:abstractNum>
  <w:abstractNum w:abstractNumId="121">
    <w:nsid w:val="69E7F3E5"/>
    <w:multiLevelType w:val="hybridMultilevel"/>
    <w:lvl w:ilvl="0">
      <w:lvlJc w:val="left"/>
      <w:lvlText w:val="•"/>
      <w:numFmt w:val="bullet"/>
      <w:start w:val="1"/>
    </w:lvl>
  </w:abstractNum>
  <w:abstractNum w:abstractNumId="122">
    <w:nsid w:val="2A6DE806"/>
    <w:multiLevelType w:val="hybridMultilevel"/>
    <w:lvl w:ilvl="0">
      <w:lvlJc w:val="left"/>
      <w:lvlText w:val="5"/>
      <w:numFmt w:val="bullet"/>
      <w:start w:val="1"/>
    </w:lvl>
  </w:abstractNum>
  <w:abstractNum w:abstractNumId="123">
    <w:nsid w:val="1816F8C4"/>
    <w:multiLevelType w:val="hybridMultilevel"/>
    <w:lvl w:ilvl="0">
      <w:lvlJc w:val="left"/>
      <w:lvlText w:val="(%1)"/>
      <w:numFmt w:val="decimal"/>
      <w:start w:val="1"/>
    </w:lvl>
  </w:abstractNum>
  <w:abstractNum w:abstractNumId="124">
    <w:nsid w:val="37DF2233"/>
    <w:multiLevelType w:val="hybridMultilevel"/>
    <w:lvl w:ilvl="0">
      <w:lvlJc w:val="left"/>
      <w:lvlText w:val="(%1)"/>
      <w:numFmt w:val="decimal"/>
      <w:start w:val="2"/>
    </w:lvl>
    <w:lvl w:ilvl="1">
      <w:lvlJc w:val="left"/>
      <w:lvlText w:val="5"/>
      <w:numFmt w:val="bullet"/>
      <w:start w:val="1"/>
    </w:lvl>
  </w:abstractNum>
  <w:abstractNum w:abstractNumId="125">
    <w:nsid w:val="7AB49DAF"/>
    <w:multiLevelType w:val="hybridMultilevel"/>
    <w:lvl w:ilvl="0">
      <w:lvlJc w:val="left"/>
      <w:lvlText w:val="(%1)"/>
      <w:numFmt w:val="decimal"/>
      <w:start w:val="6"/>
    </w:lvl>
  </w:abstractNum>
  <w:abstractNum w:abstractNumId="126">
    <w:nsid w:val="759F82CD"/>
    <w:multiLevelType w:val="hybridMultilevel"/>
    <w:lvl w:ilvl="0">
      <w:lvlJc w:val="left"/>
      <w:lvlText w:val="5"/>
      <w:numFmt w:val="bullet"/>
      <w:start w:val="1"/>
    </w:lvl>
  </w:abstractNum>
  <w:abstractNum w:abstractNumId="127">
    <w:nsid w:val="61E74EA3"/>
    <w:multiLevelType w:val="hybridMultilevel"/>
    <w:lvl w:ilvl="0">
      <w:lvlJc w:val="left"/>
      <w:lvlText w:val="(%1)"/>
      <w:numFmt w:val="decimal"/>
      <w:start w:val="1"/>
    </w:lvl>
  </w:abstractNum>
  <w:abstractNum w:abstractNumId="128">
    <w:nsid w:val="597B4D84"/>
    <w:multiLevelType w:val="hybridMultilevel"/>
    <w:lvl w:ilvl="0">
      <w:lvlJc w:val="left"/>
      <w:lvlText w:val="5"/>
      <w:numFmt w:val="bullet"/>
      <w:start w:val="1"/>
    </w:lvl>
  </w:abstractNum>
  <w:abstractNum w:abstractNumId="129">
    <w:nsid w:val="F819E7F"/>
    <w:multiLevelType w:val="hybridMultilevel"/>
    <w:lvl w:ilvl="0">
      <w:lvlJc w:val="left"/>
      <w:lvlText w:val="(%1)"/>
      <w:numFmt w:val="decimal"/>
      <w:start w:val="6"/>
    </w:lvl>
  </w:abstractNum>
  <w:abstractNum w:abstractNumId="130">
    <w:nsid w:val="57C7D42D"/>
    <w:multiLevelType w:val="hybridMultilevel"/>
    <w:lvl w:ilvl="0">
      <w:lvlJc w:val="left"/>
      <w:lvlText w:val="(%1)"/>
      <w:numFmt w:val="decimal"/>
      <w:start w:val="1"/>
    </w:lvl>
  </w:abstractNum>
  <w:abstractNum w:abstractNumId="131">
    <w:nsid w:val="312167AD"/>
    <w:multiLevelType w:val="hybridMultilevel"/>
    <w:lvl w:ilvl="0">
      <w:lvlJc w:val="left"/>
      <w:lvlText w:val="(%1)"/>
      <w:numFmt w:val="decimal"/>
      <w:start w:val="3"/>
    </w:lvl>
    <w:lvl w:ilvl="1">
      <w:lvlJc w:val="left"/>
      <w:lvlText w:val="5"/>
      <w:numFmt w:val="bullet"/>
      <w:start w:val="1"/>
    </w:lvl>
  </w:abstractNum>
  <w:abstractNum w:abstractNumId="132">
    <w:nsid w:val="631B64D4"/>
    <w:multiLevelType w:val="hybridMultilevel"/>
    <w:lvl w:ilvl="0">
      <w:lvlJc w:val="left"/>
      <w:lvlText w:val="(%1)"/>
      <w:numFmt w:val="decimal"/>
      <w:start w:val="1"/>
    </w:lvl>
  </w:abstractNum>
  <w:abstractNum w:abstractNumId="133">
    <w:nsid w:val="78B5E776"/>
    <w:multiLevelType w:val="hybridMultilevel"/>
    <w:lvl w:ilvl="0">
      <w:lvlJc w:val="left"/>
      <w:lvlText w:val="(%1)"/>
      <w:numFmt w:val="decimal"/>
      <w:start w:val="1"/>
    </w:lvl>
    <w:lvl w:ilvl="1">
      <w:lvlJc w:val="left"/>
      <w:lvlText w:val="5"/>
      <w:numFmt w:val="bullet"/>
      <w:start w:val="1"/>
    </w:lvl>
  </w:abstractNum>
  <w:abstractNum w:abstractNumId="134">
    <w:nsid w:val="75486E47"/>
    <w:multiLevelType w:val="hybridMultilevel"/>
    <w:lvl w:ilvl="0">
      <w:lvlJc w:val="left"/>
      <w:lvlText w:val="5"/>
      <w:numFmt w:val="bullet"/>
      <w:start w:val="1"/>
    </w:lvl>
  </w:abstractNum>
  <w:abstractNum w:abstractNumId="135">
    <w:nsid w:val="6E534CDE"/>
    <w:multiLevelType w:val="hybridMultilevel"/>
    <w:lvl w:ilvl="0">
      <w:lvlJc w:val="left"/>
      <w:lvlText w:val="(%1)"/>
      <w:numFmt w:val="decimal"/>
      <w:start w:val="1"/>
    </w:lvl>
  </w:abstractNum>
  <w:abstractNum w:abstractNumId="136">
    <w:nsid w:val="1A0DDE32"/>
    <w:multiLevelType w:val="hybridMultilevel"/>
    <w:lvl w:ilvl="0">
      <w:lvlJc w:val="left"/>
      <w:lvlText w:val="•"/>
      <w:numFmt w:val="bullet"/>
      <w:start w:val="1"/>
    </w:lvl>
  </w:abstractNum>
  <w:abstractNum w:abstractNumId="137">
    <w:nsid w:val="65968C1C"/>
    <w:multiLevelType w:val="hybridMultilevel"/>
    <w:lvl w:ilvl="0">
      <w:lvlJc w:val="left"/>
      <w:lvlText w:val="5"/>
      <w:numFmt w:val="bullet"/>
      <w:start w:val="1"/>
    </w:lvl>
  </w:abstractNum>
  <w:abstractNum w:abstractNumId="138">
    <w:nsid w:val="46263DEC"/>
    <w:multiLevelType w:val="hybridMultilevel"/>
    <w:lvl w:ilvl="0">
      <w:lvlJc w:val="left"/>
      <w:lvlText w:val="(%1)"/>
      <w:numFmt w:val="decimal"/>
      <w:start w:val="1"/>
    </w:lvl>
  </w:abstractNum>
  <w:abstractNum w:abstractNumId="139">
    <w:nsid w:val="260D8C4A"/>
    <w:multiLevelType w:val="hybridMultilevel"/>
    <w:lvl w:ilvl="0">
      <w:lvlJc w:val="left"/>
      <w:lvlText w:val="5"/>
      <w:numFmt w:val="bullet"/>
      <w:start w:val="1"/>
    </w:lvl>
  </w:abstractNum>
  <w:abstractNum w:abstractNumId="140">
    <w:nsid w:val="73D4D3C4"/>
    <w:multiLevelType w:val="hybridMultilevel"/>
    <w:lvl w:ilvl="0">
      <w:lvlJc w:val="left"/>
      <w:lvlText w:val="(%1)"/>
      <w:numFmt w:val="decimal"/>
      <w:start w:val="5"/>
    </w:lvl>
  </w:abstractNum>
  <w:abstractNum w:abstractNumId="141">
    <w:nsid w:val="746F2E30"/>
    <w:multiLevelType w:val="hybridMultilevel"/>
    <w:lvl w:ilvl="0">
      <w:lvlJc w:val="left"/>
      <w:lvlText w:val="6"/>
      <w:numFmt w:val="bullet"/>
      <w:start w:val="1"/>
    </w:lvl>
  </w:abstractNum>
  <w:abstractNum w:abstractNumId="142">
    <w:nsid w:val="6FDE8AF6"/>
    <w:multiLevelType w:val="hybridMultilevel"/>
    <w:lvl w:ilvl="0">
      <w:lvlJc w:val="left"/>
      <w:lvlText w:val="•"/>
      <w:numFmt w:val="bullet"/>
      <w:start w:val="1"/>
    </w:lvl>
  </w:abstractNum>
  <w:abstractNum w:abstractNumId="143">
    <w:nsid w:val="3FC32E20"/>
    <w:multiLevelType w:val="hybridMultilevel"/>
    <w:lvl w:ilvl="0">
      <w:lvlJc w:val="left"/>
      <w:lvlText w:val="*"/>
      <w:numFmt w:val="bullet"/>
      <w:start w:val="1"/>
    </w:lvl>
  </w:abstractNum>
  <w:abstractNum w:abstractNumId="144">
    <w:nsid w:val="49C0E823"/>
    <w:multiLevelType w:val="hybridMultilevel"/>
    <w:lvl w:ilvl="0">
      <w:lvlJc w:val="left"/>
      <w:lvlText w:val="(%1)"/>
      <w:numFmt w:val="decimal"/>
    </w:lvl>
    <w:lvl w:ilvl="1">
      <w:lvlJc w:val="left"/>
      <w:lvlText w:val="6"/>
      <w:numFmt w:val="bullet"/>
      <w:start w:val="1"/>
    </w:lvl>
  </w:abstractNum>
  <w:abstractNum w:abstractNumId="145">
    <w:nsid w:val="14D53685"/>
    <w:multiLevelType w:val="hybridMultilevel"/>
    <w:lvl w:ilvl="0">
      <w:lvlJc w:val="left"/>
      <w:lvlText w:val="6"/>
      <w:numFmt w:val="bullet"/>
      <w:start w:val="1"/>
    </w:lvl>
  </w:abstractNum>
  <w:abstractNum w:abstractNumId="146">
    <w:nsid w:val="230F856C"/>
    <w:multiLevelType w:val="hybridMultilevel"/>
    <w:lvl w:ilvl="0">
      <w:lvlJc w:val="left"/>
      <w:lvlText w:val="•"/>
      <w:numFmt w:val="bullet"/>
      <w:start w:val="1"/>
    </w:lvl>
  </w:abstractNum>
  <w:abstractNum w:abstractNumId="147">
    <w:nsid w:val="6EAA85FB"/>
    <w:multiLevelType w:val="hybridMultilevel"/>
    <w:lvl w:ilvl="0">
      <w:lvlJc w:val="left"/>
      <w:lvlText w:val="6"/>
      <w:numFmt w:val="bullet"/>
      <w:start w:val="1"/>
    </w:lvl>
  </w:abstractNum>
  <w:abstractNum w:abstractNumId="148">
    <w:nsid w:val="3F06ECB2"/>
    <w:multiLevelType w:val="hybridMultilevel"/>
    <w:lvl w:ilvl="0">
      <w:lvlJc w:val="left"/>
      <w:lvlText w:val="•"/>
      <w:numFmt w:val="bullet"/>
      <w:start w:val="1"/>
    </w:lvl>
  </w:abstractNum>
  <w:abstractNum w:abstractNumId="149">
    <w:nsid w:val="3B594807"/>
    <w:multiLevelType w:val="hybridMultilevel"/>
    <w:lvl w:ilvl="0">
      <w:lvlJc w:val="left"/>
      <w:lvlText w:val="(%1)"/>
      <w:numFmt w:val="decimal"/>
      <w:start w:val="1"/>
    </w:lvl>
  </w:abstractNum>
  <w:abstractNum w:abstractNumId="150">
    <w:nsid w:val="6CAA2304"/>
    <w:multiLevelType w:val="hybridMultilevel"/>
    <w:lvl w:ilvl="0">
      <w:lvlJc w:val="left"/>
      <w:lvlText w:val="(%1)"/>
      <w:numFmt w:val="decimal"/>
      <w:start w:val="1"/>
    </w:lvl>
  </w:abstractNum>
  <w:abstractNum w:abstractNumId="151">
    <w:nsid w:val="3F7C2FF4"/>
    <w:multiLevelType w:val="hybridMultilevel"/>
    <w:lvl w:ilvl="0">
      <w:lvlJc w:val="left"/>
      <w:lvlText w:val="A"/>
      <w:numFmt w:val="bullet"/>
      <w:start w:val="1"/>
    </w:lvl>
  </w:abstractNum>
  <w:abstractNum w:abstractNumId="152">
    <w:nsid w:val="25413BEC"/>
    <w:multiLevelType w:val="hybridMultilevel"/>
    <w:lvl w:ilvl="0">
      <w:lvlJc w:val="left"/>
      <w:lvlText w:val="B"/>
      <w:numFmt w:val="bullet"/>
      <w:start w:val="1"/>
    </w:lvl>
  </w:abstractNum>
  <w:abstractNum w:abstractNumId="153">
    <w:nsid w:val="17180B0B"/>
    <w:multiLevelType w:val="hybridMultilevel"/>
    <w:lvl w:ilvl="0">
      <w:lvlJc w:val="left"/>
      <w:lvlText w:val="C"/>
      <w:numFmt w:val="bullet"/>
      <w:start w:val="1"/>
    </w:lvl>
  </w:abstractNum>
  <w:abstractNum w:abstractNumId="154">
    <w:nsid w:val="579328B9"/>
    <w:multiLevelType w:val="hybridMultilevel"/>
    <w:lvl w:ilvl="0">
      <w:lvlJc w:val="left"/>
      <w:lvlText w:val="D"/>
      <w:numFmt w:val="bullet"/>
      <w:start w:val="1"/>
    </w:lvl>
  </w:abstractNum>
  <w:abstractNum w:abstractNumId="155">
    <w:nsid w:val="5D205E20"/>
    <w:multiLevelType w:val="hybridMultilevel"/>
    <w:lvl w:ilvl="0">
      <w:lvlJc w:val="left"/>
      <w:lvlText w:val="E"/>
      <w:numFmt w:val="bullet"/>
      <w:start w:val="1"/>
    </w:lvl>
  </w:abstractNum>
  <w:abstractNum w:abstractNumId="156">
    <w:nsid w:val="11CCA8BA"/>
    <w:multiLevelType w:val="hybridMultilevel"/>
    <w:lvl w:ilvl="0">
      <w:lvlJc w:val="left"/>
      <w:lvlText w:val="F"/>
      <w:numFmt w:val="bullet"/>
      <w:start w:val="1"/>
    </w:lvl>
  </w:abstractNum>
  <w:abstractNum w:abstractNumId="157">
    <w:nsid w:val="4D32AB86"/>
    <w:multiLevelType w:val="hybridMultilevel"/>
    <w:lvl w:ilvl="0">
      <w:lvlJc w:val="left"/>
      <w:lvlText w:val="G"/>
      <w:numFmt w:val="bullet"/>
      <w:start w:val="1"/>
    </w:lvl>
  </w:abstractNum>
  <w:abstractNum w:abstractNumId="158">
    <w:nsid w:val="3F07ACC3"/>
    <w:multiLevelType w:val="hybridMultilevel"/>
    <w:lvl w:ilvl="0">
      <w:lvlJc w:val="left"/>
      <w:lvlText w:val="H"/>
      <w:numFmt w:val="bullet"/>
      <w:start w:val="1"/>
    </w:lvl>
  </w:abstractNum>
  <w:abstractNum w:abstractNumId="159">
    <w:nsid w:val="6B47F63E"/>
    <w:multiLevelType w:val="hybridMultilevel"/>
    <w:lvl w:ilvl="0">
      <w:lvlJc w:val="left"/>
      <w:lvlText w:val="I"/>
      <w:numFmt w:val="bullet"/>
      <w:start w:val="1"/>
    </w:lvl>
  </w:abstractNum>
  <w:abstractNum w:abstractNumId="160">
    <w:nsid w:val="5CB44A0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jpe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jpe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jpeg"/><Relationship Id="rId462" Type="http://schemas.openxmlformats.org/officeDocument/2006/relationships/image" Target="media/image455.jpe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jpe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jpe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jpe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jpe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jpe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jpe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jpe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jpe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jpe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jpe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jpe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jpe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jpe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jpe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jpe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jpeg"/><Relationship Id="rId565" Type="http://schemas.openxmlformats.org/officeDocument/2006/relationships/image" Target="media/image558.jpe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jpe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jpe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jpe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jpeg"/><Relationship Id="rId584" Type="http://schemas.openxmlformats.org/officeDocument/2006/relationships/image" Target="media/image577.png"/><Relationship Id="rId585" Type="http://schemas.openxmlformats.org/officeDocument/2006/relationships/image" Target="media/image578.jpeg"/><Relationship Id="rId586" Type="http://schemas.openxmlformats.org/officeDocument/2006/relationships/image" Target="media/image579.jpe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2019-12-03T01:34:34Z</dcterms:created>
  <dcterms:modified xsi:type="dcterms:W3CDTF">2019-12-03T01:34:34Z</dcterms:modified>
</cp:coreProperties>
</file>