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right="1239"/>
        <w:spacing w:after="0" w:line="277" w:lineRule="auto"/>
        <w:rPr>
          <w:sz w:val="20"/>
          <w:szCs w:val="20"/>
          <w:color w:val="auto"/>
        </w:rPr>
      </w:pPr>
      <w:r>
        <w:rPr>
          <w:rFonts w:ascii="Times New Roman" w:cs="Times New Roman" w:eastAsia="Times New Roman" w:hAnsi="Times New Roman"/>
          <w:sz w:val="43"/>
          <w:szCs w:val="43"/>
          <w:color w:val="auto"/>
        </w:rPr>
        <w:drawing>
          <wp:anchor simplePos="0" relativeHeight="251657728" behindDoc="1" locked="0" layoutInCell="0" allowOverlap="1">
            <wp:simplePos x="0" y="0"/>
            <wp:positionH relativeFrom="page">
              <wp:posOffset>195580</wp:posOffset>
            </wp:positionH>
            <wp:positionV relativeFrom="page">
              <wp:posOffset>144780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page">
              <wp:posOffset>195580</wp:posOffset>
            </wp:positionH>
            <wp:positionV relativeFrom="page">
              <wp:posOffset>453390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t>SECURITIES AND EXCHANGE COMMISSION Washington, D.C. 20549</w:t>
      </w:r>
    </w:p>
    <w:p>
      <w:pPr>
        <w:spacing w:after="0" w:line="400" w:lineRule="exact"/>
        <w:rPr>
          <w:sz w:val="24"/>
          <w:szCs w:val="24"/>
          <w:color w:val="auto"/>
        </w:rPr>
      </w:pPr>
    </w:p>
    <w:p>
      <w:pPr>
        <w:spacing w:after="0"/>
        <w:rPr>
          <w:sz w:val="20"/>
          <w:szCs w:val="20"/>
          <w:color w:val="auto"/>
        </w:rPr>
      </w:pPr>
      <w:r>
        <w:rPr>
          <w:rFonts w:ascii="Times New Roman" w:cs="Times New Roman" w:eastAsia="Times New Roman" w:hAnsi="Times New Roman"/>
          <w:sz w:val="32"/>
          <w:szCs w:val="32"/>
          <w:color w:val="auto"/>
        </w:rPr>
        <w:t>SCHEDULE 13G</w:t>
      </w:r>
    </w:p>
    <w:p>
      <w:pPr>
        <w:spacing w:after="0" w:line="200" w:lineRule="exact"/>
        <w:rPr>
          <w:sz w:val="24"/>
          <w:szCs w:val="24"/>
          <w:color w:val="auto"/>
        </w:rPr>
      </w:pPr>
    </w:p>
    <w:p>
      <w:pPr>
        <w:spacing w:after="0" w:line="346" w:lineRule="exact"/>
        <w:rPr>
          <w:sz w:val="24"/>
          <w:szCs w:val="24"/>
          <w:color w:val="auto"/>
        </w:rPr>
      </w:pPr>
    </w:p>
    <w:p>
      <w:pPr>
        <w:spacing w:after="0"/>
        <w:rPr>
          <w:sz w:val="20"/>
          <w:szCs w:val="20"/>
          <w:color w:val="auto"/>
        </w:rPr>
      </w:pPr>
      <w:r>
        <w:rPr>
          <w:rFonts w:ascii="Times New Roman" w:cs="Times New Roman" w:eastAsia="Times New Roman" w:hAnsi="Times New Roman"/>
          <w:sz w:val="26"/>
          <w:szCs w:val="26"/>
          <w:color w:val="auto"/>
        </w:rPr>
        <w:t>UNDER THE SECURITIES EXCHANGE ACT OF 1934</w:t>
      </w:r>
    </w:p>
    <w:p>
      <w:pPr>
        <w:spacing w:after="0" w:line="52" w:lineRule="exact"/>
        <w:rPr>
          <w:sz w:val="24"/>
          <w:szCs w:val="24"/>
          <w:color w:val="auto"/>
        </w:rPr>
      </w:pPr>
    </w:p>
    <w:p>
      <w:pPr>
        <w:ind w:left="3520"/>
        <w:spacing w:after="0"/>
        <w:rPr>
          <w:sz w:val="20"/>
          <w:szCs w:val="20"/>
          <w:color w:val="auto"/>
        </w:rPr>
      </w:pPr>
      <w:r>
        <w:rPr>
          <w:rFonts w:ascii="Times New Roman" w:cs="Times New Roman" w:eastAsia="Times New Roman" w:hAnsi="Times New Roman"/>
          <w:sz w:val="22"/>
          <w:szCs w:val="22"/>
          <w:b w:val="1"/>
          <w:bCs w:val="1"/>
          <w:color w:val="auto"/>
        </w:rPr>
        <w:t xml:space="preserve">(Amendment No. </w:t>
      </w:r>
      <w:r>
        <w:rPr>
          <w:rFonts w:ascii="Times New Roman" w:cs="Times New Roman" w:eastAsia="Times New Roman" w:hAnsi="Times New Roman"/>
          <w:sz w:val="22"/>
          <w:szCs w:val="22"/>
          <w:b w:val="1"/>
          <w:bCs w:val="1"/>
          <w:color w:val="0000FF"/>
        </w:rPr>
        <w:t>2</w:t>
      </w:r>
      <w:r>
        <w:rPr>
          <w:rFonts w:ascii="Times New Roman" w:cs="Times New Roman" w:eastAsia="Times New Roman" w:hAnsi="Times New Roman"/>
          <w:sz w:val="22"/>
          <w:szCs w:val="22"/>
          <w:b w:val="1"/>
          <w:bCs w:val="1"/>
          <w:color w:val="auto"/>
        </w:rPr>
        <w:t>)*</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BIOGEN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720"/>
        <w:spacing w:after="0"/>
        <w:rPr>
          <w:sz w:val="20"/>
          <w:szCs w:val="20"/>
          <w:color w:val="auto"/>
        </w:rPr>
      </w:pPr>
      <w:r>
        <w:rPr>
          <w:rFonts w:ascii="Times New Roman" w:cs="Times New Roman" w:eastAsia="Times New Roman" w:hAnsi="Times New Roman"/>
          <w:sz w:val="22"/>
          <w:szCs w:val="22"/>
          <w:b w:val="1"/>
          <w:bCs w:val="1"/>
          <w:color w:val="auto"/>
        </w:rPr>
        <w:t>(Name of Issuer)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COMMON STOCK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220"/>
        <w:spacing w:after="0"/>
        <w:rPr>
          <w:sz w:val="20"/>
          <w:szCs w:val="20"/>
          <w:color w:val="auto"/>
        </w:rPr>
      </w:pPr>
      <w:r>
        <w:rPr>
          <w:rFonts w:ascii="Times New Roman" w:cs="Times New Roman" w:eastAsia="Times New Roman" w:hAnsi="Times New Roman"/>
          <w:sz w:val="22"/>
          <w:szCs w:val="22"/>
          <w:b w:val="1"/>
          <w:bCs w:val="1"/>
          <w:color w:val="auto"/>
        </w:rPr>
        <w:t>(Title of Class of Securities)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412115</wp:posOffset>
            </wp:positionV>
            <wp:extent cx="571754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53" w:lineRule="exact"/>
        <w:rPr>
          <w:sz w:val="24"/>
          <w:szCs w:val="24"/>
          <w:color w:val="auto"/>
        </w:rPr>
      </w:pPr>
    </w:p>
    <w:p>
      <w:pPr>
        <w:ind w:left="3680"/>
        <w:spacing w:after="0"/>
        <w:rPr>
          <w:sz w:val="20"/>
          <w:szCs w:val="20"/>
          <w:color w:val="auto"/>
        </w:rPr>
      </w:pPr>
      <w:r>
        <w:rPr>
          <w:rFonts w:ascii="Times New Roman" w:cs="Times New Roman" w:eastAsia="Times New Roman" w:hAnsi="Times New Roman"/>
          <w:sz w:val="22"/>
          <w:szCs w:val="22"/>
          <w:b w:val="1"/>
          <w:bCs w:val="1"/>
          <w:color w:val="auto"/>
        </w:rPr>
        <w:t>(CUSIP Number)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05/29/2026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1920"/>
        <w:spacing w:after="0"/>
        <w:rPr>
          <w:sz w:val="20"/>
          <w:szCs w:val="20"/>
          <w:color w:val="auto"/>
        </w:rPr>
      </w:pPr>
      <w:r>
        <w:rPr>
          <w:rFonts w:ascii="Times New Roman" w:cs="Times New Roman" w:eastAsia="Times New Roman" w:hAnsi="Times New Roman"/>
          <w:sz w:val="22"/>
          <w:szCs w:val="22"/>
          <w:b w:val="1"/>
          <w:bCs w:val="1"/>
          <w:color w:val="auto"/>
        </w:rPr>
        <w:t>(Date of Event Which Requires Filing of this Statement)</w:t>
      </w:r>
    </w:p>
    <w:p>
      <w:pPr>
        <w:spacing w:after="0" w:line="200" w:lineRule="exact"/>
        <w:rPr>
          <w:sz w:val="24"/>
          <w:szCs w:val="24"/>
          <w:color w:val="auto"/>
        </w:rPr>
      </w:pPr>
    </w:p>
    <w:p>
      <w:pPr>
        <w:spacing w:after="0" w:line="36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Check the appropriate box to designate the rule pursuant to which this Schedule is filed:</w:t>
      </w:r>
    </w:p>
    <w:p>
      <w:pPr>
        <w:spacing w:after="0" w:line="5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-32385</wp:posOffset>
            </wp:positionH>
            <wp:positionV relativeFrom="paragraph">
              <wp:posOffset>92710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-32385</wp:posOffset>
            </wp:positionH>
            <wp:positionV relativeFrom="paragraph">
              <wp:posOffset>178435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4"/>
          <w:szCs w:val="24"/>
          <w:color w:val="auto"/>
        </w:rPr>
      </w:pPr>
    </w:p>
    <w:p>
      <w:pPr>
        <w:spacing w:after="0" w:line="361"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FMR LLC</w:t>
      </w:r>
    </w:p>
    <w:p>
      <w:pPr>
        <w:spacing w:after="0" w:line="20"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4"/>
          <w:szCs w:val="24"/>
          <w:color w:val="auto"/>
        </w:rPr>
      </w:pPr>
    </w:p>
    <w:p>
      <w:pPr>
        <w:ind w:left="1120" w:hanging="1112"/>
        <w:spacing w:after="0"/>
        <w:tabs>
          <w:tab w:leader="none" w:pos="1120" w:val="left"/>
        </w:tabs>
        <w:numPr>
          <w:ilvl w:val="0"/>
          <w:numId w:val="1"/>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270"/>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2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4"/>
          <w:szCs w:val="24"/>
          <w:color w:val="auto"/>
        </w:rPr>
      </w:pPr>
    </w:p>
    <w:p>
      <w:pPr>
        <w:ind w:left="1120" w:hanging="1112"/>
        <w:spacing w:after="0"/>
        <w:tabs>
          <w:tab w:leader="none" w:pos="112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ind w:left="1120"/>
        <w:spacing w:after="0"/>
        <w:rPr>
          <w:sz w:val="20"/>
          <w:szCs w:val="20"/>
          <w:color w:val="auto"/>
        </w:rPr>
      </w:pPr>
      <w:r>
        <w:rPr>
          <w:rFonts w:ascii="Times New Roman" w:cs="Times New Roman" w:eastAsia="Times New Roman" w:hAnsi="Times New Roman"/>
          <w:sz w:val="22"/>
          <w:szCs w:val="22"/>
          <w:color w:val="auto"/>
        </w:rPr>
        <w:t>DELAWARE</w:t>
      </w:r>
    </w:p>
    <w:p>
      <w:pPr>
        <w:sectPr>
          <w:pgSz w:w="11900" w:h="16838" w:orient="portrait"/>
          <w:cols w:equalWidth="0" w:num="1">
            <w:col w:w="10099"/>
          </w:cols>
          <w:pgMar w:left="360" w:top="866" w:right="1440" w:bottom="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ind w:left="280" w:right="7079" w:hanging="231"/>
        <w:spacing w:after="0" w:line="389" w:lineRule="auto"/>
        <w:tabs>
          <w:tab w:leader="none" w:pos="280" w:val="left"/>
        </w:tabs>
        <w:numPr>
          <w:ilvl w:val="0"/>
          <w:numId w:val="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Sole Voting Power 15,060,090.91</w:t>
      </w:r>
    </w:p>
    <w:p>
      <w:pPr>
        <w:spacing w:after="0" w:line="1"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16,652,974.82</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16,652,974.82</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11.3 %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HC</w:t>
      </w:r>
    </w:p>
    <w:p>
      <w:pPr>
        <w:spacing w:after="0" w:line="200" w:lineRule="exact"/>
        <w:rPr>
          <w:sz w:val="20"/>
          <w:szCs w:val="20"/>
          <w:color w:val="auto"/>
        </w:rPr>
      </w:pPr>
    </w:p>
    <w:p>
      <w:pPr>
        <w:sectPr>
          <w:pgSz w:w="11900" w:h="16838" w:orient="portrait"/>
          <w:cols w:equalWidth="0" w:num="2">
            <w:col w:w="1060" w:space="60"/>
            <w:col w:w="8979"/>
          </w:cols>
          <w:pgMar w:left="360" w:top="111" w:right="1440" w:bottom="0" w:gutter="0" w:footer="0" w:header="0"/>
        </w:sectPr>
      </w:pPr>
    </w:p>
    <w:p>
      <w:pPr>
        <w:spacing w:after="0" w:line="200" w:lineRule="exact"/>
        <w:rPr>
          <w:sz w:val="20"/>
          <w:szCs w:val="20"/>
          <w:color w:val="auto"/>
        </w:rPr>
      </w:pPr>
    </w:p>
    <w:p>
      <w:pPr>
        <w:spacing w:after="0" w:line="36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0"/>
          <w:szCs w:val="20"/>
          <w:color w:val="auto"/>
        </w:rPr>
      </w:pPr>
    </w:p>
    <w:p>
      <w:pPr>
        <w:spacing w:after="0" w:line="36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Abigail P. Johnson</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1"/>
          <w:szCs w:val="21"/>
          <w:color w:val="auto"/>
        </w:rPr>
        <w:t>Check the appropriate box if a member of a Group (see instructions)</w:t>
      </w:r>
    </w:p>
    <w:p>
      <w:pPr>
        <w:sectPr>
          <w:pgSz w:w="11900" w:h="16838" w:orient="portrait"/>
          <w:cols w:equalWidth="0" w:num="1">
            <w:col w:w="10099"/>
          </w:cols>
          <w:pgMar w:left="360" w:top="111" w:right="1440" w:bottom="0" w:gutter="0" w:footer="0" w:header="0"/>
          <w:type w:val="continuous"/>
        </w:sectPr>
      </w:pP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spacing w:after="0" w:line="20" w:lineRule="exact"/>
        <w:rPr>
          <w:sz w:val="20"/>
          <w:szCs w:val="20"/>
          <w:color w:val="auto"/>
        </w:rPr>
      </w:pPr>
      <w:r>
        <w:rPr>
          <w:sz w:val="20"/>
          <w:szCs w:val="20"/>
          <w:color w:val="auto"/>
        </w:rPr>
        <w:br w:type="column"/>
      </w:r>
    </w:p>
    <w:p>
      <w:pPr>
        <w:spacing w:after="0" w:line="238"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spacing w:after="0" w:line="1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UNITED STATES</w:t>
      </w:r>
    </w:p>
    <w:p>
      <w:pPr>
        <w:spacing w:after="0" w:line="85"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16,652,974.82</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16,652,974.82</w:t>
      </w:r>
    </w:p>
    <w:p>
      <w:pPr>
        <w:spacing w:after="0" w:line="4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1" w:lineRule="exact"/>
        <w:rPr>
          <w:sz w:val="20"/>
          <w:szCs w:val="20"/>
          <w:color w:val="auto"/>
        </w:rPr>
      </w:pPr>
    </w:p>
    <w:p>
      <w:pPr>
        <w:sectPr>
          <w:pgSz w:w="11900" w:h="16838" w:orient="portrait"/>
          <w:cols w:equalWidth="0" w:num="2">
            <w:col w:w="1060" w:space="60"/>
            <w:col w:w="8979"/>
          </w:cols>
          <w:pgMar w:left="360" w:top="111" w:right="1440" w:bottom="0" w:gutter="0" w:footer="0" w:header="0"/>
          <w:type w:val="continuous"/>
        </w:sectPr>
      </w:pPr>
    </w:p>
    <w:p>
      <w:pPr>
        <w:spacing w:after="0"/>
        <w:rPr>
          <w:sz w:val="20"/>
          <w:szCs w:val="20"/>
          <w:color w:val="auto"/>
        </w:rPr>
      </w:pPr>
      <w:r>
        <w:rPr>
          <w:rFonts w:ascii="Times New Roman" w:cs="Times New Roman" w:eastAsia="Times New Roman" w:hAnsi="Times New Roman"/>
          <w:sz w:val="22"/>
          <w:szCs w:val="22"/>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716915</wp:posOffset>
            </wp:positionH>
            <wp:positionV relativeFrom="paragraph">
              <wp:posOffset>12700</wp:posOffset>
            </wp:positionV>
            <wp:extent cx="128905" cy="12827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8905" cy="128270"/>
                    </a:xfrm>
                    <a:prstGeom prst="rect">
                      <a:avLst/>
                    </a:prstGeom>
                    <a:noFill/>
                  </pic:spPr>
                </pic:pic>
              </a:graphicData>
            </a:graphic>
          </wp:anchor>
        </w:drawing>
      </w:r>
    </w:p>
    <w:p>
      <w:pPr>
        <w:sectPr>
          <w:pgSz w:w="11900" w:h="16838" w:orient="portrait"/>
          <w:cols w:equalWidth="0" w:num="1">
            <w:col w:w="10099"/>
          </w:cols>
          <w:pgMar w:left="360" w:top="111" w:right="1440" w:bottom="0" w:gutter="0" w:footer="0" w:header="0"/>
          <w:type w:val="continuous"/>
        </w:sectPr>
      </w:pPr>
    </w:p>
    <w:bookmarkStart w:id="2" w:name="page3"/>
    <w:bookmarkEnd w:id="2"/>
    <w:p>
      <w:pPr>
        <w:ind w:left="1120" w:right="5220" w:hanging="1112"/>
        <w:spacing w:after="0" w:line="371" w:lineRule="auto"/>
        <w:tabs>
          <w:tab w:leader="none" w:pos="11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Percent of class represented by amount in row (9) 11.3 %</w:t>
      </w:r>
    </w:p>
    <w:p>
      <w:pPr>
        <w:spacing w:after="0" w:line="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ind w:left="1120"/>
        <w:spacing w:after="0"/>
        <w:rPr>
          <w:sz w:val="20"/>
          <w:szCs w:val="20"/>
          <w:color w:val="auto"/>
        </w:rPr>
      </w:pPr>
      <w:r>
        <w:rPr>
          <w:rFonts w:ascii="Times New Roman" w:cs="Times New Roman" w:eastAsia="Times New Roman" w:hAnsi="Times New Roman"/>
          <w:sz w:val="22"/>
          <w:szCs w:val="22"/>
          <w:color w:val="auto"/>
        </w:rPr>
        <w:t>IN</w:t>
      </w: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ectPr>
          <w:pgSz w:w="11900" w:h="16838" w:orient="portrait"/>
          <w:cols w:equalWidth="0" w:num="1">
            <w:col w:w="10640"/>
          </w:cols>
          <w:pgMar w:left="360" w:top="111" w:right="899" w:bottom="0" w:gutter="0" w:footer="0" w:header="0"/>
        </w:sectPr>
      </w:pP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1.</w:t>
      </w: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2.</w:t>
      </w: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w:t>
      </w: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3.</w:t>
      </w:r>
    </w:p>
    <w:p>
      <w:pPr>
        <w:spacing w:after="0" w:line="5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(f)</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(g)</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(h)</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(j)</w:t>
      </w:r>
    </w:p>
    <w:p>
      <w:pPr>
        <w:spacing w:after="0" w:line="30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(k)</w:t>
      </w:r>
    </w:p>
    <w:p>
      <w:pPr>
        <w:spacing w:after="0" w:line="355"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4.</w:t>
      </w: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7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Name of issuer:</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BIOGEN INC</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Address of issuer's principal executive offices: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225 BINNEY STREET,Cambridge,MA,USA,02142</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Name of person filing:</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FMR LLC</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Address or principal business office or, if none, residence:</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245 Summer Street, Boston, Massachusetts 02210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Title of class of securities: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COMMON STOCK</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CUSIP No.:</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If this statement is filed pursuant to §§ 240.13d-1(b) or 240.13d-2(b) or (c), check whether the person filing is a:</w:t>
      </w:r>
    </w:p>
    <w:p>
      <w:pPr>
        <w:spacing w:after="0" w:line="6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Broker or dealer registered under section 15 of the Act (15 U.S.C. 78o);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Bank as defined in section 3(a)(6) of the Act (15 U.S.C. 78c);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Insurance company as defined in section 3(a)(19) of the Act (15 U.S.C. 78c);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1"/>
          <w:szCs w:val="21"/>
          <w:color w:val="auto"/>
        </w:rPr>
        <w:t>Investment company registered under section 8 of the Investment Company Act of 1940 (15 U.S.C. 80a-8);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-144145</wp:posOffset>
            </wp:positionV>
            <wp:extent cx="128905" cy="12890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49"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2"/>
          <w:szCs w:val="22"/>
          <w:color w:val="auto"/>
        </w:rPr>
        <w:t>An investment adviser in accordance with § 240.13d-1(b)(1)(ii)(E);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2"/>
          <w:szCs w:val="22"/>
          <w:color w:val="auto"/>
        </w:rPr>
        <w:t>An employee benefit plan or endowment fund in accordance with § 240.13d-1(b)(1)(ii)(F);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2"/>
          <w:szCs w:val="22"/>
          <w:color w:val="auto"/>
        </w:rPr>
        <w:t>A parent holding company or control person in accordance with § 240.13d-1(b)(1)(ii)(G);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27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8905" cy="128270"/>
                    </a:xfrm>
                    <a:prstGeom prst="rect">
                      <a:avLst/>
                    </a:prstGeom>
                    <a:noFill/>
                  </pic:spPr>
                </pic:pic>
              </a:graphicData>
            </a:graphic>
          </wp:anchor>
        </w:drawing>
      </w:r>
    </w:p>
    <w:p>
      <w:pPr>
        <w:spacing w:after="0" w:line="38"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2"/>
          <w:szCs w:val="22"/>
          <w:color w:val="auto"/>
        </w:rPr>
        <w:t>A savings associations as defined in Section 3(b) of the Federal Deposit Insurance Act (12 U.S.C. 1813);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right="180"/>
        <w:spacing w:after="0" w:line="258" w:lineRule="auto"/>
        <w:rPr>
          <w:sz w:val="20"/>
          <w:szCs w:val="20"/>
          <w:color w:val="auto"/>
        </w:rPr>
      </w:pPr>
      <w:r>
        <w:rPr>
          <w:sz w:val="1"/>
          <w:szCs w:val="1"/>
          <w:color w:val="auto"/>
        </w:rPr>
        <w:drawing>
          <wp:inline distT="0" distB="0" distL="0" distR="0">
            <wp:extent cx="128905" cy="128905"/>
            <wp:effectExtent l="0" t="0" r="0" b="0"/>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church plan that is excluded from the definition of an investment company under section 3(c)(14) of the Investment Company Act of 1940 (15 U.S.C. 80a-3);</w:t>
      </w:r>
    </w:p>
    <w:p>
      <w:pPr>
        <w:spacing w:after="0" w:line="10" w:lineRule="exact"/>
        <w:rPr>
          <w:sz w:val="20"/>
          <w:szCs w:val="20"/>
          <w:color w:val="auto"/>
        </w:rPr>
      </w:pPr>
    </w:p>
    <w:p>
      <w:pPr>
        <w:ind w:right="520"/>
        <w:spacing w:after="0" w:line="241" w:lineRule="auto"/>
        <w:rPr>
          <w:sz w:val="20"/>
          <w:szCs w:val="20"/>
          <w:color w:val="auto"/>
        </w:rPr>
      </w:pPr>
      <w:r>
        <w:rPr>
          <w:sz w:val="1"/>
          <w:szCs w:val="1"/>
          <w:color w:val="auto"/>
        </w:rPr>
        <w:drawing>
          <wp:inline distT="0" distB="0" distL="0" distR="0">
            <wp:extent cx="128905" cy="128270"/>
            <wp:effectExtent l="0" t="0" r="0" b="0"/>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non-U.S. institution in accordance with § 240.13d-1(b)(1)(ii)(J). If filing as a non-U.S. institution in accordance with § 240.13d-1(b)(1)(ii)(J),</w:t>
      </w:r>
    </w:p>
    <w:p>
      <w:pPr>
        <w:spacing w:after="0" w:line="2"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please specify the type of institution:</w:t>
      </w:r>
    </w:p>
    <w:p>
      <w:pPr>
        <w:spacing w:after="0" w:line="34"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Group, in accordance with Rule 240.13d-1(b)(1)(ii)(K).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2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Amount beneficially owned:</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16652974.82</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w:t>
      </w:r>
    </w:p>
    <w:p>
      <w:pPr>
        <w:spacing w:after="0" w:line="256" w:lineRule="exact"/>
        <w:rPr>
          <w:sz w:val="20"/>
          <w:szCs w:val="20"/>
          <w:color w:val="auto"/>
        </w:rPr>
      </w:pPr>
    </w:p>
    <w:p>
      <w:pPr>
        <w:sectPr>
          <w:pgSz w:w="11900" w:h="16838" w:orient="portrait"/>
          <w:cols w:equalWidth="0" w:num="2">
            <w:col w:w="620" w:space="300"/>
            <w:col w:w="9720"/>
          </w:cols>
          <w:pgMar w:left="360" w:top="111" w:right="899" w:bottom="0" w:gutter="0" w:footer="0" w:header="0"/>
          <w:type w:val="continuous"/>
        </w:sectPr>
      </w:pPr>
    </w:p>
    <w:p>
      <w:pPr>
        <w:ind w:left="920"/>
        <w:spacing w:after="0"/>
        <w:rPr>
          <w:sz w:val="20"/>
          <w:szCs w:val="20"/>
          <w:color w:val="auto"/>
        </w:rPr>
      </w:pPr>
      <w:r>
        <w:rPr>
          <w:rFonts w:ascii="Times New Roman" w:cs="Times New Roman" w:eastAsia="Times New Roman" w:hAnsi="Times New Roman"/>
          <w:sz w:val="22"/>
          <w:szCs w:val="22"/>
          <w:color w:val="auto"/>
        </w:rPr>
        <w:t>11.3 %</w:t>
      </w:r>
    </w:p>
    <w:p>
      <w:pPr>
        <w:spacing w:after="0" w:line="20" w:lineRule="exact"/>
        <w:rPr>
          <w:sz w:val="20"/>
          <w:szCs w:val="20"/>
          <w:color w:val="auto"/>
        </w:rPr>
      </w:pPr>
    </w:p>
    <w:p>
      <w:pPr>
        <w:ind w:left="920" w:hanging="912"/>
        <w:spacing w:after="0"/>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Number of shares as to which the person has:</w:t>
      </w:r>
    </w:p>
    <w:p>
      <w:pPr>
        <w:spacing w:after="0" w:line="44" w:lineRule="exact"/>
        <w:rPr>
          <w:rFonts w:ascii="Times New Roman" w:cs="Times New Roman" w:eastAsia="Times New Roman" w:hAnsi="Times New Roman"/>
          <w:sz w:val="22"/>
          <w:szCs w:val="22"/>
          <w:color w:val="auto"/>
        </w:rPr>
      </w:pPr>
    </w:p>
    <w:p>
      <w:pPr>
        <w:ind w:left="92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 Sole power to vote or to direct the vote:</w:t>
      </w:r>
    </w:p>
    <w:p>
      <w:pPr>
        <w:spacing w:after="0" w:line="233" w:lineRule="exact"/>
        <w:rPr>
          <w:sz w:val="20"/>
          <w:szCs w:val="20"/>
          <w:color w:val="auto"/>
        </w:rPr>
      </w:pPr>
    </w:p>
    <w:p>
      <w:pPr>
        <w:jc w:val="right"/>
        <w:ind w:right="4540"/>
        <w:spacing w:after="0"/>
        <w:rPr>
          <w:sz w:val="20"/>
          <w:szCs w:val="20"/>
          <w:color w:val="auto"/>
        </w:rPr>
      </w:pPr>
      <w:r>
        <w:rPr>
          <w:rFonts w:ascii="Times New Roman" w:cs="Times New Roman" w:eastAsia="Times New Roman" w:hAnsi="Times New Roman"/>
          <w:sz w:val="22"/>
          <w:szCs w:val="22"/>
          <w:color w:val="auto"/>
        </w:rPr>
        <w:t>Please see the responses to Items 5 and 6 on the cover page.</w:t>
      </w:r>
    </w:p>
    <w:p>
      <w:pPr>
        <w:sectPr>
          <w:pgSz w:w="11900" w:h="16838" w:orient="portrait"/>
          <w:cols w:equalWidth="0" w:num="1">
            <w:col w:w="10640"/>
          </w:cols>
          <w:pgMar w:left="360" w:top="111" w:right="899" w:bottom="0" w:gutter="0" w:footer="0" w:header="0"/>
          <w:type w:val="continuous"/>
        </w:sectPr>
      </w:pPr>
    </w:p>
    <w:bookmarkStart w:id="3" w:name="page4"/>
    <w:bookmarkEnd w:id="3"/>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5.</w:t>
      </w:r>
    </w:p>
    <w:p>
      <w:pPr>
        <w:spacing w:after="0" w:line="35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7.</w:t>
      </w:r>
    </w:p>
    <w:p>
      <w:pPr>
        <w:spacing w:after="0" w:line="20" w:lineRule="exact"/>
        <w:rPr>
          <w:sz w:val="20"/>
          <w:szCs w:val="20"/>
          <w:color w:val="auto"/>
        </w:rPr>
      </w:pPr>
      <w:r>
        <w:rPr>
          <w:sz w:val="20"/>
          <w:szCs w:val="20"/>
          <w:color w:val="auto"/>
        </w:rPr>
        <w:br w:type="column"/>
      </w:r>
    </w:p>
    <w:p>
      <w:pPr>
        <w:spacing w:after="0" w:line="29" w:lineRule="exact"/>
        <w:rPr>
          <w:sz w:val="20"/>
          <w:szCs w:val="20"/>
          <w:color w:val="auto"/>
        </w:rPr>
      </w:pPr>
    </w:p>
    <w:p>
      <w:pPr>
        <w:ind w:right="6240" w:firstLine="6"/>
        <w:spacing w:after="0" w:line="486" w:lineRule="auto"/>
        <w:tabs>
          <w:tab w:leader="none" w:pos="318"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vote or to direct the vote: 0.00</w:t>
      </w:r>
    </w:p>
    <w:p>
      <w:pPr>
        <w:spacing w:after="0" w:line="1" w:lineRule="exact"/>
        <w:rPr>
          <w:rFonts w:ascii="Times New Roman" w:cs="Times New Roman" w:eastAsia="Times New Roman" w:hAnsi="Times New Roman"/>
          <w:sz w:val="22"/>
          <w:szCs w:val="22"/>
          <w:color w:val="auto"/>
        </w:rPr>
      </w:pPr>
    </w:p>
    <w:p>
      <w:pPr>
        <w:ind w:right="5320" w:firstLine="6"/>
        <w:spacing w:after="0" w:line="486" w:lineRule="auto"/>
        <w:tabs>
          <w:tab w:leader="none" w:pos="378"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dispose or to direct the disposition of: 16652974.82</w:t>
      </w:r>
    </w:p>
    <w:p>
      <w:pPr>
        <w:spacing w:after="0" w:line="1" w:lineRule="exact"/>
        <w:rPr>
          <w:rFonts w:ascii="Times New Roman" w:cs="Times New Roman" w:eastAsia="Times New Roman" w:hAnsi="Times New Roman"/>
          <w:sz w:val="22"/>
          <w:szCs w:val="22"/>
          <w:color w:val="auto"/>
        </w:rPr>
      </w:pPr>
    </w:p>
    <w:p>
      <w:pPr>
        <w:ind w:right="5120" w:firstLine="6"/>
        <w:spacing w:after="0" w:line="486" w:lineRule="auto"/>
        <w:tabs>
          <w:tab w:leader="none" w:pos="366"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dispose or to direct the disposition of: 0.00</w:t>
      </w:r>
    </w:p>
    <w:p>
      <w:pPr>
        <w:spacing w:after="0" w:line="1"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Ownership of 5 Percent or Less of a Class.</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 of more than 5 Percent on Behalf of Another Person.</w:t>
      </w:r>
    </w:p>
    <w:p>
      <w:pPr>
        <w:spacing w:after="0" w:line="44"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22"/>
          <w:szCs w:val="22"/>
          <w:color w:val="auto"/>
        </w:rPr>
        <w:t>If any other person is known to have the right to receive or the power to direct the receipt of dividends from, or the proceeds from the sale of, such securities, a statement to that effect should be included in response to this item and, if such interest relates to more than 5 percent of the class, such person should be identified. A listing of the shareholders of an investment company registered under the Investment Company Act of 1940 or the beneficiaries of employee benefit plan, pension fund or endowment fund is not required.</w:t>
      </w:r>
    </w:p>
    <w:p>
      <w:pPr>
        <w:spacing w:after="0" w:line="200" w:lineRule="exact"/>
        <w:rPr>
          <w:sz w:val="20"/>
          <w:szCs w:val="20"/>
          <w:color w:val="auto"/>
        </w:rPr>
      </w:pPr>
    </w:p>
    <w:p>
      <w:pPr>
        <w:spacing w:after="0" w:line="247" w:lineRule="exact"/>
        <w:rPr>
          <w:sz w:val="20"/>
          <w:szCs w:val="20"/>
          <w:color w:val="auto"/>
        </w:rPr>
      </w:pPr>
    </w:p>
    <w:p>
      <w:pPr>
        <w:ind w:right="60"/>
        <w:spacing w:after="0" w:line="244" w:lineRule="auto"/>
        <w:rPr>
          <w:sz w:val="20"/>
          <w:szCs w:val="20"/>
          <w:color w:val="auto"/>
        </w:rPr>
      </w:pPr>
      <w:r>
        <w:rPr>
          <w:rFonts w:ascii="Times New Roman" w:cs="Times New Roman" w:eastAsia="Times New Roman" w:hAnsi="Times New Roman"/>
          <w:sz w:val="22"/>
          <w:szCs w:val="22"/>
          <w:color w:val="auto"/>
        </w:rPr>
        <w:t>One or more other persons are known to have the right to receive or the power to direct the receipt of dividends from, or the proceeds from the sale of, the COMMON STOCK of BIOGEN INC. No one other person's interest in the COMMON STOCK of BIOGEN INC is more than five percent of the total outstanding COMMON STOCK.</w:t>
      </w:r>
    </w:p>
    <w:p>
      <w:pPr>
        <w:spacing w:after="0" w:line="11" w:lineRule="exact"/>
        <w:rPr>
          <w:sz w:val="20"/>
          <w:szCs w:val="20"/>
          <w:color w:val="auto"/>
        </w:rPr>
      </w:pPr>
    </w:p>
    <w:p>
      <w:pPr>
        <w:ind w:right="460"/>
        <w:spacing w:after="0" w:line="256" w:lineRule="auto"/>
        <w:rPr>
          <w:sz w:val="20"/>
          <w:szCs w:val="20"/>
          <w:color w:val="auto"/>
        </w:rPr>
      </w:pPr>
      <w:r>
        <w:rPr>
          <w:rFonts w:ascii="Times New Roman" w:cs="Times New Roman" w:eastAsia="Times New Roman" w:hAnsi="Times New Roman"/>
          <w:sz w:val="22"/>
          <w:szCs w:val="22"/>
          <w:color w:val="auto"/>
        </w:rPr>
        <w:t>Identification and Classification of the Subsidiary Which Acquired the Security Being Reported on by the Parent Holding Company or Control Person.</w:t>
      </w:r>
    </w:p>
    <w:p>
      <w:pPr>
        <w:jc w:val="both"/>
        <w:spacing w:after="0" w:line="239" w:lineRule="auto"/>
        <w:rPr>
          <w:sz w:val="20"/>
          <w:szCs w:val="20"/>
          <w:color w:val="auto"/>
        </w:rPr>
      </w:pPr>
      <w:r>
        <w:rPr>
          <w:rFonts w:ascii="Times New Roman" w:cs="Times New Roman" w:eastAsia="Times New Roman" w:hAnsi="Times New Roman"/>
          <w:sz w:val="22"/>
          <w:szCs w:val="22"/>
          <w:color w:val="auto"/>
        </w:rPr>
        <w:t>If a parent holding company has filed this schedule, pursuant to Rule 13d-1(b)(ii)(G), so indicate under Item 3(g) and attach an exhibit stating the identity and the Item 3 classification of the relevant subsidiary. If a parent holding company has filed this schedule pursuant to Rule 13d-1(c) or Rule 13d-1(d), attach an exhibit stating the identification of the relevant subsidiary.</w:t>
      </w:r>
    </w:p>
    <w:p>
      <w:pPr>
        <w:spacing w:after="0" w:line="200" w:lineRule="exact"/>
        <w:rPr>
          <w:sz w:val="20"/>
          <w:szCs w:val="20"/>
          <w:color w:val="auto"/>
        </w:rPr>
      </w:pPr>
    </w:p>
    <w:p>
      <w:pPr>
        <w:sectPr>
          <w:pgSz w:w="11900" w:h="16887" w:orient="portrait"/>
          <w:cols w:equalWidth="0" w:num="2">
            <w:col w:w="620" w:space="300"/>
            <w:col w:w="10220"/>
          </w:cols>
          <w:pgMar w:left="360" w:top="409" w:right="399" w:bottom="0" w:gutter="0" w:footer="0" w:header="0"/>
        </w:sectPr>
      </w:pPr>
    </w:p>
    <w:p>
      <w:pPr>
        <w:spacing w:after="0" w:line="25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See attached Exhibit 99.</w:t>
      </w:r>
    </w:p>
    <w:p>
      <w:pPr>
        <w:spacing w:after="0" w:line="44"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8.</w:t>
      </w:r>
      <w:r>
        <w:rPr>
          <w:sz w:val="20"/>
          <w:szCs w:val="20"/>
          <w:color w:val="auto"/>
        </w:rPr>
        <w:tab/>
      </w:r>
      <w:r>
        <w:rPr>
          <w:rFonts w:ascii="Times New Roman" w:cs="Times New Roman" w:eastAsia="Times New Roman" w:hAnsi="Times New Roman"/>
          <w:sz w:val="21"/>
          <w:szCs w:val="21"/>
          <w:color w:val="auto"/>
        </w:rPr>
        <w:t>Identification and Classification of Members of the Group.</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9.</w:t>
      </w:r>
      <w:r>
        <w:rPr>
          <w:sz w:val="20"/>
          <w:szCs w:val="20"/>
          <w:color w:val="auto"/>
        </w:rPr>
        <w:tab/>
      </w:r>
      <w:r>
        <w:rPr>
          <w:rFonts w:ascii="Times New Roman" w:cs="Times New Roman" w:eastAsia="Times New Roman" w:hAnsi="Times New Roman"/>
          <w:sz w:val="21"/>
          <w:szCs w:val="21"/>
          <w:color w:val="auto"/>
        </w:rPr>
        <w:t>Notice of Dissolution of Group.</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Not Applicable</w:t>
      </w:r>
    </w:p>
    <w:p>
      <w:pPr>
        <w:spacing w:after="0" w:line="314" w:lineRule="exact"/>
        <w:rPr>
          <w:sz w:val="20"/>
          <w:szCs w:val="20"/>
          <w:color w:val="auto"/>
        </w:rPr>
      </w:pPr>
    </w:p>
    <w:p>
      <w:pPr>
        <w:spacing w:after="0"/>
        <w:tabs>
          <w:tab w:leader="none" w:pos="920" w:val="left"/>
        </w:tabs>
        <w:rPr>
          <w:sz w:val="20"/>
          <w:szCs w:val="20"/>
          <w:color w:val="auto"/>
        </w:rPr>
      </w:pPr>
      <w:r>
        <w:rPr>
          <w:rFonts w:ascii="Times New Roman" w:cs="Times New Roman" w:eastAsia="Times New Roman" w:hAnsi="Times New Roman"/>
          <w:sz w:val="22"/>
          <w:szCs w:val="22"/>
          <w:color w:val="auto"/>
        </w:rPr>
        <w:t>Item 10.</w:t>
      </w:r>
      <w:r>
        <w:rPr>
          <w:sz w:val="20"/>
          <w:szCs w:val="20"/>
          <w:color w:val="auto"/>
        </w:rPr>
        <w:tab/>
      </w:r>
      <w:r>
        <w:rPr>
          <w:rFonts w:ascii="Times New Roman" w:cs="Times New Roman" w:eastAsia="Times New Roman" w:hAnsi="Times New Roman"/>
          <w:sz w:val="21"/>
          <w:szCs w:val="21"/>
          <w:color w:val="auto"/>
        </w:rPr>
        <w:t>Certifications:</w:t>
      </w:r>
    </w:p>
    <w:p>
      <w:pPr>
        <w:spacing w:after="0" w:line="44" w:lineRule="exact"/>
        <w:rPr>
          <w:sz w:val="20"/>
          <w:szCs w:val="20"/>
          <w:color w:val="auto"/>
        </w:rPr>
      </w:pPr>
    </w:p>
    <w:p>
      <w:pPr>
        <w:ind w:left="940" w:right="40"/>
        <w:spacing w:after="0" w:line="238" w:lineRule="auto"/>
        <w:rPr>
          <w:sz w:val="20"/>
          <w:szCs w:val="20"/>
          <w:color w:val="auto"/>
        </w:rPr>
      </w:pPr>
      <w:r>
        <w:rPr>
          <w:rFonts w:ascii="Times New Roman" w:cs="Times New Roman" w:eastAsia="Times New Roman" w:hAnsi="Times New Roman"/>
          <w:sz w:val="22"/>
          <w:szCs w:val="22"/>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p>
      <w:pPr>
        <w:spacing w:after="0" w:line="285"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SIGNATURE</w:t>
      </w:r>
    </w:p>
    <w:p>
      <w:pPr>
        <w:spacing w:after="0" w:line="44" w:lineRule="exact"/>
        <w:rPr>
          <w:sz w:val="20"/>
          <w:szCs w:val="20"/>
          <w:color w:val="auto"/>
        </w:rPr>
      </w:pPr>
    </w:p>
    <w:p>
      <w:pPr>
        <w:ind w:left="1480"/>
        <w:spacing w:after="0" w:line="258" w:lineRule="auto"/>
        <w:rPr>
          <w:sz w:val="20"/>
          <w:szCs w:val="20"/>
          <w:color w:val="auto"/>
        </w:rPr>
      </w:pPr>
      <w:r>
        <w:rPr>
          <w:rFonts w:ascii="Times New Roman" w:cs="Times New Roman" w:eastAsia="Times New Roman" w:hAnsi="Times New Roman"/>
          <w:sz w:val="22"/>
          <w:szCs w:val="22"/>
          <w:color w:val="auto"/>
        </w:rPr>
        <w:t>After reasonable inquiry and to the best of my knowledge and belief, I certify that the information set forth in this statement is true, complete and correct.</w:t>
      </w:r>
    </w:p>
    <w:p>
      <w:pPr>
        <w:spacing w:after="0" w:line="307"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FMR LLC</w:t>
      </w:r>
    </w:p>
    <w:p>
      <w:pPr>
        <w:spacing w:after="0" w:line="152" w:lineRule="exact"/>
        <w:rPr>
          <w:sz w:val="20"/>
          <w:szCs w:val="20"/>
          <w:color w:val="auto"/>
        </w:rPr>
      </w:pPr>
    </w:p>
    <w:p>
      <w:pPr>
        <w:ind w:left="5660"/>
        <w:spacing w:after="0"/>
        <w:tabs>
          <w:tab w:leader="none" w:pos="672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Stephanie J. Brown</w:t>
      </w:r>
    </w:p>
    <w:p>
      <w:pPr>
        <w:spacing w:after="0" w:line="44"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22"/>
          <w:szCs w:val="22"/>
          <w:color w:val="auto"/>
        </w:rPr>
        <w:t>Duly authorized under Power of Attorney</w:t>
      </w:r>
    </w:p>
    <w:p>
      <w:pPr>
        <w:ind w:left="5660"/>
        <w:spacing w:after="0" w:line="184" w:lineRule="auto"/>
        <w:rPr>
          <w:sz w:val="20"/>
          <w:szCs w:val="20"/>
          <w:color w:val="auto"/>
        </w:rPr>
      </w:pPr>
      <w:r>
        <w:rPr>
          <w:rFonts w:ascii="Times New Roman" w:cs="Times New Roman" w:eastAsia="Times New Roman" w:hAnsi="Times New Roman"/>
          <w:sz w:val="29"/>
          <w:szCs w:val="29"/>
          <w:color w:val="auto"/>
          <w:vertAlign w:val="subscript"/>
        </w:rPr>
        <w:t>Name/Title:</w:t>
      </w:r>
      <w:r>
        <w:rPr>
          <w:rFonts w:ascii="Times New Roman" w:cs="Times New Roman" w:eastAsia="Times New Roman" w:hAnsi="Times New Roman"/>
          <w:sz w:val="17"/>
          <w:szCs w:val="17"/>
          <w:color w:val="auto"/>
        </w:rPr>
        <w:t xml:space="preserve"> effective as of January 3, 2023, by and on behalf</w:t>
      </w:r>
    </w:p>
    <w:p>
      <w:pPr>
        <w:ind w:left="6740"/>
        <w:spacing w:after="0" w:line="231" w:lineRule="auto"/>
        <w:rPr>
          <w:sz w:val="20"/>
          <w:szCs w:val="20"/>
          <w:color w:val="auto"/>
        </w:rPr>
      </w:pPr>
      <w:r>
        <w:rPr>
          <w:rFonts w:ascii="Times New Roman" w:cs="Times New Roman" w:eastAsia="Times New Roman" w:hAnsi="Times New Roman"/>
          <w:sz w:val="22"/>
          <w:szCs w:val="22"/>
          <w:color w:val="auto"/>
        </w:rPr>
        <w:t>of FMR LLC and its direct and indirect</w:t>
      </w:r>
    </w:p>
    <w:p>
      <w:pPr>
        <w:spacing w:after="0" w:line="1"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22"/>
          <w:szCs w:val="22"/>
          <w:color w:val="auto"/>
        </w:rPr>
        <w:t>subsidiaries*</w:t>
      </w:r>
    </w:p>
    <w:p>
      <w:pPr>
        <w:spacing w:after="0" w:line="20" w:lineRule="exact"/>
        <w:rPr>
          <w:sz w:val="20"/>
          <w:szCs w:val="20"/>
          <w:color w:val="auto"/>
        </w:rPr>
      </w:pPr>
    </w:p>
    <w:p>
      <w:pPr>
        <w:ind w:left="5660"/>
        <w:spacing w:after="0"/>
        <w:tabs>
          <w:tab w:leader="none" w:pos="672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06/04/2026</w:t>
      </w:r>
    </w:p>
    <w:p>
      <w:pPr>
        <w:spacing w:after="0" w:line="152" w:lineRule="exact"/>
        <w:rPr>
          <w:sz w:val="20"/>
          <w:szCs w:val="20"/>
          <w:color w:val="auto"/>
        </w:rPr>
      </w:pPr>
    </w:p>
    <w:p>
      <w:pPr>
        <w:ind w:left="1800"/>
        <w:spacing w:after="0"/>
        <w:rPr>
          <w:sz w:val="20"/>
          <w:szCs w:val="20"/>
          <w:color w:val="auto"/>
        </w:rPr>
      </w:pPr>
      <w:r>
        <w:rPr>
          <w:rFonts w:ascii="Times New Roman" w:cs="Times New Roman" w:eastAsia="Times New Roman" w:hAnsi="Times New Roman"/>
          <w:sz w:val="22"/>
          <w:szCs w:val="22"/>
          <w:color w:val="auto"/>
        </w:rPr>
        <w:t>Abigail P. Johnson</w:t>
      </w:r>
    </w:p>
    <w:p>
      <w:pPr>
        <w:spacing w:after="0" w:line="152" w:lineRule="exact"/>
        <w:rPr>
          <w:sz w:val="20"/>
          <w:szCs w:val="20"/>
          <w:color w:val="auto"/>
        </w:rPr>
      </w:pPr>
    </w:p>
    <w:p>
      <w:pPr>
        <w:ind w:left="5660"/>
        <w:spacing w:after="0"/>
        <w:tabs>
          <w:tab w:leader="none" w:pos="672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Stephanie J. Brown</w:t>
      </w:r>
    </w:p>
    <w:p>
      <w:pPr>
        <w:spacing w:after="0" w:line="44" w:lineRule="exact"/>
        <w:rPr>
          <w:sz w:val="20"/>
          <w:szCs w:val="20"/>
          <w:color w:val="auto"/>
        </w:rPr>
      </w:pPr>
    </w:p>
    <w:p>
      <w:pPr>
        <w:ind w:left="5660"/>
        <w:spacing w:after="0"/>
        <w:rPr>
          <w:sz w:val="20"/>
          <w:szCs w:val="20"/>
          <w:color w:val="auto"/>
        </w:rPr>
      </w:pPr>
      <w:r>
        <w:rPr>
          <w:rFonts w:ascii="Times New Roman" w:cs="Times New Roman" w:eastAsia="Times New Roman" w:hAnsi="Times New Roman"/>
          <w:sz w:val="22"/>
          <w:szCs w:val="22"/>
          <w:color w:val="auto"/>
        </w:rPr>
        <w:t>Name/Title: Duly authorized under Power of Attorney</w:t>
      </w:r>
    </w:p>
    <w:p>
      <w:pPr>
        <w:sectPr>
          <w:pgSz w:w="11900" w:h="16887" w:orient="portrait"/>
          <w:cols w:equalWidth="0" w:num="1">
            <w:col w:w="11140"/>
          </w:cols>
          <w:pgMar w:left="360" w:top="409" w:right="399" w:bottom="0" w:gutter="0" w:footer="0" w:header="0"/>
          <w:type w:val="continuous"/>
        </w:sectPr>
      </w:pPr>
    </w:p>
    <w:bookmarkStart w:id="4" w:name="page5"/>
    <w:bookmarkEnd w:id="4"/>
    <w:p>
      <w:pPr>
        <w:ind w:left="6780"/>
        <w:spacing w:after="0"/>
        <w:rPr>
          <w:sz w:val="20"/>
          <w:szCs w:val="20"/>
          <w:color w:val="auto"/>
        </w:rPr>
      </w:pPr>
      <w:r>
        <w:rPr>
          <w:rFonts w:ascii="Times New Roman" w:cs="Times New Roman" w:eastAsia="Times New Roman" w:hAnsi="Times New Roman"/>
          <w:sz w:val="21"/>
          <w:szCs w:val="21"/>
          <w:color w:val="auto"/>
        </w:rPr>
        <w:t>effective as of January 26, 2023, by and on behalf</w:t>
      </w:r>
    </w:p>
    <w:p>
      <w:pPr>
        <w:spacing w:after="0" w:line="26" w:lineRule="exact"/>
        <w:rPr>
          <w:sz w:val="20"/>
          <w:szCs w:val="20"/>
          <w:color w:val="auto"/>
        </w:rPr>
      </w:pPr>
    </w:p>
    <w:p>
      <w:pPr>
        <w:ind w:left="6780"/>
        <w:spacing w:after="0"/>
        <w:rPr>
          <w:sz w:val="20"/>
          <w:szCs w:val="20"/>
          <w:color w:val="auto"/>
        </w:rPr>
      </w:pPr>
      <w:r>
        <w:rPr>
          <w:rFonts w:ascii="Times New Roman" w:cs="Times New Roman" w:eastAsia="Times New Roman" w:hAnsi="Times New Roman"/>
          <w:sz w:val="22"/>
          <w:szCs w:val="22"/>
          <w:color w:val="auto"/>
        </w:rPr>
        <w:t>of Abigail P. Johnson**</w:t>
      </w:r>
    </w:p>
    <w:p>
      <w:pPr>
        <w:spacing w:after="0" w:line="20" w:lineRule="exact"/>
        <w:rPr>
          <w:sz w:val="20"/>
          <w:szCs w:val="20"/>
          <w:color w:val="auto"/>
        </w:rPr>
      </w:pPr>
    </w:p>
    <w:p>
      <w:pPr>
        <w:ind w:left="5700"/>
        <w:spacing w:after="0"/>
        <w:tabs>
          <w:tab w:leader="none" w:pos="676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06/04/2026</w:t>
      </w:r>
    </w:p>
    <w:p>
      <w:pPr>
        <w:spacing w:after="0" w:line="31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Comments accompanying signature: </w:t>
      </w:r>
      <w:r>
        <w:rPr>
          <w:rFonts w:ascii="Times New Roman" w:cs="Times New Roman" w:eastAsia="Times New Roman" w:hAnsi="Times New Roman"/>
          <w:sz w:val="22"/>
          <w:szCs w:val="22"/>
          <w:color w:val="auto"/>
        </w:rPr>
        <w:t>* This power of attorney is incorporated herein by reference to Exhibit 24 to the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Schedule 13G filed by FMR LLC on January 10, 2023, accession number: 0000315066-23-000003. ** This power of attorney is incorporated herein by reference to Exhibit 24 to the Schedule 13G filed by FMR LLC on January 31, 2023, accession number: 0000315066-23-000038.</w:t>
      </w:r>
    </w:p>
    <w:p>
      <w:pPr>
        <w:spacing w:after="0" w:line="4" w:lineRule="exact"/>
        <w:rPr>
          <w:sz w:val="20"/>
          <w:szCs w:val="20"/>
          <w:color w:val="auto"/>
        </w:rPr>
      </w:pPr>
    </w:p>
    <w:p>
      <w:pPr>
        <w:jc w:val="center"/>
        <w:ind w:right="6800"/>
        <w:spacing w:after="0"/>
        <w:rPr>
          <w:sz w:val="20"/>
          <w:szCs w:val="20"/>
          <w:color w:val="auto"/>
        </w:rPr>
      </w:pPr>
      <w:r>
        <w:rPr>
          <w:rFonts w:ascii="Times New Roman" w:cs="Times New Roman" w:eastAsia="Times New Roman" w:hAnsi="Times New Roman"/>
          <w:sz w:val="22"/>
          <w:szCs w:val="22"/>
          <w:b w:val="1"/>
          <w:bCs w:val="1"/>
          <w:color w:val="auto"/>
        </w:rPr>
        <w:t>Exhibit Information</w:t>
      </w:r>
    </w:p>
    <w:p>
      <w:pPr>
        <w:spacing w:after="0" w:line="28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Please see Exhibit 99 for 13d-1(k) (1) agreement.</w:t>
      </w:r>
    </w:p>
    <w:p>
      <w:pPr>
        <w:sectPr>
          <w:pgSz w:w="11900" w:h="16838" w:orient="portrait"/>
          <w:cols w:equalWidth="0" w:num="1">
            <w:col w:w="11120"/>
          </w:cols>
          <w:pgMar w:left="320" w:top="112" w:right="459" w:bottom="1440" w:gutter="0" w:footer="0" w:header="0"/>
        </w:sectPr>
      </w:pPr>
    </w:p>
    <w:bookmarkStart w:id="5" w:name="page6"/>
    <w:bookmarkEnd w:id="5"/>
    <w:p>
      <w:pPr>
        <w:spacing w:after="0"/>
        <w:rPr>
          <w:sz w:val="20"/>
          <w:szCs w:val="20"/>
          <w:color w:val="auto"/>
        </w:rPr>
      </w:pPr>
      <w:r>
        <w:rPr>
          <w:rFonts w:ascii="Courier New" w:cs="Courier New" w:eastAsia="Courier New" w:hAnsi="Courier New"/>
          <w:sz w:val="18"/>
          <w:szCs w:val="18"/>
          <w:color w:val="auto"/>
        </w:rPr>
        <w:t>Exhibit 99</w:t>
      </w:r>
    </w:p>
    <w:p>
      <w:pPr>
        <w:spacing w:after="0" w:line="200" w:lineRule="exact"/>
        <w:rPr>
          <w:sz w:val="20"/>
          <w:szCs w:val="20"/>
          <w:color w:val="auto"/>
        </w:rPr>
      </w:pPr>
    </w:p>
    <w:p>
      <w:pPr>
        <w:spacing w:after="0" w:line="204" w:lineRule="exact"/>
        <w:rPr>
          <w:sz w:val="20"/>
          <w:szCs w:val="20"/>
          <w:color w:val="auto"/>
        </w:rPr>
      </w:pPr>
    </w:p>
    <w:p>
      <w:pPr>
        <w:ind w:right="2019"/>
        <w:spacing w:after="0" w:line="274" w:lineRule="auto"/>
        <w:rPr>
          <w:sz w:val="20"/>
          <w:szCs w:val="20"/>
          <w:color w:val="auto"/>
        </w:rPr>
      </w:pPr>
      <w:r>
        <w:rPr>
          <w:rFonts w:ascii="Courier New" w:cs="Courier New" w:eastAsia="Courier New" w:hAnsi="Courier New"/>
          <w:sz w:val="18"/>
          <w:szCs w:val="18"/>
          <w:color w:val="auto"/>
        </w:rPr>
        <w:t>Pursuant to the instructions in Item 7 of Schedule 13G, the following table lists the identity and Item 3 classification, if applicable, of each relevant entity that beneficially owns shares of the security class being reported on this Schedule 13G.</w:t>
      </w:r>
    </w:p>
    <w:p>
      <w:pPr>
        <w:spacing w:after="0" w:line="81" w:lineRule="exact"/>
        <w:rPr>
          <w:sz w:val="20"/>
          <w:szCs w:val="20"/>
          <w:color w:val="auto"/>
        </w:rPr>
      </w:pPr>
    </w:p>
    <w:tbl>
      <w:tblPr>
        <w:tblLayout w:type="fixed"/>
        <w:tblInd w:w="0" w:type="dxa"/>
        <w:tblCellMar>
          <w:top w:w="0" w:type="dxa"/>
          <w:left w:w="0" w:type="dxa"/>
          <w:bottom w:w="0" w:type="dxa"/>
          <w:right w:w="0" w:type="dxa"/>
        </w:tblCellMar>
      </w:tblPr>
      <w:tr>
        <w:trPr>
          <w:trHeight w:val="296"/>
        </w:trPr>
        <w:tc>
          <w:tcPr>
            <w:tcW w:w="900" w:type="dxa"/>
            <w:vAlign w:val="bottom"/>
          </w:tcPr>
          <w:p>
            <w:pPr>
              <w:spacing w:after="0"/>
              <w:rPr>
                <w:sz w:val="20"/>
                <w:szCs w:val="20"/>
                <w:color w:val="auto"/>
              </w:rPr>
            </w:pPr>
            <w:r>
              <w:rPr>
                <w:rFonts w:ascii="Courier New" w:cs="Courier New" w:eastAsia="Courier New" w:hAnsi="Courier New"/>
                <w:sz w:val="18"/>
                <w:szCs w:val="18"/>
                <w:color w:val="auto"/>
              </w:rPr>
              <w:t>Entity</w:t>
            </w:r>
          </w:p>
        </w:tc>
        <w:tc>
          <w:tcPr>
            <w:tcW w:w="5120" w:type="dxa"/>
            <w:vAlign w:val="bottom"/>
            <w:gridSpan w:val="2"/>
          </w:tcPr>
          <w:p>
            <w:pPr>
              <w:ind w:left="60"/>
              <w:spacing w:after="0"/>
              <w:rPr>
                <w:sz w:val="20"/>
                <w:szCs w:val="20"/>
                <w:color w:val="auto"/>
              </w:rPr>
            </w:pPr>
            <w:r>
              <w:rPr>
                <w:rFonts w:ascii="Courier New" w:cs="Courier New" w:eastAsia="Courier New" w:hAnsi="Courier New"/>
                <w:sz w:val="18"/>
                <w:szCs w:val="18"/>
                <w:color w:val="auto"/>
              </w:rPr>
              <w:t>ITEM 3 Classification</w:t>
            </w:r>
          </w:p>
        </w:tc>
        <w:tc>
          <w:tcPr>
            <w:tcW w:w="0" w:type="dxa"/>
            <w:vAlign w:val="bottom"/>
          </w:tcPr>
          <w:p>
            <w:pPr>
              <w:spacing w:after="0"/>
              <w:rPr>
                <w:sz w:val="1"/>
                <w:szCs w:val="1"/>
                <w:color w:val="auto"/>
              </w:rPr>
            </w:pPr>
          </w:p>
        </w:tc>
      </w:tr>
      <w:tr>
        <w:trPr>
          <w:trHeight w:val="311"/>
        </w:trPr>
        <w:tc>
          <w:tcPr>
            <w:tcW w:w="900" w:type="dxa"/>
            <w:vAlign w:val="bottom"/>
          </w:tcPr>
          <w:p>
            <w:pPr>
              <w:spacing w:after="0"/>
              <w:rPr>
                <w:sz w:val="20"/>
                <w:szCs w:val="20"/>
                <w:color w:val="auto"/>
              </w:rPr>
            </w:pPr>
            <w:r>
              <w:rPr>
                <w:rFonts w:ascii="Courier New" w:cs="Courier New" w:eastAsia="Courier New" w:hAnsi="Courier New"/>
                <w:sz w:val="18"/>
                <w:szCs w:val="18"/>
                <w:color w:val="auto"/>
              </w:rPr>
              <w:t>FIAM LLC</w:t>
            </w:r>
          </w:p>
        </w:tc>
        <w:tc>
          <w:tcPr>
            <w:tcW w:w="1380" w:type="dxa"/>
            <w:vAlign w:val="bottom"/>
          </w:tcPr>
          <w:p>
            <w:pPr>
              <w:ind w:left="160"/>
              <w:spacing w:after="0"/>
              <w:rPr>
                <w:sz w:val="20"/>
                <w:szCs w:val="20"/>
                <w:color w:val="auto"/>
              </w:rPr>
            </w:pPr>
            <w:r>
              <w:rPr>
                <w:rFonts w:ascii="Courier New" w:cs="Courier New" w:eastAsia="Courier New" w:hAnsi="Courier New"/>
                <w:sz w:val="18"/>
                <w:szCs w:val="18"/>
                <w:color w:val="auto"/>
              </w:rPr>
              <w:t>IA</w:t>
            </w:r>
          </w:p>
        </w:tc>
        <w:tc>
          <w:tcPr>
            <w:tcW w:w="3740" w:type="dxa"/>
            <w:vAlign w:val="bottom"/>
            <w:vMerge w:val="restart"/>
          </w:tcPr>
          <w:p>
            <w:pPr>
              <w:ind w:left="40"/>
              <w:spacing w:after="0"/>
              <w:rPr>
                <w:sz w:val="20"/>
                <w:szCs w:val="20"/>
                <w:color w:val="auto"/>
              </w:rPr>
            </w:pPr>
            <w:r>
              <w:rPr>
                <w:rFonts w:ascii="Courier New" w:cs="Courier New" w:eastAsia="Courier New" w:hAnsi="Courier New"/>
                <w:sz w:val="18"/>
                <w:szCs w:val="18"/>
                <w:color w:val="auto"/>
              </w:rPr>
              <w:t>Solutions LLC  IA</w:t>
            </w:r>
          </w:p>
        </w:tc>
        <w:tc>
          <w:tcPr>
            <w:tcW w:w="0" w:type="dxa"/>
            <w:vAlign w:val="bottom"/>
          </w:tcPr>
          <w:p>
            <w:pPr>
              <w:spacing w:after="0"/>
              <w:rPr>
                <w:sz w:val="1"/>
                <w:szCs w:val="1"/>
                <w:color w:val="auto"/>
              </w:rPr>
            </w:pPr>
          </w:p>
        </w:tc>
      </w:tr>
      <w:tr>
        <w:trPr>
          <w:trHeight w:val="203"/>
        </w:trPr>
        <w:tc>
          <w:tcPr>
            <w:tcW w:w="900" w:type="dxa"/>
            <w:vAlign w:val="bottom"/>
          </w:tcPr>
          <w:p>
            <w:pPr>
              <w:spacing w:after="0" w:line="203" w:lineRule="exact"/>
              <w:rPr>
                <w:sz w:val="20"/>
                <w:szCs w:val="20"/>
                <w:color w:val="auto"/>
              </w:rPr>
            </w:pPr>
            <w:r>
              <w:rPr>
                <w:rFonts w:ascii="Courier New" w:cs="Courier New" w:eastAsia="Courier New" w:hAnsi="Courier New"/>
                <w:sz w:val="18"/>
                <w:szCs w:val="18"/>
                <w:color w:val="auto"/>
              </w:rPr>
              <w:t>Fidelity</w:t>
            </w:r>
          </w:p>
        </w:tc>
        <w:tc>
          <w:tcPr>
            <w:tcW w:w="138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Diversifying</w:t>
            </w:r>
          </w:p>
        </w:tc>
        <w:tc>
          <w:tcPr>
            <w:tcW w:w="374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900" w:type="dxa"/>
            <w:vAlign w:val="bottom"/>
          </w:tcPr>
          <w:p>
            <w:pPr>
              <w:spacing w:after="0" w:line="203" w:lineRule="exact"/>
              <w:rPr>
                <w:sz w:val="20"/>
                <w:szCs w:val="20"/>
                <w:color w:val="auto"/>
              </w:rPr>
            </w:pPr>
            <w:r>
              <w:rPr>
                <w:rFonts w:ascii="Courier New" w:cs="Courier New" w:eastAsia="Courier New" w:hAnsi="Courier New"/>
                <w:sz w:val="18"/>
                <w:szCs w:val="18"/>
                <w:color w:val="auto"/>
              </w:rPr>
              <w:t>Fidelity</w:t>
            </w:r>
          </w:p>
        </w:tc>
        <w:tc>
          <w:tcPr>
            <w:tcW w:w="5120" w:type="dxa"/>
            <w:vAlign w:val="bottom"/>
            <w:gridSpan w:val="2"/>
          </w:tcPr>
          <w:p>
            <w:pPr>
              <w:ind w:left="60"/>
              <w:spacing w:after="0" w:line="203" w:lineRule="exact"/>
              <w:rPr>
                <w:sz w:val="20"/>
                <w:szCs w:val="20"/>
                <w:color w:val="auto"/>
              </w:rPr>
            </w:pPr>
            <w:r>
              <w:rPr>
                <w:rFonts w:ascii="Courier New" w:cs="Courier New" w:eastAsia="Courier New" w:hAnsi="Courier New"/>
                <w:sz w:val="18"/>
                <w:szCs w:val="18"/>
                <w:color w:val="auto"/>
                <w:w w:val="97"/>
              </w:rPr>
              <w:t>Institutional Asset Management Trust Company  BK</w:t>
            </w:r>
          </w:p>
        </w:tc>
        <w:tc>
          <w:tcPr>
            <w:tcW w:w="0" w:type="dxa"/>
            <w:vAlign w:val="bottom"/>
          </w:tcPr>
          <w:p>
            <w:pPr>
              <w:spacing w:after="0"/>
              <w:rPr>
                <w:sz w:val="1"/>
                <w:szCs w:val="1"/>
                <w:color w:val="auto"/>
              </w:rPr>
            </w:pPr>
          </w:p>
        </w:tc>
      </w:tr>
      <w:tr>
        <w:trPr>
          <w:trHeight w:val="234"/>
        </w:trPr>
        <w:tc>
          <w:tcPr>
            <w:tcW w:w="900" w:type="dxa"/>
            <w:vAlign w:val="bottom"/>
          </w:tcPr>
          <w:p>
            <w:pPr>
              <w:spacing w:after="0"/>
              <w:rPr>
                <w:sz w:val="20"/>
                <w:szCs w:val="20"/>
                <w:color w:val="auto"/>
              </w:rPr>
            </w:pPr>
            <w:r>
              <w:rPr>
                <w:rFonts w:ascii="Courier New" w:cs="Courier New" w:eastAsia="Courier New" w:hAnsi="Courier New"/>
                <w:sz w:val="18"/>
                <w:szCs w:val="18"/>
                <w:color w:val="auto"/>
              </w:rPr>
              <w:t>Fidelity</w:t>
            </w:r>
          </w:p>
        </w:tc>
        <w:tc>
          <w:tcPr>
            <w:tcW w:w="1380" w:type="dxa"/>
            <w:vAlign w:val="bottom"/>
          </w:tcPr>
          <w:p>
            <w:pPr>
              <w:ind w:left="60"/>
              <w:spacing w:after="0"/>
              <w:rPr>
                <w:sz w:val="20"/>
                <w:szCs w:val="20"/>
                <w:color w:val="auto"/>
              </w:rPr>
            </w:pPr>
            <w:r>
              <w:rPr>
                <w:rFonts w:ascii="Courier New" w:cs="Courier New" w:eastAsia="Courier New" w:hAnsi="Courier New"/>
                <w:sz w:val="18"/>
                <w:szCs w:val="18"/>
                <w:color w:val="auto"/>
              </w:rPr>
              <w:t>Management &amp;</w:t>
            </w:r>
          </w:p>
        </w:tc>
        <w:tc>
          <w:tcPr>
            <w:tcW w:w="3740" w:type="dxa"/>
            <w:vAlign w:val="bottom"/>
          </w:tcPr>
          <w:p>
            <w:pPr>
              <w:ind w:left="40"/>
              <w:spacing w:after="0"/>
              <w:rPr>
                <w:sz w:val="20"/>
                <w:szCs w:val="20"/>
                <w:color w:val="auto"/>
              </w:rPr>
            </w:pPr>
            <w:r>
              <w:rPr>
                <w:rFonts w:ascii="Courier New" w:cs="Courier New" w:eastAsia="Courier New" w:hAnsi="Courier New"/>
                <w:sz w:val="18"/>
                <w:szCs w:val="18"/>
                <w:color w:val="auto"/>
              </w:rPr>
              <w:t>Research Company LLC * IA</w:t>
            </w:r>
          </w:p>
        </w:tc>
        <w:tc>
          <w:tcPr>
            <w:tcW w:w="0" w:type="dxa"/>
            <w:vAlign w:val="bottom"/>
          </w:tcPr>
          <w:p>
            <w:pPr>
              <w:spacing w:after="0"/>
              <w:rPr>
                <w:sz w:val="1"/>
                <w:szCs w:val="1"/>
                <w:color w:val="auto"/>
              </w:rPr>
            </w:pPr>
          </w:p>
        </w:tc>
      </w:tr>
    </w:tbl>
    <w:p>
      <w:pPr>
        <w:spacing w:after="0"/>
        <w:tabs>
          <w:tab w:leader="none" w:pos="3680" w:val="left"/>
        </w:tabs>
        <w:rPr>
          <w:sz w:val="20"/>
          <w:szCs w:val="20"/>
          <w:color w:val="auto"/>
        </w:rPr>
      </w:pPr>
      <w:r>
        <w:rPr>
          <w:rFonts w:ascii="Courier New" w:cs="Courier New" w:eastAsia="Courier New" w:hAnsi="Courier New"/>
          <w:sz w:val="18"/>
          <w:szCs w:val="18"/>
          <w:color w:val="auto"/>
        </w:rPr>
        <w:t>Fidelity Management Trust Company</w:t>
      </w:r>
      <w:r>
        <w:rPr>
          <w:sz w:val="20"/>
          <w:szCs w:val="20"/>
          <w:color w:val="auto"/>
        </w:rPr>
        <w:tab/>
      </w:r>
      <w:r>
        <w:rPr>
          <w:rFonts w:ascii="Courier New" w:cs="Courier New" w:eastAsia="Courier New" w:hAnsi="Courier New"/>
          <w:sz w:val="16"/>
          <w:szCs w:val="16"/>
          <w:color w:val="auto"/>
        </w:rPr>
        <w:t>BK</w:t>
      </w:r>
    </w:p>
    <w:p>
      <w:pPr>
        <w:spacing w:after="0" w:line="238" w:lineRule="auto"/>
        <w:tabs>
          <w:tab w:leader="none" w:pos="4200" w:val="left"/>
        </w:tabs>
        <w:rPr>
          <w:sz w:val="20"/>
          <w:szCs w:val="20"/>
          <w:color w:val="auto"/>
        </w:rPr>
      </w:pPr>
      <w:r>
        <w:rPr>
          <w:rFonts w:ascii="Courier New" w:cs="Courier New" w:eastAsia="Courier New" w:hAnsi="Courier New"/>
          <w:sz w:val="18"/>
          <w:szCs w:val="18"/>
          <w:color w:val="auto"/>
        </w:rPr>
        <w:t>FMR Investment Management (UK) Limited</w:t>
        <w:tab/>
        <w:t>FI</w:t>
      </w:r>
    </w:p>
    <w:p>
      <w:pPr>
        <w:spacing w:after="0" w:line="1" w:lineRule="exact"/>
        <w:rPr>
          <w:sz w:val="20"/>
          <w:szCs w:val="20"/>
          <w:color w:val="auto"/>
        </w:rPr>
      </w:pPr>
    </w:p>
    <w:p>
      <w:pPr>
        <w:spacing w:after="0"/>
        <w:tabs>
          <w:tab w:leader="none" w:pos="2520" w:val="left"/>
        </w:tabs>
        <w:rPr>
          <w:sz w:val="20"/>
          <w:szCs w:val="20"/>
          <w:color w:val="auto"/>
        </w:rPr>
      </w:pPr>
      <w:r>
        <w:rPr>
          <w:rFonts w:ascii="Courier New" w:cs="Courier New" w:eastAsia="Courier New" w:hAnsi="Courier New"/>
          <w:sz w:val="18"/>
          <w:szCs w:val="18"/>
          <w:color w:val="auto"/>
        </w:rPr>
        <w:t>Strategic Advisers LLC</w:t>
      </w:r>
      <w:r>
        <w:rPr>
          <w:sz w:val="20"/>
          <w:szCs w:val="20"/>
          <w:color w:val="auto"/>
        </w:rPr>
        <w:tab/>
      </w:r>
      <w:r>
        <w:rPr>
          <w:rFonts w:ascii="Courier New" w:cs="Courier New" w:eastAsia="Courier New" w:hAnsi="Courier New"/>
          <w:sz w:val="16"/>
          <w:szCs w:val="16"/>
          <w:color w:val="auto"/>
        </w:rPr>
        <w:t>IA</w:t>
      </w:r>
    </w:p>
    <w:p>
      <w:pPr>
        <w:spacing w:after="0" w:line="200" w:lineRule="exact"/>
        <w:rPr>
          <w:sz w:val="20"/>
          <w:szCs w:val="20"/>
          <w:color w:val="auto"/>
        </w:rPr>
      </w:pPr>
    </w:p>
    <w:p>
      <w:pPr>
        <w:spacing w:after="0" w:line="374" w:lineRule="exact"/>
        <w:rPr>
          <w:sz w:val="20"/>
          <w:szCs w:val="20"/>
          <w:color w:val="auto"/>
        </w:rPr>
      </w:pPr>
    </w:p>
    <w:p>
      <w:pPr>
        <w:ind w:right="2439" w:firstLine="8"/>
        <w:spacing w:after="0" w:line="346" w:lineRule="auto"/>
        <w:tabs>
          <w:tab w:leader="none" w:pos="211"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Entity beneficially owns 5% or greater of the outstanding shares of the security class being reported on this Schedule 13G.</w:t>
      </w:r>
    </w:p>
    <w:p>
      <w:pPr>
        <w:spacing w:after="0" w:line="222" w:lineRule="exact"/>
        <w:rPr>
          <w:sz w:val="20"/>
          <w:szCs w:val="20"/>
          <w:color w:val="auto"/>
        </w:rPr>
      </w:pPr>
    </w:p>
    <w:p>
      <w:pPr>
        <w:ind w:right="1919"/>
        <w:spacing w:after="0" w:line="346" w:lineRule="auto"/>
        <w:rPr>
          <w:sz w:val="20"/>
          <w:szCs w:val="20"/>
          <w:color w:val="auto"/>
        </w:rPr>
      </w:pPr>
      <w:r>
        <w:rPr>
          <w:rFonts w:ascii="Courier New" w:cs="Courier New" w:eastAsia="Courier New" w:hAnsi="Courier New"/>
          <w:sz w:val="18"/>
          <w:szCs w:val="18"/>
          <w:color w:val="auto"/>
        </w:rPr>
        <w:t>Abigail P. Johnson is a Director, the Chairman and the Chief Executive Officer of FMR LLC.</w:t>
      </w:r>
    </w:p>
    <w:p>
      <w:pPr>
        <w:spacing w:after="0" w:line="20" w:lineRule="exact"/>
        <w:rPr>
          <w:sz w:val="20"/>
          <w:szCs w:val="20"/>
          <w:color w:val="auto"/>
        </w:rPr>
      </w:pPr>
    </w:p>
    <w:p>
      <w:pPr>
        <w:ind w:right="1919"/>
        <w:spacing w:after="0" w:line="250" w:lineRule="auto"/>
        <w:rPr>
          <w:sz w:val="20"/>
          <w:szCs w:val="20"/>
          <w:color w:val="auto"/>
        </w:rPr>
      </w:pPr>
      <w:r>
        <w:rPr>
          <w:rFonts w:ascii="Courier New" w:cs="Courier New" w:eastAsia="Courier New" w:hAnsi="Courier New"/>
          <w:sz w:val="18"/>
          <w:szCs w:val="18"/>
          <w:color w:val="auto"/>
        </w:rPr>
        <w:t>Members of the Johnson family, including Abigail P. Johnson, are the predominant owners, directly or through trusts, of Series B voting common shares of FMR LLC, representing 49% of the voting power of FMR LLC. The Johnson family group and all other Series B shareholders have entered into a shareholders' voting agreement under which all Series B voting common shares will be voted in accordance with the majority vote of Series B voting common shares. Accordingly, through their ownership of voting common shares and the execution of the shareholders' voting agreement, members of the Johnson family may be deemed, under the Investment Company Act of 1940, to form a controlling group with respect to FMR LLC.</w:t>
      </w:r>
    </w:p>
    <w:p>
      <w:pPr>
        <w:spacing w:after="0" w:line="103" w:lineRule="exact"/>
        <w:rPr>
          <w:sz w:val="20"/>
          <w:szCs w:val="20"/>
          <w:color w:val="auto"/>
        </w:rPr>
      </w:pPr>
    </w:p>
    <w:p>
      <w:pPr>
        <w:ind w:right="1919"/>
        <w:spacing w:after="0" w:line="256" w:lineRule="auto"/>
        <w:rPr>
          <w:sz w:val="20"/>
          <w:szCs w:val="20"/>
          <w:color w:val="auto"/>
        </w:rPr>
      </w:pPr>
      <w:r>
        <w:rPr>
          <w:rFonts w:ascii="Courier New" w:cs="Courier New" w:eastAsia="Courier New" w:hAnsi="Courier New"/>
          <w:sz w:val="18"/>
          <w:szCs w:val="18"/>
          <w:color w:val="auto"/>
        </w:rPr>
        <w:t>This filing reflects the securities beneficially owned, or that may be deemed to be beneficially owned, by FMR LLC, certain of its subsidiaries and affiliates, and other companies (collectively, the "FMR Reporters"). This filing does not reflect securities, if any, beneficially owned by certain other companies whose beneficial ownership of securities is disaggregated from that of the FMR Reporters in accordance with Securities and Exchange Commission Release No. 34-39538 (January 12, 1998).</w:t>
      </w:r>
    </w:p>
    <w:p>
      <w:pPr>
        <w:spacing w:after="0" w:line="30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RULE 13d-1(k)(1) AGREEMENT</w:t>
      </w:r>
    </w:p>
    <w:p>
      <w:pPr>
        <w:spacing w:after="0" w:line="201" w:lineRule="exact"/>
        <w:rPr>
          <w:sz w:val="20"/>
          <w:szCs w:val="20"/>
          <w:color w:val="auto"/>
        </w:rPr>
      </w:pPr>
    </w:p>
    <w:p>
      <w:pPr>
        <w:ind w:right="2559"/>
        <w:spacing w:after="0" w:line="344" w:lineRule="auto"/>
        <w:rPr>
          <w:sz w:val="20"/>
          <w:szCs w:val="20"/>
          <w:color w:val="auto"/>
        </w:rPr>
      </w:pPr>
      <w:r>
        <w:rPr>
          <w:rFonts w:ascii="Courier New" w:cs="Courier New" w:eastAsia="Courier New" w:hAnsi="Courier New"/>
          <w:sz w:val="16"/>
          <w:szCs w:val="16"/>
          <w:color w:val="auto"/>
        </w:rPr>
        <w:t>The undersigned persons, on June 4, 2026, agree and consent to the joint filing on their behalf of this Schedule 13G in connection with their beneficial ownership of the COMMON STOCK of BIOGEN INC at May 29, 2026.</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FMR LLC</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 /s/ Stephanie J. Brown</w:t>
      </w:r>
    </w:p>
    <w:p>
      <w:pPr>
        <w:spacing w:after="0" w:line="2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Stephanie J. Brown</w:t>
      </w:r>
    </w:p>
    <w:p>
      <w:pPr>
        <w:ind w:right="2239"/>
        <w:spacing w:after="0" w:line="309" w:lineRule="auto"/>
        <w:rPr>
          <w:sz w:val="20"/>
          <w:szCs w:val="20"/>
          <w:color w:val="auto"/>
        </w:rPr>
      </w:pPr>
      <w:r>
        <w:rPr>
          <w:rFonts w:ascii="Courier New" w:cs="Courier New" w:eastAsia="Courier New" w:hAnsi="Courier New"/>
          <w:sz w:val="18"/>
          <w:szCs w:val="18"/>
          <w:color w:val="auto"/>
        </w:rPr>
        <w:t>Duly authorized under Power of Attorney effective as of January 3, 2023, by and on behalf of FMR LLC and its direct and indirect subsidiaries*</w:t>
      </w:r>
    </w:p>
    <w:p>
      <w:pPr>
        <w:spacing w:after="0" w:line="5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Abigail P. Johnson</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 /s/ Stephanie J. Brown</w:t>
      </w:r>
    </w:p>
    <w:p>
      <w:pPr>
        <w:spacing w:after="0" w:line="2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Stephanie J. Brown</w:t>
      </w:r>
    </w:p>
    <w:p>
      <w:pPr>
        <w:ind w:right="2119"/>
        <w:spacing w:after="0" w:line="309" w:lineRule="auto"/>
        <w:rPr>
          <w:sz w:val="20"/>
          <w:szCs w:val="20"/>
          <w:color w:val="auto"/>
        </w:rPr>
      </w:pPr>
      <w:r>
        <w:rPr>
          <w:rFonts w:ascii="Courier New" w:cs="Courier New" w:eastAsia="Courier New" w:hAnsi="Courier New"/>
          <w:sz w:val="18"/>
          <w:szCs w:val="18"/>
          <w:color w:val="auto"/>
        </w:rPr>
        <w:t>Duly authorized under Power of Attorney effective as of January 26, 2023, by and on behalf of Abigail P. Johnson**</w:t>
      </w:r>
    </w:p>
    <w:p>
      <w:pPr>
        <w:spacing w:after="0" w:line="253" w:lineRule="exact"/>
        <w:rPr>
          <w:sz w:val="20"/>
          <w:szCs w:val="20"/>
          <w:color w:val="auto"/>
        </w:rPr>
      </w:pPr>
    </w:p>
    <w:p>
      <w:pPr>
        <w:ind w:right="2019" w:firstLine="8"/>
        <w:spacing w:after="0" w:line="292" w:lineRule="auto"/>
        <w:tabs>
          <w:tab w:leader="none" w:pos="211"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This power of attorney is incorporated herein by reference to Exhibit 24 to the Schedule 13G filed by FMR LLC on January 10, 2023, accession number: 0000315066-23-000003.</w:t>
      </w:r>
    </w:p>
    <w:p>
      <w:pPr>
        <w:spacing w:after="0" w:line="66" w:lineRule="exact"/>
        <w:rPr>
          <w:sz w:val="20"/>
          <w:szCs w:val="20"/>
          <w:color w:val="auto"/>
        </w:rPr>
      </w:pPr>
    </w:p>
    <w:p>
      <w:pPr>
        <w:ind w:right="1919" w:firstLine="8"/>
        <w:spacing w:after="0" w:line="292" w:lineRule="auto"/>
        <w:tabs>
          <w:tab w:leader="none" w:pos="316"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This power of attorney is incorporated herein by reference to Exhibit 24 to the Schedule 13G filed by FMR LLC on January 31, 2023, accession number: 0000315066-23-000038.</w:t>
      </w:r>
    </w:p>
    <w:sectPr>
      <w:pgSz w:w="11900" w:h="16838" w:orient="portrait"/>
      <w:cols w:equalWidth="0" w:num="1">
        <w:col w:w="10139"/>
      </w:cols>
      <w:pgMar w:left="320" w:top="110" w:right="1440" w:bottom="839"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46E87CCD"/>
    <w:multiLevelType w:val="hybridMultilevel"/>
    <w:lvl w:ilvl="0">
      <w:lvlJc w:val="left"/>
      <w:lvlText w:val="2"/>
      <w:numFmt w:val="bullet"/>
      <w:start w:val="1"/>
    </w:lvl>
  </w:abstractNum>
  <w:abstractNum w:abstractNumId="1">
    <w:nsid w:val="3D1B58BA"/>
    <w:multiLevelType w:val="hybridMultilevel"/>
    <w:lvl w:ilvl="0">
      <w:lvlJc w:val="left"/>
      <w:lvlText w:val="3"/>
      <w:numFmt w:val="bullet"/>
      <w:start w:val="1"/>
    </w:lvl>
  </w:abstractNum>
  <w:abstractNum w:abstractNumId="2">
    <w:nsid w:val="507ED7AB"/>
    <w:multiLevelType w:val="hybridMultilevel"/>
    <w:lvl w:ilvl="0">
      <w:lvlJc w:val="left"/>
      <w:lvlText w:val="5"/>
      <w:numFmt w:val="bullet"/>
      <w:start w:val="1"/>
    </w:lvl>
  </w:abstractNum>
  <w:abstractNum w:abstractNumId="3">
    <w:nsid w:val="2EB141F2"/>
    <w:multiLevelType w:val="hybridMultilevel"/>
    <w:lvl w:ilvl="0">
      <w:lvlJc w:val="left"/>
      <w:lvlText w:val="%1"/>
      <w:numFmt w:val="decimal"/>
      <w:start w:val="11"/>
    </w:lvl>
  </w:abstractNum>
  <w:abstractNum w:abstractNumId="4">
    <w:nsid w:val="41B71EFB"/>
    <w:multiLevelType w:val="hybridMultilevel"/>
    <w:lvl w:ilvl="0">
      <w:lvlJc w:val="left"/>
      <w:lvlText w:val="(%1)"/>
      <w:numFmt w:val="lowerLetter"/>
      <w:start w:val="3"/>
    </w:lvl>
  </w:abstractNum>
  <w:abstractNum w:abstractNumId="5">
    <w:nsid w:val="79E2A9E3"/>
    <w:multiLevelType w:val="hybridMultilevel"/>
    <w:lvl w:ilvl="0">
      <w:lvlJc w:val="left"/>
      <w:lvlText w:val="(%1)"/>
      <w:numFmt w:val="lowerRoman"/>
      <w:start w:val="2"/>
    </w:lvl>
  </w:abstractNum>
  <w:abstractNum w:abstractNumId="6">
    <w:nsid w:val="7545E146"/>
    <w:multiLevelType w:val="hybridMultilevel"/>
    <w:lvl w:ilvl="0">
      <w:lvlJc w:val="left"/>
      <w:lvlText w:val="*"/>
      <w:numFmt w:val="bullet"/>
      <w:start w:val="1"/>
    </w:lvl>
  </w:abstractNum>
  <w:abstractNum w:abstractNumId="7">
    <w:nsid w:val="515F007C"/>
    <w:multiLevelType w:val="hybridMultilevel"/>
    <w:lvl w:ilvl="0">
      <w:lvlJc w:val="left"/>
      <w:lvlText w:val="*"/>
      <w:numFmt w:val="bullet"/>
      <w:start w:val="1"/>
    </w:lvl>
  </w:abstractNum>
  <w:abstractNum w:abstractNumId="8">
    <w:nsid w:val="5BD062C2"/>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jpeg"/><Relationship Id="rId27" Type="http://schemas.openxmlformats.org/officeDocument/2006/relationships/image" Target="media/image20.jpeg"/><Relationship Id="rId28" Type="http://schemas.openxmlformats.org/officeDocument/2006/relationships/image" Target="media/image21.jpeg"/><Relationship Id="rId29" Type="http://schemas.openxmlformats.org/officeDocument/2006/relationships/image" Target="media/image22.jpeg"/><Relationship Id="rId30" Type="http://schemas.openxmlformats.org/officeDocument/2006/relationships/image" Target="media/image23.jpeg"/><Relationship Id="rId31" Type="http://schemas.openxmlformats.org/officeDocument/2006/relationships/image" Target="media/image24.jpeg"/><Relationship Id="rId32" Type="http://schemas.openxmlformats.org/officeDocument/2006/relationships/image" Target="media/image25.jpeg"/><Relationship Id="rId33" Type="http://schemas.openxmlformats.org/officeDocument/2006/relationships/image" Target="media/image26.jpeg"/><Relationship Id="rId34" Type="http://schemas.openxmlformats.org/officeDocument/2006/relationships/image" Target="media/image27.jpeg"/><Relationship Id="rId35" Type="http://schemas.openxmlformats.org/officeDocument/2006/relationships/image" Target="media/image28.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2026-06-05T09:14:36Z</dcterms:created>
  <dcterms:modified xsi:type="dcterms:W3CDTF">2026-06-05T09:14:36Z</dcterms:modified>
</cp:coreProperties>
</file>