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440055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26"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3"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12"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97155</wp:posOffset>
            </wp:positionV>
            <wp:extent cx="78867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25717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BIOGEN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20"/>
          </w:cols>
          <w:pgMar w:left="320" w:top="784" w:right="359" w:bottom="1440" w:gutter="0" w:footer="0" w:header="0"/>
        </w:sectPr>
      </w:pPr>
    </w:p>
    <w:p>
      <w:pPr>
        <w:spacing w:after="0" w:line="122"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49" w:lineRule="exact"/>
        <w:rPr>
          <w:sz w:val="24"/>
          <w:szCs w:val="24"/>
          <w:color w:val="auto"/>
        </w:rPr>
      </w:pPr>
    </w:p>
    <w:p>
      <w:pPr>
        <w:sectPr>
          <w:pgSz w:w="11900" w:h="16838" w:orient="portrait"/>
          <w:cols w:equalWidth="0" w:num="2">
            <w:col w:w="7380" w:space="720"/>
            <w:col w:w="3120"/>
          </w:cols>
          <w:pgMar w:left="320" w:top="784" w:right="359" w:bottom="1440" w:gutter="0" w:footer="0" w:header="0"/>
          <w:type w:val="continuous"/>
        </w:sectPr>
      </w:pPr>
    </w:p>
    <w:p>
      <w:pPr>
        <w:ind w:left="1860"/>
        <w:spacing w:after="0"/>
        <w:rPr>
          <w:sz w:val="20"/>
          <w:szCs w:val="20"/>
          <w:color w:val="auto"/>
        </w:rPr>
      </w:pPr>
      <w:r>
        <w:rPr>
          <w:rFonts w:ascii="Arial" w:cs="Arial" w:eastAsia="Arial" w:hAnsi="Arial"/>
          <w:sz w:val="14"/>
          <w:szCs w:val="14"/>
          <w:i w:val="1"/>
          <w:iCs w:val="1"/>
          <w:color w:val="auto"/>
        </w:rPr>
        <w:t>(State or other jurisdiction of</w:t>
      </w:r>
    </w:p>
    <w:p>
      <w:pPr>
        <w:ind w:left="1820"/>
        <w:spacing w:after="0"/>
        <w:rPr>
          <w:sz w:val="20"/>
          <w:szCs w:val="20"/>
          <w:color w:val="auto"/>
        </w:rPr>
      </w:pPr>
      <w:r>
        <w:rPr>
          <w:rFonts w:ascii="Arial" w:cs="Arial" w:eastAsia="Arial" w:hAnsi="Arial"/>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4"/>
          <w:szCs w:val="14"/>
          <w:i w:val="1"/>
          <w:iCs w:val="1"/>
          <w:color w:val="auto"/>
        </w:rPr>
        <w:t>Identification No.)</w:t>
      </w:r>
    </w:p>
    <w:p>
      <w:pPr>
        <w:spacing w:after="0" w:line="95" w:lineRule="exact"/>
        <w:rPr>
          <w:sz w:val="24"/>
          <w:szCs w:val="24"/>
          <w:color w:val="auto"/>
        </w:rPr>
      </w:pPr>
    </w:p>
    <w:p>
      <w:pPr>
        <w:sectPr>
          <w:pgSz w:w="11900" w:h="16838" w:orient="portrait"/>
          <w:cols w:equalWidth="0" w:num="2">
            <w:col w:w="7300" w:space="720"/>
            <w:col w:w="3200"/>
          </w:cols>
          <w:pgMar w:left="320" w:top="784"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225 Binney Street, Cambridge, MA 02142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679-2000</w:t>
      </w:r>
    </w:p>
    <w:p>
      <w:pPr>
        <w:sectPr>
          <w:pgSz w:w="11900" w:h="16838" w:orient="portrait"/>
          <w:cols w:equalWidth="0" w:num="1">
            <w:col w:w="11220"/>
          </w:cols>
          <w:pgMar w:left="320" w:top="784" w:right="359" w:bottom="1440" w:gutter="0" w:footer="0" w:header="0"/>
          <w:type w:val="continuous"/>
        </w:sectPr>
      </w:pP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including zip code, and telephone number, including</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area code, of registrant’s principal executive offices)</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784" w:right="359" w:bottom="1440" w:gutter="0" w:footer="0" w:header="0"/>
          <w:type w:val="continuous"/>
        </w:sectPr>
      </w:pPr>
    </w:p>
    <w:p>
      <w:pPr>
        <w:spacing w:after="0" w:line="252" w:lineRule="exact"/>
        <w:rPr>
          <w:sz w:val="24"/>
          <w:szCs w:val="24"/>
          <w:color w:val="auto"/>
        </w:rPr>
      </w:pPr>
    </w:p>
    <w:p>
      <w:pPr>
        <w:ind w:left="1320"/>
        <w:spacing w:after="0"/>
        <w:rPr>
          <w:sz w:val="20"/>
          <w:szCs w:val="20"/>
          <w:color w:val="auto"/>
        </w:rPr>
      </w:pPr>
      <w:r>
        <w:rPr>
          <w:rFonts w:ascii="Arial" w:cs="Arial" w:eastAsia="Arial" w:hAnsi="Arial"/>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Name of each exchange on which registered</w:t>
      </w:r>
    </w:p>
    <w:p>
      <w:pPr>
        <w:spacing w:after="0" w:line="33" w:lineRule="exact"/>
        <w:rPr>
          <w:sz w:val="24"/>
          <w:szCs w:val="24"/>
          <w:color w:val="auto"/>
        </w:rPr>
      </w:pPr>
    </w:p>
    <w:p>
      <w:pPr>
        <w:sectPr>
          <w:pgSz w:w="11900" w:h="16838" w:orient="portrait"/>
          <w:cols w:equalWidth="0" w:num="3">
            <w:col w:w="3680" w:space="720"/>
            <w:col w:w="1800" w:space="720"/>
            <w:col w:w="4300"/>
          </w:cols>
          <w:pgMar w:left="320" w:top="784" w:right="359" w:bottom="144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Common Stock, $0.0005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BIIB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Global Select Market</w:t>
      </w:r>
    </w:p>
    <w:p>
      <w:pPr>
        <w:spacing w:after="0" w:line="129" w:lineRule="exact"/>
        <w:rPr>
          <w:sz w:val="24"/>
          <w:szCs w:val="24"/>
          <w:color w:val="auto"/>
        </w:rPr>
      </w:pPr>
    </w:p>
    <w:p>
      <w:pPr>
        <w:sectPr>
          <w:pgSz w:w="11900" w:h="16838" w:orient="portrait"/>
          <w:cols w:equalWidth="0" w:num="3">
            <w:col w:w="4240" w:space="720"/>
            <w:col w:w="1600" w:space="720"/>
            <w:col w:w="3940"/>
          </w:cols>
          <w:pgMar w:left="320" w:top="784" w:right="359" w:bottom="1440" w:gutter="0" w:footer="0" w:header="0"/>
          <w:type w:val="continuous"/>
        </w:sectPr>
      </w:pPr>
    </w:p>
    <w:p>
      <w:pPr>
        <w:ind w:right="240" w:firstLine="446"/>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4"/>
          <w:szCs w:val="24"/>
          <w:color w:val="auto"/>
        </w:rPr>
      </w:pPr>
    </w:p>
    <w:p>
      <w:pPr>
        <w:ind w:firstLine="446"/>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6" w:lineRule="exact"/>
        <w:rPr>
          <w:sz w:val="24"/>
          <w:szCs w:val="24"/>
          <w:color w:val="auto"/>
        </w:rPr>
      </w:pPr>
    </w:p>
    <w:p>
      <w:pPr>
        <w:ind w:right="420" w:firstLine="44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400"/>
              <w:spacing w:after="0"/>
              <w:rPr>
                <w:sz w:val="20"/>
                <w:szCs w:val="20"/>
                <w:color w:val="auto"/>
              </w:rPr>
            </w:pPr>
            <w:r>
              <w:rPr>
                <w:rFonts w:ascii="Arial" w:cs="Arial" w:eastAsia="Arial" w:hAnsi="Arial"/>
                <w:sz w:val="18"/>
                <w:szCs w:val="18"/>
                <w:color w:val="auto"/>
              </w:rPr>
              <w:t>x</w:t>
            </w:r>
          </w:p>
        </w:tc>
        <w:tc>
          <w:tcPr>
            <w:tcW w:w="5180" w:type="dxa"/>
            <w:vAlign w:val="bottom"/>
          </w:tcPr>
          <w:p>
            <w:pPr>
              <w:jc w:val="right"/>
              <w:ind w:right="10"/>
              <w:spacing w:after="0"/>
              <w:rPr>
                <w:sz w:val="20"/>
                <w:szCs w:val="20"/>
                <w:color w:val="auto"/>
              </w:rPr>
            </w:pPr>
            <w:r>
              <w:rPr>
                <w:rFonts w:ascii="Arial" w:cs="Arial" w:eastAsia="Arial" w:hAnsi="Arial"/>
                <w:sz w:val="18"/>
                <w:szCs w:val="18"/>
                <w:color w:val="auto"/>
              </w:rPr>
              <w:t>Accelerated filer</w:t>
            </w:r>
          </w:p>
        </w:tc>
        <w:tc>
          <w:tcPr>
            <w:tcW w:w="28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5180" w:type="dxa"/>
            <w:vAlign w:val="bottom"/>
          </w:tcPr>
          <w:p>
            <w:pPr>
              <w:jc w:val="right"/>
              <w:ind w:right="1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180" w:type="dxa"/>
            <w:vAlign w:val="bottom"/>
          </w:tcPr>
          <w:p>
            <w:pPr>
              <w:jc w:val="right"/>
              <w:ind w:right="10"/>
              <w:spacing w:after="0"/>
              <w:rPr>
                <w:sz w:val="20"/>
                <w:szCs w:val="20"/>
                <w:color w:val="auto"/>
              </w:rPr>
            </w:pPr>
            <w:r>
              <w:rPr>
                <w:rFonts w:ascii="Arial" w:cs="Arial" w:eastAsia="Arial" w:hAnsi="Arial"/>
                <w:sz w:val="18"/>
                <w:szCs w:val="18"/>
                <w:color w:val="auto"/>
              </w:rPr>
              <w:t>Emerging growth company</w:t>
            </w:r>
          </w:p>
        </w:tc>
        <w:tc>
          <w:tcPr>
            <w:tcW w:w="28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57" w:lineRule="exact"/>
        <w:rPr>
          <w:sz w:val="24"/>
          <w:szCs w:val="24"/>
          <w:color w:val="auto"/>
        </w:rPr>
      </w:pPr>
    </w:p>
    <w:p>
      <w:pPr>
        <w:ind w:right="600" w:firstLine="446"/>
        <w:spacing w:after="0" w:line="27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 w:lineRule="exact"/>
        <w:rPr>
          <w:sz w:val="24"/>
          <w:szCs w:val="24"/>
          <w:color w:val="auto"/>
        </w:rPr>
      </w:pPr>
    </w:p>
    <w:p>
      <w:pPr>
        <w:ind w:left="460" w:right="32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x The number of shares of the issuer’s Common Stock, $0.0005 par value, outstanding as of July 24, 2023, was 144,823,335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234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78196"/>
        </w:rPr>
        <w:t>BIOGEN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78196"/>
        </w:rPr>
        <w:t>FORM 10-Q — Quarterly Report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78196"/>
        </w:rPr>
        <w:t>For the Quarterly Period Ended June 30, 2023</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70C0"/>
        </w:rPr>
        <w:t>TABLE OF CONTENTS</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Page</w:t>
            </w:r>
          </w:p>
        </w:tc>
      </w:tr>
      <w:tr>
        <w:trPr>
          <w:trHeight w:val="169"/>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40" w:type="dxa"/>
            <w:vAlign w:val="bottom"/>
            <w:gridSpan w:val="11"/>
          </w:tcPr>
          <w:p>
            <w:pPr>
              <w:ind w:left="740"/>
              <w:spacing w:after="0" w:line="169" w:lineRule="exact"/>
              <w:rPr>
                <w:sz w:val="20"/>
                <w:szCs w:val="20"/>
                <w:color w:val="auto"/>
              </w:rPr>
            </w:pPr>
            <w:r>
              <w:rPr>
                <w:rFonts w:ascii="Arial" w:cs="Arial" w:eastAsia="Arial" w:hAnsi="Arial"/>
                <w:sz w:val="16"/>
                <w:szCs w:val="16"/>
                <w:b w:val="1"/>
                <w:bCs w:val="1"/>
                <w:color w:val="auto"/>
              </w:rPr>
              <w:t xml:space="preserve">PART I — </w:t>
            </w:r>
            <w:r>
              <w:rPr>
                <w:rFonts w:ascii="Arial" w:cs="Arial" w:eastAsia="Arial" w:hAnsi="Arial"/>
                <w:sz w:val="16"/>
                <w:szCs w:val="16"/>
                <w:b w:val="1"/>
                <w:bCs w:val="1"/>
                <w:color w:val="0000FF"/>
              </w:rPr>
              <w:t>FINANCIAL INFORMATION</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6"/>
                <w:szCs w:val="16"/>
                <w:color w:val="auto"/>
              </w:rPr>
              <w:t>Item 1.</w:t>
            </w:r>
          </w:p>
        </w:tc>
        <w:tc>
          <w:tcPr>
            <w:tcW w:w="23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Financial Statements (unaudited)</w:t>
            </w:r>
          </w:p>
        </w:tc>
        <w:tc>
          <w:tcPr>
            <w:tcW w:w="1520" w:type="dxa"/>
            <w:vAlign w:val="bottom"/>
          </w:tcPr>
          <w:p>
            <w:pPr>
              <w:spacing w:after="0"/>
              <w:rPr>
                <w:sz w:val="21"/>
                <w:szCs w:val="21"/>
                <w:color w:val="auto"/>
              </w:rPr>
            </w:pPr>
          </w:p>
        </w:tc>
        <w:tc>
          <w:tcPr>
            <w:tcW w:w="2040" w:type="dxa"/>
            <w:vAlign w:val="bottom"/>
            <w:tcBorders>
              <w:top w:val="single" w:sz="8" w:color="0000FF"/>
            </w:tcBorders>
            <w:gridSpan w:val="3"/>
          </w:tcPr>
          <w:p>
            <w:pPr>
              <w:spacing w:after="0"/>
              <w:rPr>
                <w:sz w:val="21"/>
                <w:szCs w:val="21"/>
                <w:color w:val="auto"/>
              </w:rPr>
            </w:pPr>
          </w:p>
        </w:tc>
        <w:tc>
          <w:tcPr>
            <w:tcW w:w="308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8140" w:type="dxa"/>
            <w:vAlign w:val="bottom"/>
            <w:gridSpan w:val="12"/>
          </w:tcPr>
          <w:p>
            <w:pPr>
              <w:spacing w:after="0"/>
              <w:rPr>
                <w:sz w:val="20"/>
                <w:szCs w:val="20"/>
                <w:color w:val="auto"/>
              </w:rPr>
            </w:pPr>
            <w:r>
              <w:rPr>
                <w:rFonts w:ascii="Arial" w:cs="Arial" w:eastAsia="Arial" w:hAnsi="Arial"/>
                <w:sz w:val="16"/>
                <w:szCs w:val="16"/>
                <w:color w:val="0000FF"/>
              </w:rPr>
              <w:t>Condensed Consolidated Statements of Income — For the Three and Six Months Ended June 30, 2023 and 2022</w:t>
            </w:r>
          </w:p>
        </w:tc>
        <w:tc>
          <w:tcPr>
            <w:tcW w:w="880" w:type="dxa"/>
            <w:vAlign w:val="bottom"/>
            <w:gridSpan w:val="2"/>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902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Comprehensive Income — For the Three and Six Months Ended June 30, 2023 and</w:t>
            </w:r>
          </w:p>
        </w:tc>
        <w:tc>
          <w:tcPr>
            <w:tcW w:w="110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21"/>
                <w:szCs w:val="21"/>
                <w:color w:val="auto"/>
              </w:rPr>
            </w:pPr>
          </w:p>
        </w:tc>
      </w:tr>
      <w:tr>
        <w:trPr>
          <w:trHeight w:val="142"/>
        </w:trPr>
        <w:tc>
          <w:tcPr>
            <w:tcW w:w="106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5"/>
              </w:rPr>
              <w:t>2022</w:t>
            </w:r>
          </w:p>
        </w:tc>
        <w:tc>
          <w:tcPr>
            <w:tcW w:w="14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060" w:type="dxa"/>
            <w:vAlign w:val="bottom"/>
          </w:tcPr>
          <w:p>
            <w:pPr>
              <w:spacing w:after="0"/>
              <w:rPr>
                <w:sz w:val="21"/>
                <w:szCs w:val="21"/>
                <w:color w:val="auto"/>
              </w:rPr>
            </w:pPr>
          </w:p>
        </w:tc>
        <w:tc>
          <w:tcPr>
            <w:tcW w:w="9020" w:type="dxa"/>
            <w:vAlign w:val="bottom"/>
            <w:gridSpan w:val="14"/>
          </w:tcPr>
          <w:p>
            <w:pPr>
              <w:spacing w:after="0"/>
              <w:rPr>
                <w:sz w:val="20"/>
                <w:szCs w:val="20"/>
                <w:color w:val="auto"/>
              </w:rPr>
            </w:pPr>
            <w:r>
              <w:rPr>
                <w:rFonts w:ascii="Arial" w:cs="Arial" w:eastAsia="Arial" w:hAnsi="Arial"/>
                <w:sz w:val="16"/>
                <w:szCs w:val="16"/>
                <w:color w:val="0000FF"/>
              </w:rPr>
              <w:t>Condensed Consolidated Balance Sheets — As of June 30, 2023 and December 31, 2022</w:t>
            </w:r>
          </w:p>
        </w:tc>
        <w:tc>
          <w:tcPr>
            <w:tcW w:w="110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76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Condensed Consolidated Statements of Cash Flow — For the Six Months Ended June 30, 2023 and 2022</w:t>
            </w:r>
          </w:p>
        </w:tc>
        <w:tc>
          <w:tcPr>
            <w:tcW w:w="1420" w:type="dxa"/>
            <w:vAlign w:val="bottom"/>
            <w:gridSpan w:val="4"/>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8060" w:type="dxa"/>
            <w:vAlign w:val="bottom"/>
            <w:gridSpan w:val="11"/>
          </w:tcPr>
          <w:p>
            <w:pPr>
              <w:spacing w:after="0"/>
              <w:rPr>
                <w:sz w:val="20"/>
                <w:szCs w:val="20"/>
                <w:color w:val="auto"/>
              </w:rPr>
            </w:pPr>
            <w:r>
              <w:rPr>
                <w:rFonts w:ascii="Arial" w:cs="Arial" w:eastAsia="Arial" w:hAnsi="Arial"/>
                <w:sz w:val="16"/>
                <w:szCs w:val="16"/>
                <w:color w:val="0000FF"/>
              </w:rPr>
              <w:t>Condensed Consolidated Statements of Equity — For the Three and Six Months Ended June 30, 2023 and 2022</w:t>
            </w:r>
          </w:p>
        </w:tc>
        <w:tc>
          <w:tcPr>
            <w:tcW w:w="960" w:type="dxa"/>
            <w:vAlign w:val="bottom"/>
            <w:gridSpan w:val="3"/>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8060" w:type="dxa"/>
            <w:vAlign w:val="bottom"/>
            <w:gridSpan w:val="11"/>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960" w:type="dxa"/>
            <w:vAlign w:val="bottom"/>
            <w:gridSpan w:val="3"/>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color w:val="0000FF"/>
              </w:rPr>
              <w:t>15</w:t>
            </w:r>
          </w:p>
        </w:tc>
        <w:tc>
          <w:tcPr>
            <w:tcW w:w="2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6"/>
                <w:szCs w:val="16"/>
                <w:color w:val="auto"/>
              </w:rPr>
              <w:t>Item 2.</w:t>
            </w:r>
          </w:p>
        </w:tc>
        <w:tc>
          <w:tcPr>
            <w:tcW w:w="9020" w:type="dxa"/>
            <w:vAlign w:val="bottom"/>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100" w:type="dxa"/>
            <w:vAlign w:val="bottom"/>
            <w:gridSpan w:val="4"/>
          </w:tcPr>
          <w:p>
            <w:pPr>
              <w:jc w:val="right"/>
              <w:spacing w:after="0"/>
              <w:rPr>
                <w:sz w:val="20"/>
                <w:szCs w:val="20"/>
                <w:color w:val="auto"/>
              </w:rPr>
            </w:pPr>
            <w:r>
              <w:rPr>
                <w:rFonts w:ascii="Arial" w:cs="Arial" w:eastAsia="Arial" w:hAnsi="Arial"/>
                <w:sz w:val="16"/>
                <w:szCs w:val="16"/>
                <w:color w:val="0000FF"/>
              </w:rPr>
              <w:t>48</w:t>
            </w:r>
          </w:p>
        </w:tc>
        <w:tc>
          <w:tcPr>
            <w:tcW w:w="20" w:type="dxa"/>
            <w:vAlign w:val="bottom"/>
          </w:tcPr>
          <w:p>
            <w:pPr>
              <w:spacing w:after="0"/>
              <w:rPr>
                <w:sz w:val="21"/>
                <w:szCs w:val="2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tcBorders>
              <w:top w:val="single" w:sz="8" w:color="0000FF"/>
            </w:tcBorders>
            <w:gridSpan w:val="2"/>
          </w:tcPr>
          <w:p>
            <w:pPr>
              <w:spacing w:after="0"/>
              <w:rPr>
                <w:sz w:val="21"/>
                <w:szCs w:val="21"/>
                <w:color w:val="auto"/>
              </w:rPr>
            </w:pPr>
          </w:p>
        </w:tc>
        <w:tc>
          <w:tcPr>
            <w:tcW w:w="2660" w:type="dxa"/>
            <w:vAlign w:val="bottom"/>
            <w:gridSpan w:val="6"/>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72</w:t>
            </w:r>
          </w:p>
        </w:tc>
        <w:tc>
          <w:tcPr>
            <w:tcW w:w="20" w:type="dxa"/>
            <w:vAlign w:val="bottom"/>
          </w:tcPr>
          <w:p>
            <w:pPr>
              <w:spacing w:after="0"/>
              <w:rPr>
                <w:sz w:val="21"/>
                <w:szCs w:val="2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6"/>
                <w:szCs w:val="16"/>
                <w:color w:val="auto"/>
              </w:rPr>
              <w:t>Item 4.</w:t>
            </w:r>
          </w:p>
        </w:tc>
        <w:tc>
          <w:tcPr>
            <w:tcW w:w="18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Controls and Procedures</w:t>
            </w:r>
          </w:p>
        </w:tc>
        <w:tc>
          <w:tcPr>
            <w:tcW w:w="7220" w:type="dxa"/>
            <w:vAlign w:val="bottom"/>
            <w:gridSpan w:val="12"/>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74</w:t>
            </w:r>
          </w:p>
        </w:tc>
        <w:tc>
          <w:tcPr>
            <w:tcW w:w="20" w:type="dxa"/>
            <w:vAlign w:val="bottom"/>
          </w:tcPr>
          <w:p>
            <w:pPr>
              <w:spacing w:after="0"/>
              <w:rPr>
                <w:sz w:val="21"/>
                <w:szCs w:val="21"/>
                <w:color w:val="auto"/>
              </w:rPr>
            </w:pPr>
          </w:p>
        </w:tc>
      </w:tr>
    </w:tbl>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80" w:type="dxa"/>
            <w:vAlign w:val="bottom"/>
            <w:gridSpan w:val="3"/>
          </w:tcPr>
          <w:p>
            <w:pPr>
              <w:ind w:left="1920"/>
              <w:spacing w:after="0"/>
              <w:rPr>
                <w:sz w:val="20"/>
                <w:szCs w:val="20"/>
                <w:color w:val="auto"/>
              </w:rPr>
            </w:pPr>
            <w:r>
              <w:rPr>
                <w:rFonts w:ascii="Arial" w:cs="Arial" w:eastAsia="Arial" w:hAnsi="Arial"/>
                <w:sz w:val="16"/>
                <w:szCs w:val="16"/>
                <w:b w:val="1"/>
                <w:bCs w:val="1"/>
                <w:color w:val="auto"/>
                <w:w w:val="99"/>
              </w:rPr>
              <w:t xml:space="preserve">PART II — </w:t>
            </w:r>
            <w:r>
              <w:rPr>
                <w:rFonts w:ascii="Arial" w:cs="Arial" w:eastAsia="Arial" w:hAnsi="Arial"/>
                <w:sz w:val="16"/>
                <w:szCs w:val="16"/>
                <w:b w:val="1"/>
                <w:bCs w:val="1"/>
                <w:color w:val="0000FF"/>
                <w:w w:val="99"/>
              </w:rPr>
              <w:t>OTHER INFORMATION</w:t>
            </w:r>
          </w:p>
        </w:tc>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0"/>
        </w:trPr>
        <w:tc>
          <w:tcPr>
            <w:tcW w:w="1060" w:type="dxa"/>
            <w:vAlign w:val="bottom"/>
            <w:gridSpan w:val="2"/>
          </w:tcPr>
          <w:p>
            <w:pPr>
              <w:spacing w:after="0"/>
              <w:rPr>
                <w:sz w:val="20"/>
                <w:szCs w:val="20"/>
                <w:color w:val="auto"/>
              </w:rPr>
            </w:pPr>
            <w:r>
              <w:rPr>
                <w:rFonts w:ascii="Arial" w:cs="Arial" w:eastAsia="Arial" w:hAnsi="Arial"/>
                <w:sz w:val="16"/>
                <w:szCs w:val="16"/>
                <w:color w:val="auto"/>
              </w:rPr>
              <w:t>Item 1.</w:t>
            </w:r>
          </w:p>
        </w:tc>
        <w:tc>
          <w:tcPr>
            <w:tcW w:w="4080" w:type="dxa"/>
            <w:vAlign w:val="bottom"/>
            <w:gridSpan w:val="5"/>
          </w:tcPr>
          <w:p>
            <w:pPr>
              <w:spacing w:after="0"/>
              <w:rPr>
                <w:sz w:val="20"/>
                <w:szCs w:val="20"/>
                <w:color w:val="auto"/>
              </w:rPr>
            </w:pPr>
            <w:r>
              <w:rPr>
                <w:rFonts w:ascii="Arial" w:cs="Arial" w:eastAsia="Arial" w:hAnsi="Arial"/>
                <w:sz w:val="16"/>
                <w:szCs w:val="16"/>
                <w:color w:val="0000FF"/>
              </w:rPr>
              <w:t>Legal Proceedings</w:t>
            </w:r>
          </w:p>
        </w:tc>
        <w:tc>
          <w:tcPr>
            <w:tcW w:w="1740" w:type="dxa"/>
            <w:vAlign w:val="bottom"/>
            <w:tcBorders>
              <w:top w:val="single" w:sz="8" w:color="0000FF"/>
            </w:tcBorders>
            <w:gridSpan w:val="2"/>
          </w:tcPr>
          <w:p>
            <w:pPr>
              <w:spacing w:after="0"/>
              <w:rPr>
                <w:sz w:val="21"/>
                <w:szCs w:val="21"/>
                <w:color w:val="auto"/>
              </w:rPr>
            </w:pPr>
          </w:p>
        </w:tc>
        <w:tc>
          <w:tcPr>
            <w:tcW w:w="4300" w:type="dxa"/>
            <w:vAlign w:val="bottom"/>
            <w:gridSpan w:val="2"/>
          </w:tcPr>
          <w:p>
            <w:pPr>
              <w:jc w:val="right"/>
              <w:spacing w:after="0"/>
              <w:rPr>
                <w:sz w:val="20"/>
                <w:szCs w:val="20"/>
                <w:color w:val="auto"/>
              </w:rPr>
            </w:pPr>
            <w:r>
              <w:rPr>
                <w:rFonts w:ascii="Arial" w:cs="Arial" w:eastAsia="Arial" w:hAnsi="Arial"/>
                <w:sz w:val="16"/>
                <w:szCs w:val="16"/>
                <w:color w:val="0000FF"/>
              </w:rPr>
              <w:t>75</w:t>
            </w:r>
          </w:p>
        </w:tc>
      </w:tr>
      <w:tr>
        <w:trPr>
          <w:trHeight w:val="250"/>
        </w:trPr>
        <w:tc>
          <w:tcPr>
            <w:tcW w:w="106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8"/>
              </w:rPr>
              <w:t>Risk Factors</w:t>
            </w:r>
          </w:p>
        </w:tc>
        <w:tc>
          <w:tcPr>
            <w:tcW w:w="440" w:type="dxa"/>
            <w:vAlign w:val="bottom"/>
            <w:tcBorders>
              <w:top w:val="single" w:sz="8" w:color="0000FF"/>
            </w:tcBorders>
            <w:gridSpan w:val="2"/>
          </w:tcPr>
          <w:p>
            <w:pPr>
              <w:spacing w:after="0"/>
              <w:rPr>
                <w:sz w:val="21"/>
                <w:szCs w:val="21"/>
                <w:color w:val="auto"/>
              </w:rPr>
            </w:pPr>
          </w:p>
        </w:tc>
        <w:tc>
          <w:tcPr>
            <w:tcW w:w="4480" w:type="dxa"/>
            <w:vAlign w:val="bottom"/>
            <w:gridSpan w:val="3"/>
          </w:tcPr>
          <w:p>
            <w:pPr>
              <w:spacing w:after="0"/>
              <w:rPr>
                <w:sz w:val="21"/>
                <w:szCs w:val="21"/>
                <w:color w:val="auto"/>
              </w:rPr>
            </w:pPr>
          </w:p>
        </w:tc>
        <w:tc>
          <w:tcPr>
            <w:tcW w:w="412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r>
      <w:tr>
        <w:trPr>
          <w:trHeight w:val="250"/>
        </w:trPr>
        <w:tc>
          <w:tcPr>
            <w:tcW w:w="106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820" w:type="dxa"/>
            <w:vAlign w:val="bottom"/>
            <w:gridSpan w:val="7"/>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4300" w:type="dxa"/>
            <w:vAlign w:val="bottom"/>
            <w:gridSpan w:val="2"/>
          </w:tcPr>
          <w:p>
            <w:pPr>
              <w:jc w:val="right"/>
              <w:spacing w:after="0"/>
              <w:rPr>
                <w:sz w:val="20"/>
                <w:szCs w:val="20"/>
                <w:color w:val="auto"/>
              </w:rPr>
            </w:pPr>
            <w:r>
              <w:rPr>
                <w:rFonts w:ascii="Arial" w:cs="Arial" w:eastAsia="Arial" w:hAnsi="Arial"/>
                <w:sz w:val="16"/>
                <w:szCs w:val="16"/>
                <w:color w:val="0000FF"/>
              </w:rPr>
              <w:t>90</w:t>
            </w:r>
          </w:p>
        </w:tc>
      </w:tr>
      <w:tr>
        <w:trPr>
          <w:trHeight w:val="250"/>
        </w:trPr>
        <w:tc>
          <w:tcPr>
            <w:tcW w:w="1060" w:type="dxa"/>
            <w:vAlign w:val="bottom"/>
            <w:gridSpan w:val="2"/>
          </w:tcPr>
          <w:p>
            <w:pPr>
              <w:spacing w:after="0"/>
              <w:rPr>
                <w:sz w:val="20"/>
                <w:szCs w:val="20"/>
                <w:color w:val="auto"/>
              </w:rPr>
            </w:pPr>
            <w:r>
              <w:rPr>
                <w:rFonts w:ascii="Arial" w:cs="Arial" w:eastAsia="Arial" w:hAnsi="Arial"/>
                <w:sz w:val="16"/>
                <w:szCs w:val="16"/>
                <w:color w:val="auto"/>
              </w:rPr>
              <w:t>Item 5.</w:t>
            </w:r>
          </w:p>
        </w:tc>
        <w:tc>
          <w:tcPr>
            <w:tcW w:w="12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3100" w:type="dxa"/>
            <w:vAlign w:val="bottom"/>
            <w:tcBorders>
              <w:top w:val="single" w:sz="8" w:color="0000FF"/>
            </w:tcBorders>
            <w:gridSpan w:val="3"/>
          </w:tcPr>
          <w:p>
            <w:pPr>
              <w:spacing w:after="0"/>
              <w:rPr>
                <w:sz w:val="21"/>
                <w:szCs w:val="21"/>
                <w:color w:val="auto"/>
              </w:rPr>
            </w:pPr>
          </w:p>
        </w:tc>
        <w:tc>
          <w:tcPr>
            <w:tcW w:w="146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color w:val="0000FF"/>
                <w:w w:val="89"/>
              </w:rPr>
              <w:t>90</w:t>
            </w:r>
          </w:p>
        </w:tc>
      </w:tr>
      <w:tr>
        <w:trPr>
          <w:trHeight w:val="250"/>
        </w:trPr>
        <w:tc>
          <w:tcPr>
            <w:tcW w:w="1060" w:type="dxa"/>
            <w:vAlign w:val="bottom"/>
            <w:gridSpan w:val="2"/>
          </w:tcPr>
          <w:p>
            <w:pPr>
              <w:spacing w:after="0"/>
              <w:rPr>
                <w:sz w:val="20"/>
                <w:szCs w:val="20"/>
                <w:color w:val="auto"/>
              </w:rPr>
            </w:pPr>
            <w:r>
              <w:rPr>
                <w:rFonts w:ascii="Arial" w:cs="Arial" w:eastAsia="Arial" w:hAnsi="Arial"/>
                <w:sz w:val="16"/>
                <w:szCs w:val="16"/>
                <w:color w:val="auto"/>
              </w:rPr>
              <w:t>Item 6.</w:t>
            </w:r>
          </w:p>
        </w:tc>
        <w:tc>
          <w:tcPr>
            <w:tcW w:w="5820" w:type="dxa"/>
            <w:vAlign w:val="bottom"/>
            <w:gridSpan w:val="7"/>
          </w:tcPr>
          <w:p>
            <w:pPr>
              <w:spacing w:after="0"/>
              <w:rPr>
                <w:sz w:val="20"/>
                <w:szCs w:val="20"/>
                <w:color w:val="auto"/>
              </w:rPr>
            </w:pPr>
            <w:r>
              <w:rPr>
                <w:rFonts w:ascii="Arial" w:cs="Arial" w:eastAsia="Arial" w:hAnsi="Arial"/>
                <w:sz w:val="16"/>
                <w:szCs w:val="16"/>
                <w:color w:val="0000FF"/>
              </w:rPr>
              <w:t>Exhibits</w:t>
            </w:r>
          </w:p>
        </w:tc>
        <w:tc>
          <w:tcPr>
            <w:tcW w:w="4300" w:type="dxa"/>
            <w:vAlign w:val="bottom"/>
            <w:gridSpan w:val="2"/>
          </w:tcPr>
          <w:p>
            <w:pPr>
              <w:jc w:val="right"/>
              <w:spacing w:after="0"/>
              <w:rPr>
                <w:sz w:val="20"/>
                <w:szCs w:val="20"/>
                <w:color w:val="auto"/>
              </w:rPr>
            </w:pPr>
            <w:r>
              <w:rPr>
                <w:rFonts w:ascii="Arial" w:cs="Arial" w:eastAsia="Arial" w:hAnsi="Arial"/>
                <w:sz w:val="16"/>
                <w:szCs w:val="16"/>
                <w:color w:val="0000FF"/>
              </w:rPr>
              <w:t>91</w:t>
            </w:r>
          </w:p>
        </w:tc>
      </w:tr>
      <w:tr>
        <w:trPr>
          <w:trHeight w:val="250"/>
        </w:trPr>
        <w:tc>
          <w:tcPr>
            <w:tcW w:w="1060" w:type="dxa"/>
            <w:vAlign w:val="bottom"/>
            <w:gridSpan w:val="2"/>
          </w:tcPr>
          <w:p>
            <w:pPr>
              <w:spacing w:after="0"/>
              <w:rPr>
                <w:sz w:val="20"/>
                <w:szCs w:val="20"/>
                <w:color w:val="auto"/>
              </w:rPr>
            </w:pPr>
            <w:r>
              <w:rPr>
                <w:rFonts w:ascii="Arial" w:cs="Arial" w:eastAsia="Arial" w:hAnsi="Arial"/>
                <w:sz w:val="16"/>
                <w:szCs w:val="16"/>
                <w:color w:val="0000FF"/>
              </w:rPr>
              <w:t>Signatures</w:t>
            </w:r>
          </w:p>
        </w:tc>
        <w:tc>
          <w:tcPr>
            <w:tcW w:w="56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92</w:t>
            </w:r>
          </w:p>
        </w:tc>
      </w:tr>
      <w:tr>
        <w:trPr>
          <w:trHeight w:val="20"/>
        </w:trPr>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FORWARD-LOOKING STATEMENTS</w:t>
      </w:r>
    </w:p>
    <w:p>
      <w:pPr>
        <w:spacing w:after="0" w:line="1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“aim,” “anticipate,” “believe,” “could,” “estimate,” “expect,” “forecast,” "goal," “intend,” “may,” “plan,” “potential,” “possible,” “will,” “would” and other words and terms of similar meaning. Reference is made in particular to forward-looking statements regarding:</w:t>
      </w:r>
    </w:p>
    <w:p>
      <w:pPr>
        <w:spacing w:after="0" w:line="84" w:lineRule="exact"/>
        <w:rPr>
          <w:sz w:val="20"/>
          <w:szCs w:val="20"/>
          <w:color w:val="auto"/>
        </w:rPr>
      </w:pPr>
    </w:p>
    <w:p>
      <w:pPr>
        <w:ind w:left="420" w:hanging="331"/>
        <w:spacing w:after="0" w:line="278"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spacing w:after="0" w:line="79" w:lineRule="exact"/>
        <w:rPr>
          <w:rFonts w:ascii="Arial" w:cs="Arial" w:eastAsia="Arial" w:hAnsi="Arial"/>
          <w:sz w:val="17"/>
          <w:szCs w:val="17"/>
          <w:color w:val="auto"/>
        </w:rPr>
      </w:pPr>
    </w:p>
    <w:p>
      <w:pPr>
        <w:ind w:left="420" w:right="160" w:hanging="331"/>
        <w:spacing w:after="0" w:line="27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plans and prospects relating to product approvals, sales, pricing, growth, reimbursement and launch of our marketed and pipeline products;</w:t>
      </w:r>
    </w:p>
    <w:p>
      <w:pPr>
        <w:spacing w:after="0" w:line="79" w:lineRule="exact"/>
        <w:rPr>
          <w:rFonts w:ascii="Arial" w:cs="Arial" w:eastAsia="Arial" w:hAnsi="Arial"/>
          <w:sz w:val="18"/>
          <w:szCs w:val="18"/>
          <w:color w:val="auto"/>
        </w:rPr>
      </w:pPr>
    </w:p>
    <w:p>
      <w:pPr>
        <w:ind w:left="420" w:right="36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markets in which we compete, including increased competition from new originator therapies, generics, prodrugs and biosimilars of existing products and products approved under abbreviated regulatory pathways, including generic or biosimilar versions of our products or competing products;</w:t>
      </w:r>
    </w:p>
    <w:p>
      <w:pPr>
        <w:spacing w:after="0" w:line="102"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periods of regulatory exclusivity;</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investments in our portfolio as well as implementation of our corporate strategy;</w:t>
      </w:r>
    </w:p>
    <w:p>
      <w:pPr>
        <w:spacing w:after="0" w:line="130" w:lineRule="exact"/>
        <w:rPr>
          <w:rFonts w:ascii="Arial" w:cs="Arial" w:eastAsia="Arial" w:hAnsi="Arial"/>
          <w:sz w:val="18"/>
          <w:szCs w:val="18"/>
          <w:color w:val="auto"/>
        </w:rPr>
      </w:pPr>
    </w:p>
    <w:p>
      <w:pPr>
        <w:ind w:left="420" w:right="420" w:hanging="331"/>
        <w:spacing w:after="0" w:line="285"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drivers for growing our business, including our plans and intention to commit resources relating to discovery, research and development programs and business development opportunities as well as the potential benefits and results of, and the anticipated completion of, certain business development transactions and cost-reduction measures, including our Fit for Growth program;</w:t>
      </w:r>
    </w:p>
    <w:p>
      <w:pPr>
        <w:spacing w:after="0" w:line="86" w:lineRule="exact"/>
        <w:rPr>
          <w:rFonts w:ascii="Arial" w:cs="Arial" w:eastAsia="Arial" w:hAnsi="Arial"/>
          <w:sz w:val="17"/>
          <w:szCs w:val="17"/>
          <w:color w:val="auto"/>
        </w:rPr>
      </w:pPr>
    </w:p>
    <w:p>
      <w:pPr>
        <w:ind w:left="420" w:right="4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regulatory filings and approvals, of our products, drug candidates and pipeline programs, including collaborations with third-parties, as well as the potential therapeutic scope of the development and commercialization of our and our collaborators’ pipeline products;</w:t>
      </w:r>
    </w:p>
    <w:p>
      <w:pPr>
        <w:spacing w:after="0" w:line="89" w:lineRule="exact"/>
        <w:rPr>
          <w:rFonts w:ascii="Arial" w:cs="Arial" w:eastAsia="Arial" w:hAnsi="Arial"/>
          <w:sz w:val="18"/>
          <w:szCs w:val="18"/>
          <w:color w:val="auto"/>
        </w:rPr>
      </w:pPr>
    </w:p>
    <w:p>
      <w:pPr>
        <w:ind w:left="420" w:right="34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spacing w:after="0" w:line="89"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144" w:lineRule="exact"/>
        <w:rPr>
          <w:rFonts w:ascii="Arial" w:cs="Arial" w:eastAsia="Arial" w:hAnsi="Arial"/>
          <w:sz w:val="18"/>
          <w:szCs w:val="18"/>
          <w:color w:val="auto"/>
        </w:rPr>
      </w:pPr>
    </w:p>
    <w:p>
      <w:pPr>
        <w:ind w:left="420" w:right="160" w:hanging="331"/>
        <w:spacing w:after="0" w:line="27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events involving our marketed or pipeline products, generic or biosimilar versions of our marketed products or any other products from the same class as one of our products;</w:t>
      </w:r>
    </w:p>
    <w:p>
      <w:pPr>
        <w:spacing w:after="0" w:line="79" w:lineRule="exact"/>
        <w:rPr>
          <w:rFonts w:ascii="Arial" w:cs="Arial" w:eastAsia="Arial" w:hAnsi="Arial"/>
          <w:sz w:val="18"/>
          <w:szCs w:val="18"/>
          <w:color w:val="auto"/>
        </w:rPr>
      </w:pPr>
    </w:p>
    <w:p>
      <w:pPr>
        <w:ind w:left="420" w:right="26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and indirect impact of the COVID-19 pandemic and other global health outbreaks on our business and operations, including sales, expense, reserves and allowances, the supply chain, manufacturing, cyber-attacks or other privacy or data security incidents, research and development costs, clinical trials and employees;</w:t>
      </w:r>
    </w:p>
    <w:p>
      <w:pPr>
        <w:spacing w:after="0" w:line="89" w:lineRule="exact"/>
        <w:rPr>
          <w:rFonts w:ascii="Arial" w:cs="Arial" w:eastAsia="Arial" w:hAnsi="Arial"/>
          <w:sz w:val="18"/>
          <w:szCs w:val="18"/>
          <w:color w:val="auto"/>
        </w:rPr>
      </w:pPr>
    </w:p>
    <w:p>
      <w:pPr>
        <w:ind w:left="420" w:right="360" w:hanging="331"/>
        <w:spacing w:after="0" w:line="27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potential impacts of the conflict in Ukraine, including impacts on our operations, sales and the possible disruptions or delays in our plans to conduct clinical trial activities in affected regions;</w:t>
      </w:r>
    </w:p>
    <w:p>
      <w:pPr>
        <w:spacing w:after="0" w:line="92" w:lineRule="exact"/>
        <w:rPr>
          <w:rFonts w:ascii="Arial" w:cs="Arial" w:eastAsia="Arial" w:hAnsi="Arial"/>
          <w:sz w:val="18"/>
          <w:szCs w:val="18"/>
          <w:color w:val="auto"/>
        </w:rPr>
      </w:pPr>
    </w:p>
    <w:p>
      <w:pPr>
        <w:ind w:left="420" w:right="64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U.S., including the IRA, and measures being taken worldwide designed to reduce healthcare costs and limit the overall level of government expenditures, including the impact of pricing actions and reduced reimbursement for our products;</w:t>
      </w:r>
    </w:p>
    <w:p>
      <w:pPr>
        <w:spacing w:after="0" w:line="89" w:lineRule="exact"/>
        <w:rPr>
          <w:rFonts w:ascii="Arial" w:cs="Arial" w:eastAsia="Arial" w:hAnsi="Arial"/>
          <w:sz w:val="18"/>
          <w:szCs w:val="18"/>
          <w:color w:val="auto"/>
        </w:rPr>
      </w:pPr>
    </w:p>
    <w:p>
      <w:pPr>
        <w:ind w:left="420" w:right="40" w:hanging="331"/>
        <w:spacing w:after="0" w:line="25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capacity, use of third-party contract manufacturing organizations, plans and timing relating to changes in our manufacturing capabilities, activities in new or existing manufacturing facilities and the expected timeline for the remaining portion of the Solothurn manufacturing facility to begin manufacturing products or product candidates and for the gene therapy manufacturing facility in RTP, North Carolina to be operational;</w:t>
      </w:r>
    </w:p>
    <w:p>
      <w:pPr>
        <w:spacing w:after="0" w:line="95" w:lineRule="exact"/>
        <w:rPr>
          <w:rFonts w:ascii="Arial" w:cs="Arial" w:eastAsia="Arial" w:hAnsi="Arial"/>
          <w:sz w:val="18"/>
          <w:szCs w:val="18"/>
          <w:color w:val="auto"/>
        </w:rPr>
      </w:pPr>
    </w:p>
    <w:p>
      <w:pPr>
        <w:ind w:left="420" w:right="760" w:hanging="331"/>
        <w:spacing w:after="0" w:line="27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collection of accounts receivable in such countries;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0" w:hanging="27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new laws (including tax), regulatory requirements, judicial decisions and accounting standards.</w:t>
      </w:r>
    </w:p>
    <w:p>
      <w:pPr>
        <w:spacing w:after="0" w:line="1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COMPANY AND PRODUCT REFERENCES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report to:</w:t>
      </w:r>
    </w:p>
    <w:p>
      <w:pPr>
        <w:spacing w:after="0" w:line="117" w:lineRule="exact"/>
        <w:rPr>
          <w:sz w:val="20"/>
          <w:szCs w:val="20"/>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17" w:lineRule="exact"/>
        <w:rPr>
          <w:rFonts w:ascii="Arial" w:cs="Arial" w:eastAsia="Arial" w:hAnsi="Arial"/>
          <w:sz w:val="18"/>
          <w:szCs w:val="18"/>
          <w:color w:val="auto"/>
        </w:rPr>
      </w:pPr>
    </w:p>
    <w:p>
      <w:pPr>
        <w:ind w:left="420" w:right="280" w:hanging="331"/>
        <w:spacing w:after="0" w:line="275"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TRADEMARKS</w:t>
      </w:r>
    </w:p>
    <w:p>
      <w:pPr>
        <w:spacing w:after="0" w:line="14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ADUHELM®, AVONEX®, PLEGRIDY®, RITUXAN®, RITUXAN HYCELA®, SPINRAZA®, TECFIDERA®, TYSABRI® and VUMERITY® are registered trademarks of Biogen.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BENEPALI™, BYOOVIZ™, FLIXABI™, FUMADERM™, IMRALDI™ and QALSODY™ are trademarks of Biogen.</w:t>
      </w:r>
    </w:p>
    <w:p>
      <w:pPr>
        <w:spacing w:after="0" w:line="117"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auto"/>
        </w:rPr>
        <w:t>ACTEMRA®, ENBREL®, EYLEA®, FAMPYRA™, GAZYVA®, LEQEMBI®, HUMIRA®, LUCENTIS®, LUNSUMIO™, OCREVUS®, REMICADE® and other trademarks referenced in this report are the property of their respective owners.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20" w:type="dxa"/>
            <w:vAlign w:val="bottom"/>
          </w:tcPr>
          <w:p>
            <w:pPr>
              <w:spacing w:after="0"/>
              <w:rPr>
                <w:sz w:val="24"/>
                <w:szCs w:val="24"/>
                <w:color w:val="auto"/>
              </w:rPr>
            </w:pPr>
          </w:p>
        </w:tc>
        <w:tc>
          <w:tcPr>
            <w:tcW w:w="3220" w:type="dxa"/>
            <w:vAlign w:val="bottom"/>
            <w:tcBorders>
              <w:bottom w:val="single" w:sz="8" w:color="0070C0"/>
            </w:tcBorders>
          </w:tcPr>
          <w:p>
            <w:pPr>
              <w:spacing w:after="0"/>
              <w:rPr>
                <w:sz w:val="24"/>
                <w:szCs w:val="24"/>
                <w:color w:val="auto"/>
              </w:rPr>
            </w:pPr>
          </w:p>
        </w:tc>
        <w:tc>
          <w:tcPr>
            <w:tcW w:w="7980" w:type="dxa"/>
            <w:vAlign w:val="bottom"/>
            <w:tcBorders>
              <w:bottom w:val="single" w:sz="8" w:color="0070C0"/>
            </w:tcBorders>
          </w:tcPr>
          <w:p>
            <w:pPr>
              <w:ind w:left="1360"/>
              <w:spacing w:after="0"/>
              <w:rPr>
                <w:sz w:val="20"/>
                <w:szCs w:val="20"/>
                <w:color w:val="auto"/>
              </w:rPr>
            </w:pPr>
            <w:r>
              <w:rPr>
                <w:rFonts w:ascii="Arial" w:cs="Arial" w:eastAsia="Arial" w:hAnsi="Arial"/>
                <w:sz w:val="25"/>
                <w:szCs w:val="25"/>
                <w:color w:val="0070C0"/>
              </w:rPr>
              <w:t>DEFINED TERMS</w:t>
            </w: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2022 Form 10-K</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Annual Report on Form 10-K for the year ended December 31, 2022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2020 Share Repurchase Program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Board of Directors authorized program to repurchase up to $5.0 billion of our common stock</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300 Binney Street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300 Binney Street, Cambridge, MA</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Artificial Intelligence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ALS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Amyotrophic Lateral Sclerosis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Annual Meeting</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2023 annual meeting of stockholders held on June 26, 2023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AOCI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ASU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Accounting Standards Update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ATV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Antibody Transport Vehicle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BLA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Biologics License Application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California Consumer Privacy Act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CEO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Executive Officer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cGMP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current Good Manufacturing Practices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CHMP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Committee for Medicinal Products for Human Use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CJEU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Court of Justice of the European Union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Cutaneous Lupus Erythematosus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CLL</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Chronic Lymphocytic Leukemia</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Centers for Medicare &amp; Medicaid Services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Convergence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Convergence Pharmaceuticals Ltd.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CROs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Contract Research Organizations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Denali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Denali Therapeutics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DPN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Diabetic Painful Neuropathy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Commission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Eisai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Eisai Co., Ltd.</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Medicines Agency</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EPO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Patent Office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ERISA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Employee Retirement Income Security Act of 1974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Union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FASB</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Financial Accounting Standards Board</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Foreign Corrupt Practices Act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Food and Drug Administration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Federal Deposit Insurance Corporation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Fit for Growth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Cost saving program initiated in 2023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Genentech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Genentech,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GILTI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Intangible Low Tax Income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GloBE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Anti-Base Erosion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Good Manufacturing Practice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Humana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Humana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IPR&amp;D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In-process Research and Development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Ionis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Ionis Pharmaceuticals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Inflation Reduction Act of 2022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LRRK2</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Leucine-Rich Repeat Kinase 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DBDBDB"/>
          </w:tcPr>
          <w:p>
            <w:pPr>
              <w:ind w:left="20"/>
              <w:spacing w:after="0"/>
              <w:rPr>
                <w:sz w:val="20"/>
                <w:szCs w:val="20"/>
                <w:color w:val="auto"/>
              </w:rPr>
            </w:pPr>
            <w:r>
              <w:rPr>
                <w:rFonts w:ascii="Arial" w:cs="Arial" w:eastAsia="Arial" w:hAnsi="Arial"/>
                <w:sz w:val="16"/>
                <w:szCs w:val="16"/>
                <w:color w:val="0070C0"/>
              </w:rPr>
              <w:t>MAA</w:t>
            </w:r>
          </w:p>
        </w:tc>
        <w:tc>
          <w:tcPr>
            <w:tcW w:w="8000" w:type="dxa"/>
            <w:vAlign w:val="bottom"/>
            <w:gridSpan w:val="2"/>
          </w:tcPr>
          <w:p>
            <w:pPr>
              <w:ind w:left="20"/>
              <w:spacing w:after="0"/>
              <w:rPr>
                <w:sz w:val="20"/>
                <w:szCs w:val="20"/>
                <w:color w:val="auto"/>
              </w:rPr>
            </w:pPr>
            <w:r>
              <w:rPr>
                <w:rFonts w:ascii="Arial" w:cs="Arial" w:eastAsia="Arial" w:hAnsi="Arial"/>
                <w:sz w:val="16"/>
                <w:szCs w:val="16"/>
                <w:color w:val="auto"/>
              </w:rPr>
              <w:t>Marketing Authorization Application</w:t>
            </w:r>
          </w:p>
        </w:tc>
      </w:tr>
      <w:tr>
        <w:trPr>
          <w:trHeight w:val="860"/>
        </w:trPr>
        <w:tc>
          <w:tcPr>
            <w:tcW w:w="20" w:type="dxa"/>
            <w:vAlign w:val="bottom"/>
          </w:tcPr>
          <w:p>
            <w:pPr>
              <w:spacing w:after="0"/>
              <w:rPr>
                <w:sz w:val="24"/>
                <w:szCs w:val="24"/>
                <w:color w:val="auto"/>
              </w:rPr>
            </w:pPr>
          </w:p>
        </w:tc>
        <w:tc>
          <w:tcPr>
            <w:tcW w:w="3220" w:type="dxa"/>
            <w:vAlign w:val="bottom"/>
            <w:tcBorders>
              <w:top w:val="single" w:sz="8" w:color="0070C0"/>
            </w:tcBorders>
          </w:tcPr>
          <w:p>
            <w:pPr>
              <w:spacing w:after="0"/>
              <w:rPr>
                <w:sz w:val="24"/>
                <w:szCs w:val="24"/>
                <w:color w:val="auto"/>
              </w:rPr>
            </w:pPr>
          </w:p>
        </w:tc>
        <w:tc>
          <w:tcPr>
            <w:tcW w:w="7980" w:type="dxa"/>
            <w:vAlign w:val="bottom"/>
            <w:tcBorders>
              <w:top w:val="single" w:sz="8" w:color="0070C0"/>
            </w:tcBorders>
          </w:tcPr>
          <w:p>
            <w:pPr>
              <w:ind w:left="23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20" w:type="dxa"/>
            <w:vAlign w:val="bottom"/>
          </w:tcPr>
          <w:p>
            <w:pPr>
              <w:spacing w:after="0"/>
              <w:rPr>
                <w:sz w:val="24"/>
                <w:szCs w:val="24"/>
                <w:color w:val="auto"/>
              </w:rPr>
            </w:pPr>
          </w:p>
        </w:tc>
        <w:tc>
          <w:tcPr>
            <w:tcW w:w="3220" w:type="dxa"/>
            <w:vAlign w:val="bottom"/>
            <w:tcBorders>
              <w:bottom w:val="single" w:sz="8" w:color="0070C0"/>
            </w:tcBorders>
          </w:tcPr>
          <w:p>
            <w:pPr>
              <w:spacing w:after="0"/>
              <w:rPr>
                <w:sz w:val="24"/>
                <w:szCs w:val="24"/>
                <w:color w:val="auto"/>
              </w:rPr>
            </w:pPr>
          </w:p>
        </w:tc>
        <w:tc>
          <w:tcPr>
            <w:tcW w:w="7980" w:type="dxa"/>
            <w:vAlign w:val="bottom"/>
            <w:tcBorders>
              <w:bottom w:val="single" w:sz="8" w:color="0070C0"/>
            </w:tcBorders>
          </w:tcPr>
          <w:p>
            <w:pPr>
              <w:ind w:left="700"/>
              <w:spacing w:after="0"/>
              <w:rPr>
                <w:sz w:val="20"/>
                <w:szCs w:val="20"/>
                <w:color w:val="auto"/>
              </w:rPr>
            </w:pPr>
            <w:r>
              <w:rPr>
                <w:rFonts w:ascii="Arial" w:cs="Arial" w:eastAsia="Arial" w:hAnsi="Arial"/>
                <w:sz w:val="25"/>
                <w:szCs w:val="25"/>
                <w:color w:val="0070C0"/>
              </w:rPr>
              <w:t>DEFINED TERMS (continued)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MDD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Major Depressive Disorder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MHRA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Medicines and Healthcare products Regulatory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Multiple Sclerosis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Mylan Ireland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Mylan Ireland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Coverage Decision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Application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Submission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Neurimmune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Neurimmune SubOne AG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Medicinal Products 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OECD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Organization for Economic Co-operation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OIE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Other (Income) Expense, 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PDUFA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Prescription Drug User Fee 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PMDA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Pharmaceuticals and Medical Devices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Polpharma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Polpharma 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PPACA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Patient Protection and Affordable Care 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Postpartum Depression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Primary Progressive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Relapsing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RRMS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Relapsing-Remitting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RTP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Research Triangle Park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Sage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Sage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Bioepis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Bioepis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BioLogics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BioLogics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Sangamo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Sangamo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SG&amp;A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Systemic Lupus Erythematosus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Spinal Muscular Atrophy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SOD1</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Superoxide Dismutase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SVB</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Silicon Valley Bank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SWISSMEDIC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Swiss Agency for Therapeutic Products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TBA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Technical Boards of Appeal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TGN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Trigeminal Neuralgia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0070C0"/>
              </w:rPr>
              <w:t>Transition Toll Tax</w:t>
            </w:r>
          </w:p>
        </w:tc>
        <w:tc>
          <w:tcPr>
            <w:tcW w:w="80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 one-time mandatory deemed repatriation tax on accumulated foreign subsidiaries' previously untaxed foreign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20" w:type="dxa"/>
            <w:vAlign w:val="bottom"/>
            <w:vMerge w:val="continue"/>
            <w:shd w:val="clear" w:color="auto" w:fill="DBDBDB"/>
          </w:tcPr>
          <w:p>
            <w:pPr>
              <w:spacing w:after="0"/>
              <w:rPr>
                <w:sz w:val="10"/>
                <w:szCs w:val="10"/>
                <w:color w:val="auto"/>
              </w:rPr>
            </w:pPr>
          </w:p>
        </w:tc>
        <w:tc>
          <w:tcPr>
            <w:tcW w:w="7980" w:type="dxa"/>
            <w:vAlign w:val="bottom"/>
            <w:vMerge w:val="restart"/>
          </w:tcPr>
          <w:p>
            <w:pPr>
              <w:ind w:left="20"/>
              <w:spacing w:after="0"/>
              <w:rPr>
                <w:sz w:val="20"/>
                <w:szCs w:val="20"/>
                <w:color w:val="auto"/>
              </w:rPr>
            </w:pPr>
            <w:r>
              <w:rPr>
                <w:rFonts w:ascii="Arial" w:cs="Arial" w:eastAsia="Arial" w:hAnsi="Arial"/>
                <w:sz w:val="16"/>
                <w:szCs w:val="16"/>
                <w:color w:val="auto"/>
              </w:rPr>
              <w:t>earnings</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20" w:type="dxa"/>
            <w:vAlign w:val="bottom"/>
            <w:tcBorders>
              <w:bottom w:val="single" w:sz="8" w:color="0070C0"/>
            </w:tcBorders>
            <w:shd w:val="clear" w:color="auto" w:fill="DBDBDB"/>
          </w:tcPr>
          <w:p>
            <w:pPr>
              <w:spacing w:after="0"/>
              <w:rPr>
                <w:sz w:val="7"/>
                <w:szCs w:val="7"/>
                <w:color w:val="auto"/>
              </w:rPr>
            </w:pPr>
          </w:p>
        </w:tc>
        <w:tc>
          <w:tcPr>
            <w:tcW w:w="7980" w:type="dxa"/>
            <w:vAlign w:val="bottom"/>
            <w:tcBorders>
              <w:bottom w:val="single" w:sz="8" w:color="0070C0"/>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U.K.</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DBDBDB"/>
          </w:tcPr>
          <w:p>
            <w:pPr>
              <w:ind w:left="20"/>
              <w:spacing w:after="0"/>
              <w:rPr>
                <w:sz w:val="20"/>
                <w:szCs w:val="20"/>
                <w:color w:val="auto"/>
              </w:rPr>
            </w:pPr>
            <w:r>
              <w:rPr>
                <w:rFonts w:ascii="Arial" w:cs="Arial" w:eastAsia="Arial" w:hAnsi="Arial"/>
                <w:sz w:val="16"/>
                <w:szCs w:val="16"/>
                <w:color w:val="0070C0"/>
              </w:rPr>
              <w:t>U.S. GAAP</w:t>
            </w:r>
          </w:p>
        </w:tc>
        <w:tc>
          <w:tcPr>
            <w:tcW w:w="8000" w:type="dxa"/>
            <w:vAlign w:val="bottom"/>
            <w:gridSpan w:val="2"/>
          </w:tcPr>
          <w:p>
            <w:pPr>
              <w:ind w:left="20"/>
              <w:spacing w:after="0"/>
              <w:rPr>
                <w:sz w:val="20"/>
                <w:szCs w:val="20"/>
                <w:color w:val="auto"/>
              </w:rPr>
            </w:pPr>
            <w:r>
              <w:rPr>
                <w:rFonts w:ascii="Arial" w:cs="Arial" w:eastAsia="Arial" w:hAnsi="Arial"/>
                <w:sz w:val="16"/>
                <w:szCs w:val="16"/>
                <w:color w:val="auto"/>
              </w:rPr>
              <w:t>Accounting Principles Generally Accepted in the U.S.</w:t>
            </w: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3220" w:type="dxa"/>
            <w:vAlign w:val="bottom"/>
            <w:tcBorders>
              <w:top w:val="single" w:sz="8" w:color="0070C0"/>
            </w:tcBorders>
          </w:tcPr>
          <w:p>
            <w:pPr>
              <w:spacing w:after="0"/>
              <w:rPr>
                <w:sz w:val="24"/>
                <w:szCs w:val="24"/>
                <w:color w:val="auto"/>
              </w:rPr>
            </w:pPr>
          </w:p>
        </w:tc>
        <w:tc>
          <w:tcPr>
            <w:tcW w:w="7980" w:type="dxa"/>
            <w:vAlign w:val="bottom"/>
            <w:tcBorders>
              <w:top w:val="single" w:sz="8" w:color="0070C0"/>
            </w:tcBorders>
          </w:tcPr>
          <w:p>
            <w:pPr>
              <w:ind w:left="23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PART I FINANCIAL INFORMATION</w:t>
      </w:r>
    </w:p>
    <w:p>
      <w:pPr>
        <w:spacing w:after="0" w:line="247" w:lineRule="exact"/>
        <w:rPr>
          <w:sz w:val="20"/>
          <w:szCs w:val="20"/>
          <w:color w:val="auto"/>
        </w:rPr>
      </w:pPr>
    </w:p>
    <w:p>
      <w:pPr>
        <w:jc w:val="center"/>
        <w:ind w:left="2980"/>
        <w:spacing w:after="0" w:line="272" w:lineRule="auto"/>
        <w:rPr>
          <w:sz w:val="20"/>
          <w:szCs w:val="20"/>
          <w:color w:val="auto"/>
        </w:rPr>
      </w:pPr>
      <w:r>
        <w:rPr>
          <w:rFonts w:ascii="Arial" w:cs="Arial" w:eastAsia="Arial" w:hAnsi="Arial"/>
          <w:sz w:val="22"/>
          <w:szCs w:val="22"/>
          <w:b w:val="1"/>
          <w:bCs w:val="1"/>
          <w:color w:val="1C5A7D"/>
        </w:rPr>
        <w:t>BIOGEN INC. AND SUBSIDIARIES CONDENSED CONSOLIDATED STATEMENTS OF INCOME (unaudited, in millions, except per share amounts)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 net</w:t>
      </w:r>
    </w:p>
    <w:p>
      <w:pPr>
        <w:spacing w:after="0" w:line="32" w:lineRule="exact"/>
        <w:rPr>
          <w:sz w:val="20"/>
          <w:szCs w:val="20"/>
          <w:color w:val="auto"/>
        </w:rPr>
      </w:pPr>
    </w:p>
    <w:p>
      <w:pPr>
        <w:ind w:left="140" w:right="1780"/>
        <w:spacing w:after="0" w:line="287" w:lineRule="auto"/>
        <w:rPr>
          <w:sz w:val="20"/>
          <w:szCs w:val="20"/>
          <w:color w:val="auto"/>
        </w:rPr>
      </w:pPr>
      <w:r>
        <w:rPr>
          <w:rFonts w:ascii="Arial" w:cs="Arial" w:eastAsia="Arial" w:hAnsi="Arial"/>
          <w:sz w:val="16"/>
          <w:szCs w:val="16"/>
          <w:color w:val="auto"/>
        </w:rPr>
        <w:t>Revenue from LEQEMBI Collaboration Revenue from anti-CD20 therapeutic programs Contract manufacturing, royalty and other revenue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revenue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and expense: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Cost of sales, excluding amortization and impairment of acquired intangible assets</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ind w:left="140" w:right="1240"/>
        <w:spacing w:after="0" w:line="281" w:lineRule="auto"/>
        <w:rPr>
          <w:sz w:val="20"/>
          <w:szCs w:val="20"/>
          <w:color w:val="auto"/>
        </w:rPr>
      </w:pPr>
      <w:r>
        <w:rPr>
          <w:rFonts w:ascii="Arial" w:cs="Arial" w:eastAsia="Arial" w:hAnsi="Arial"/>
          <w:sz w:val="16"/>
          <w:szCs w:val="16"/>
          <w:color w:val="auto"/>
        </w:rPr>
        <w:t>Amortization and impairment of acquired intangible assets Collaboration profit sharing/(loss reimbursement)</w:t>
      </w:r>
    </w:p>
    <w:p>
      <w:pPr>
        <w:spacing w:after="0" w:line="1" w:lineRule="exact"/>
        <w:rPr>
          <w:sz w:val="20"/>
          <w:szCs w:val="20"/>
          <w:color w:val="auto"/>
        </w:rPr>
      </w:pPr>
    </w:p>
    <w:p>
      <w:pPr>
        <w:ind w:left="140" w:right="520"/>
        <w:spacing w:after="0" w:line="290" w:lineRule="auto"/>
        <w:rPr>
          <w:sz w:val="20"/>
          <w:szCs w:val="20"/>
          <w:color w:val="auto"/>
        </w:rPr>
      </w:pPr>
      <w:r>
        <w:rPr>
          <w:rFonts w:ascii="Arial" w:cs="Arial" w:eastAsia="Arial" w:hAnsi="Arial"/>
          <w:sz w:val="16"/>
          <w:szCs w:val="16"/>
          <w:color w:val="auto"/>
        </w:rPr>
        <w:t>(Gain) loss on fair value remeasurement of contingent consideration Restructuring charges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(income) expense, net</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cost and expense</w:t>
      </w:r>
    </w:p>
    <w:p>
      <w:pPr>
        <w:spacing w:after="0" w:line="32" w:lineRule="exact"/>
        <w:rPr>
          <w:sz w:val="20"/>
          <w:szCs w:val="20"/>
          <w:color w:val="auto"/>
        </w:rPr>
      </w:pPr>
    </w:p>
    <w:p>
      <w:pPr>
        <w:ind w:left="20" w:right="120"/>
        <w:spacing w:after="0" w:line="290" w:lineRule="auto"/>
        <w:rPr>
          <w:sz w:val="20"/>
          <w:szCs w:val="20"/>
          <w:color w:val="auto"/>
        </w:rPr>
      </w:pPr>
      <w:r>
        <w:rPr>
          <w:rFonts w:ascii="Arial" w:cs="Arial" w:eastAsia="Arial" w:hAnsi="Arial"/>
          <w:sz w:val="16"/>
          <w:szCs w:val="16"/>
          <w:color w:val="auto"/>
        </w:rPr>
        <w:t>Income before income tax expense and equity in loss of investee, net of tax Income tax (benefit) expense</w:t>
      </w:r>
    </w:p>
    <w:p>
      <w:pPr>
        <w:spacing w:after="0" w:line="1" w:lineRule="exact"/>
        <w:rPr>
          <w:sz w:val="20"/>
          <w:szCs w:val="20"/>
          <w:color w:val="auto"/>
        </w:rPr>
      </w:pPr>
    </w:p>
    <w:p>
      <w:pPr>
        <w:ind w:left="20" w:right="2300"/>
        <w:spacing w:after="0" w:line="290" w:lineRule="auto"/>
        <w:rPr>
          <w:sz w:val="20"/>
          <w:szCs w:val="20"/>
          <w:color w:val="auto"/>
        </w:rPr>
      </w:pPr>
      <w:r>
        <w:rPr>
          <w:rFonts w:ascii="Arial" w:cs="Arial" w:eastAsia="Arial" w:hAnsi="Arial"/>
          <w:sz w:val="16"/>
          <w:szCs w:val="16"/>
          <w:color w:val="auto"/>
        </w:rPr>
        <w:t>Equity in (income) loss of investee, net of tax Net income</w:t>
      </w:r>
    </w:p>
    <w:p>
      <w:pPr>
        <w:spacing w:after="0" w:line="1" w:lineRule="exact"/>
        <w:rPr>
          <w:sz w:val="20"/>
          <w:szCs w:val="20"/>
          <w:color w:val="auto"/>
        </w:rPr>
      </w:pPr>
    </w:p>
    <w:p>
      <w:pPr>
        <w:ind w:left="20" w:right="760"/>
        <w:spacing w:after="0" w:line="346" w:lineRule="auto"/>
        <w:rPr>
          <w:sz w:val="20"/>
          <w:szCs w:val="20"/>
          <w:color w:val="auto"/>
        </w:rPr>
      </w:pPr>
      <w:r>
        <w:rPr>
          <w:rFonts w:ascii="Arial" w:cs="Arial" w:eastAsia="Arial" w:hAnsi="Arial"/>
          <w:sz w:val="16"/>
          <w:szCs w:val="16"/>
          <w:color w:val="auto"/>
        </w:rPr>
        <w:t>Net income (loss) attributable to noncontrolling interests, net of tax Net income attributable to Biogen Inc.</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per share: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 earnings per share attributable to Biogen Inc.</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 earnings per share attributable to Biogen Inc.</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shares used in calculating:</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 earnings per share attributable to Biogen Inc.</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 earnings per share attributable to Biogen Inc.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rPr>
              <w:t>For the Six Months Ended June</w:t>
            </w:r>
          </w:p>
        </w:tc>
      </w:tr>
      <w:tr>
        <w:trPr>
          <w:trHeight w:val="216"/>
        </w:trPr>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8"/>
                <w:szCs w:val="18"/>
                <w:color w:val="auto"/>
              </w:rPr>
            </w:pPr>
          </w:p>
        </w:tc>
      </w:tr>
      <w:tr>
        <w:trPr>
          <w:trHeight w:val="209"/>
        </w:trPr>
        <w:tc>
          <w:tcPr>
            <w:tcW w:w="160" w:type="dxa"/>
            <w:vAlign w:val="bottom"/>
            <w:tcBorders>
              <w:bottom w:val="single" w:sz="8" w:color="auto"/>
            </w:tcBorders>
            <w:shd w:val="clear" w:color="auto" w:fill="DDDDDD"/>
          </w:tcPr>
          <w:p>
            <w:pPr>
              <w:spacing w:after="0"/>
              <w:rPr>
                <w:sz w:val="18"/>
                <w:szCs w:val="18"/>
                <w:color w:val="auto"/>
              </w:rPr>
            </w:pPr>
          </w:p>
        </w:tc>
        <w:tc>
          <w:tcPr>
            <w:tcW w:w="1100" w:type="dxa"/>
            <w:vAlign w:val="bottom"/>
            <w:tcBorders>
              <w:bottom w:val="single" w:sz="8" w:color="auto"/>
            </w:tcBorders>
            <w:shd w:val="clear" w:color="auto" w:fill="DDDDDD"/>
          </w:tcPr>
          <w:p>
            <w:pPr>
              <w:jc w:val="right"/>
              <w:ind w:right="359"/>
              <w:spacing w:after="0"/>
              <w:rPr>
                <w:sz w:val="20"/>
                <w:szCs w:val="20"/>
                <w:color w:val="auto"/>
              </w:rPr>
            </w:pPr>
            <w:r>
              <w:rPr>
                <w:rFonts w:ascii="Arial" w:cs="Arial" w:eastAsia="Arial" w:hAnsi="Arial"/>
                <w:sz w:val="16"/>
                <w:szCs w:val="16"/>
                <w:b w:val="1"/>
                <w:bCs w:val="1"/>
                <w:color w:val="257ACB"/>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120" w:type="dxa"/>
            <w:vAlign w:val="bottom"/>
            <w:tcBorders>
              <w:bottom w:val="single" w:sz="8" w:color="auto"/>
            </w:tcBorders>
            <w:shd w:val="clear" w:color="auto" w:fill="DDDDDD"/>
          </w:tcPr>
          <w:p>
            <w:pPr>
              <w:jc w:val="right"/>
              <w:ind w:right="359"/>
              <w:spacing w:after="0"/>
              <w:rPr>
                <w:sz w:val="20"/>
                <w:szCs w:val="20"/>
                <w:color w:val="auto"/>
              </w:rPr>
            </w:pPr>
            <w:r>
              <w:rPr>
                <w:rFonts w:ascii="Arial" w:cs="Arial" w:eastAsia="Arial" w:hAnsi="Arial"/>
                <w:sz w:val="16"/>
                <w:szCs w:val="16"/>
                <w:b w:val="1"/>
                <w:bCs w:val="1"/>
                <w:color w:val="257ACB"/>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r>
      <w:tr>
        <w:trPr>
          <w:trHeight w:val="420"/>
        </w:trPr>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1,845.8</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2,054.9</w:t>
            </w:r>
          </w:p>
        </w:tc>
        <w:tc>
          <w:tcPr>
            <w:tcW w:w="100" w:type="dxa"/>
            <w:vAlign w:val="bottom"/>
          </w:tcPr>
          <w:p>
            <w:pPr>
              <w:spacing w:after="0"/>
              <w:rPr>
                <w:sz w:val="24"/>
                <w:szCs w:val="24"/>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3,609.1</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4,121.2</w:t>
            </w:r>
          </w:p>
        </w:tc>
      </w:tr>
      <w:tr>
        <w:trPr>
          <w:trHeight w:val="216"/>
        </w:trPr>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433.4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436.3</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832.9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835.7</w:t>
            </w:r>
          </w:p>
        </w:tc>
      </w:tr>
      <w:tr>
        <w:trPr>
          <w:trHeight w:val="219"/>
        </w:trPr>
        <w:tc>
          <w:tcPr>
            <w:tcW w:w="1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197.5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516.6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w:t>
            </w:r>
          </w:p>
        </w:tc>
      </w:tr>
      <w:tr>
        <w:trPr>
          <w:trHeight w:val="209"/>
        </w:trPr>
        <w:tc>
          <w:tcPr>
            <w:tcW w:w="1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2,456.0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2,589.1</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4,919.0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5,120.9</w:t>
            </w:r>
          </w:p>
        </w:tc>
      </w:tr>
      <w:tr>
        <w:trPr>
          <w:trHeight w:val="571"/>
        </w:trPr>
        <w:tc>
          <w:tcPr>
            <w:tcW w:w="160" w:type="dxa"/>
            <w:vAlign w:val="bottom"/>
            <w:shd w:val="clear" w:color="auto" w:fill="DBDBDB"/>
          </w:tcPr>
          <w:p>
            <w:pPr>
              <w:spacing w:after="0"/>
              <w:rPr>
                <w:sz w:val="24"/>
                <w:szCs w:val="2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592.7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484.0</w:t>
            </w:r>
          </w:p>
        </w:tc>
        <w:tc>
          <w:tcPr>
            <w:tcW w:w="100" w:type="dxa"/>
            <w:vAlign w:val="bottom"/>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1,255.5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1,237.9</w:t>
            </w:r>
          </w:p>
        </w:tc>
      </w:tr>
      <w:tr>
        <w:trPr>
          <w:trHeight w:val="216"/>
        </w:trPr>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584.2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1,154.8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1,080.3</w:t>
            </w:r>
          </w:p>
        </w:tc>
      </w:tr>
      <w:tr>
        <w:trPr>
          <w:trHeight w:val="216"/>
        </w:trPr>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572.6</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1,153.0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1,207.5</w:t>
            </w:r>
          </w:p>
        </w:tc>
      </w:tr>
      <w:tr>
        <w:trPr>
          <w:trHeight w:val="216"/>
        </w:trPr>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103.1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134.4</w:t>
            </w:r>
          </w:p>
        </w:tc>
      </w:tr>
      <w:tr>
        <w:trPr>
          <w:trHeight w:val="216"/>
        </w:trPr>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114.0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(87.9)</w:t>
            </w:r>
          </w:p>
        </w:tc>
      </w:tr>
      <w:tr>
        <w:trPr>
          <w:trHeight w:val="216"/>
        </w:trPr>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219"/>
        </w:trPr>
        <w:tc>
          <w:tcPr>
            <w:tcW w:w="1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(121.2)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(51.8)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r>
      <w:tr>
        <w:trPr>
          <w:trHeight w:val="209"/>
        </w:trPr>
        <w:tc>
          <w:tcPr>
            <w:tcW w:w="1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1,747.9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1,319.6</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3,772.6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3,504.0</w:t>
            </w:r>
          </w:p>
        </w:tc>
      </w:tr>
      <w:tr>
        <w:trPr>
          <w:trHeight w:val="207"/>
        </w:trPr>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708.1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1,269.5</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1,146.4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1,616.9</w:t>
            </w:r>
          </w:p>
        </w:tc>
      </w:tr>
      <w:tr>
        <w:trPr>
          <w:trHeight w:val="216"/>
        </w:trPr>
        <w:tc>
          <w:tcPr>
            <w:tcW w:w="1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114.8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165.5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342.3</w:t>
            </w:r>
          </w:p>
        </w:tc>
      </w:tr>
      <w:tr>
        <w:trPr>
          <w:trHeight w:val="219"/>
        </w:trPr>
        <w:tc>
          <w:tcPr>
            <w:tcW w:w="1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593.3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1,058.7</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980.9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1,277.2</w:t>
            </w:r>
          </w:p>
        </w:tc>
      </w:tr>
      <w:tr>
        <w:trPr>
          <w:trHeight w:val="219"/>
        </w:trPr>
        <w:tc>
          <w:tcPr>
            <w:tcW w:w="1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r>
      <w:tr>
        <w:trPr>
          <w:trHeight w:val="253"/>
        </w:trPr>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591.6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1,058.0</w:t>
            </w: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979.5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1,361.8</w:t>
            </w:r>
          </w:p>
        </w:tc>
      </w:tr>
      <w:tr>
        <w:trPr>
          <w:trHeight w:val="662"/>
        </w:trPr>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4.09</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4"/>
                <w:szCs w:val="24"/>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6.78</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9.30</w:t>
            </w:r>
          </w:p>
        </w:tc>
      </w:tr>
      <w:tr>
        <w:trPr>
          <w:trHeight w:val="216"/>
        </w:trPr>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4.07</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6.74</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702"/>
        </w:trPr>
        <w:tc>
          <w:tcPr>
            <w:tcW w:w="160" w:type="dxa"/>
            <w:vAlign w:val="bottom"/>
            <w:shd w:val="clear" w:color="auto" w:fill="DBDBDB"/>
          </w:tcPr>
          <w:p>
            <w:pPr>
              <w:spacing w:after="0"/>
              <w:rPr>
                <w:sz w:val="24"/>
                <w:szCs w:val="2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144.7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146.5</w:t>
            </w:r>
          </w:p>
        </w:tc>
      </w:tr>
      <w:tr>
        <w:trPr>
          <w:trHeight w:val="222"/>
        </w:trPr>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146.8</w:t>
            </w:r>
          </w:p>
        </w:tc>
      </w:tr>
    </w:tbl>
    <w:p>
      <w:pPr>
        <w:spacing w:after="0" w:line="200" w:lineRule="exact"/>
        <w:rPr>
          <w:sz w:val="20"/>
          <w:szCs w:val="20"/>
          <w:color w:val="auto"/>
        </w:rPr>
      </w:pPr>
    </w:p>
    <w:p>
      <w:pPr>
        <w:sectPr>
          <w:pgSz w:w="11900" w:h="16838" w:orient="portrait"/>
          <w:cols w:equalWidth="0" w:num="2">
            <w:col w:w="5540" w:space="400"/>
            <w:col w:w="530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(unaudited, in millions)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2580" w:type="dxa"/>
            <w:vAlign w:val="bottom"/>
            <w:gridSpan w:val="5"/>
          </w:tcPr>
          <w:p>
            <w:pPr>
              <w:jc w:val="right"/>
              <w:spacing w:after="0"/>
              <w:rPr>
                <w:sz w:val="20"/>
                <w:szCs w:val="20"/>
                <w:color w:val="auto"/>
              </w:rPr>
            </w:pPr>
            <w:r>
              <w:rPr>
                <w:rFonts w:ascii="Arial" w:cs="Arial" w:eastAsia="Arial" w:hAnsi="Arial"/>
                <w:sz w:val="16"/>
                <w:szCs w:val="16"/>
                <w:b w:val="1"/>
                <w:bCs w:val="1"/>
                <w:color w:val="auto"/>
              </w:rPr>
              <w:t>For the Six Months Ended June</w:t>
            </w:r>
          </w:p>
        </w:tc>
      </w:tr>
      <w:tr>
        <w:trPr>
          <w:trHeight w:val="216"/>
        </w:trPr>
        <w:tc>
          <w:tcPr>
            <w:tcW w:w="5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960" w:type="dxa"/>
            <w:vAlign w:val="bottom"/>
            <w:tcBorders>
              <w:bottom w:val="single" w:sz="8" w:color="auto"/>
            </w:tcBorders>
          </w:tcPr>
          <w:p>
            <w:pPr>
              <w:spacing w:after="0"/>
              <w:rPr>
                <w:sz w:val="18"/>
                <w:szCs w:val="18"/>
                <w:color w:val="auto"/>
              </w:rPr>
            </w:pPr>
          </w:p>
        </w:tc>
      </w:tr>
      <w:tr>
        <w:trPr>
          <w:trHeight w:val="209"/>
        </w:trPr>
        <w:tc>
          <w:tcPr>
            <w:tcW w:w="5960" w:type="dxa"/>
            <w:vAlign w:val="bottom"/>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080" w:type="dxa"/>
            <w:vAlign w:val="bottom"/>
            <w:tcBorders>
              <w:bottom w:val="single" w:sz="8" w:color="auto"/>
            </w:tcBorders>
            <w:shd w:val="clear" w:color="auto" w:fill="DDDDDD"/>
          </w:tcPr>
          <w:p>
            <w:pPr>
              <w:jc w:val="right"/>
              <w:ind w:right="359"/>
              <w:spacing w:after="0"/>
              <w:rPr>
                <w:sz w:val="20"/>
                <w:szCs w:val="20"/>
                <w:color w:val="auto"/>
              </w:rPr>
            </w:pPr>
            <w:r>
              <w:rPr>
                <w:rFonts w:ascii="Arial" w:cs="Arial" w:eastAsia="Arial" w:hAnsi="Arial"/>
                <w:sz w:val="16"/>
                <w:szCs w:val="16"/>
                <w:b w:val="1"/>
                <w:bCs w:val="1"/>
                <w:color w:val="257ACB"/>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DDDDDD"/>
          </w:tcPr>
          <w:p>
            <w:pPr>
              <w:spacing w:after="0"/>
              <w:rPr>
                <w:sz w:val="18"/>
                <w:szCs w:val="18"/>
                <w:color w:val="auto"/>
              </w:rPr>
            </w:pPr>
          </w:p>
        </w:tc>
        <w:tc>
          <w:tcPr>
            <w:tcW w:w="940" w:type="dxa"/>
            <w:vAlign w:val="bottom"/>
            <w:tcBorders>
              <w:bottom w:val="single" w:sz="8" w:color="auto"/>
            </w:tcBorders>
            <w:shd w:val="clear" w:color="auto" w:fill="DDDDDD"/>
          </w:tcPr>
          <w:p>
            <w:pPr>
              <w:jc w:val="right"/>
              <w:ind w:right="339"/>
              <w:spacing w:after="0"/>
              <w:rPr>
                <w:sz w:val="20"/>
                <w:szCs w:val="20"/>
                <w:color w:val="auto"/>
              </w:rPr>
            </w:pPr>
            <w:r>
              <w:rPr>
                <w:rFonts w:ascii="Arial" w:cs="Arial" w:eastAsia="Arial" w:hAnsi="Arial"/>
                <w:sz w:val="16"/>
                <w:szCs w:val="16"/>
                <w:b w:val="1"/>
                <w:bCs w:val="1"/>
                <w:color w:val="257ACB"/>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r>
      <w:tr>
        <w:trPr>
          <w:trHeight w:val="204"/>
        </w:trPr>
        <w:tc>
          <w:tcPr>
            <w:tcW w:w="596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591.6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1,058.0</w:t>
            </w:r>
          </w:p>
        </w:tc>
        <w:tc>
          <w:tcPr>
            <w:tcW w:w="100" w:type="dxa"/>
            <w:vAlign w:val="bottom"/>
          </w:tcPr>
          <w:p>
            <w:pPr>
              <w:spacing w:after="0"/>
              <w:rPr>
                <w:sz w:val="17"/>
                <w:szCs w:val="17"/>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257ACB"/>
                <w:w w:val="8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979.5</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1,361.8</w:t>
            </w:r>
          </w:p>
        </w:tc>
      </w:tr>
      <w:tr>
        <w:trPr>
          <w:trHeight w:val="216"/>
        </w:trPr>
        <w:tc>
          <w:tcPr>
            <w:tcW w:w="59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60" w:type="dxa"/>
            <w:vAlign w:val="bottom"/>
          </w:tcPr>
          <w:p>
            <w:pPr>
              <w:ind w:left="160"/>
              <w:spacing w:after="0"/>
              <w:rPr>
                <w:sz w:val="20"/>
                <w:szCs w:val="20"/>
                <w:color w:val="auto"/>
              </w:rPr>
            </w:pPr>
            <w:r>
              <w:rPr>
                <w:rFonts w:ascii="Arial" w:cs="Arial" w:eastAsia="Arial" w:hAnsi="Arial"/>
                <w:sz w:val="16"/>
                <w:szCs w:val="16"/>
                <w:color w:val="auto"/>
              </w:rPr>
              <w:t>Unrealized gains (losses) on securities available for sale, net of tax</w:t>
            </w: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6"/>
        </w:trPr>
        <w:tc>
          <w:tcPr>
            <w:tcW w:w="5960" w:type="dxa"/>
            <w:vAlign w:val="bottom"/>
          </w:tcPr>
          <w:p>
            <w:pPr>
              <w:ind w:left="160"/>
              <w:spacing w:after="0"/>
              <w:rPr>
                <w:sz w:val="20"/>
                <w:szCs w:val="20"/>
                <w:color w:val="auto"/>
              </w:rPr>
            </w:pPr>
            <w:r>
              <w:rPr>
                <w:rFonts w:ascii="Arial" w:cs="Arial" w:eastAsia="Arial" w:hAnsi="Arial"/>
                <w:sz w:val="16"/>
                <w:szCs w:val="16"/>
                <w:color w:val="auto"/>
              </w:rPr>
              <w:t>Unrealized gains (losses) on cash flow hedges, net of tax</w:t>
            </w: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w:t>
            </w:r>
          </w:p>
        </w:tc>
      </w:tr>
      <w:tr>
        <w:trPr>
          <w:trHeight w:val="216"/>
        </w:trPr>
        <w:tc>
          <w:tcPr>
            <w:tcW w:w="5960" w:type="dxa"/>
            <w:vAlign w:val="bottom"/>
          </w:tcPr>
          <w:p>
            <w:pPr>
              <w:ind w:left="160"/>
              <w:spacing w:after="0"/>
              <w:rPr>
                <w:sz w:val="20"/>
                <w:szCs w:val="20"/>
                <w:color w:val="auto"/>
              </w:rPr>
            </w:pPr>
            <w:r>
              <w:rPr>
                <w:rFonts w:ascii="Arial" w:cs="Arial" w:eastAsia="Arial" w:hAnsi="Arial"/>
                <w:sz w:val="16"/>
                <w:szCs w:val="16"/>
                <w:color w:val="auto"/>
              </w:rPr>
              <w:t>Gains (losses) on net investment hedges, net of tax</w:t>
            </w: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6"/>
        </w:trPr>
        <w:tc>
          <w:tcPr>
            <w:tcW w:w="5960" w:type="dxa"/>
            <w:vAlign w:val="bottom"/>
          </w:tcPr>
          <w:p>
            <w:pPr>
              <w:ind w:left="160"/>
              <w:spacing w:after="0"/>
              <w:rPr>
                <w:sz w:val="20"/>
                <w:szCs w:val="20"/>
                <w:color w:val="auto"/>
              </w:rPr>
            </w:pPr>
            <w:r>
              <w:rPr>
                <w:rFonts w:ascii="Arial" w:cs="Arial" w:eastAsia="Arial" w:hAnsi="Arial"/>
                <w:sz w:val="16"/>
                <w:szCs w:val="16"/>
                <w:color w:val="auto"/>
              </w:rPr>
              <w:t>Unrealized gains (losses) on pension benefit obligation, net of tax</w:t>
            </w: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5960" w:type="dxa"/>
            <w:vAlign w:val="bottom"/>
          </w:tcPr>
          <w:p>
            <w:pPr>
              <w:ind w:left="160"/>
              <w:spacing w:after="0"/>
              <w:rPr>
                <w:sz w:val="20"/>
                <w:szCs w:val="20"/>
                <w:color w:val="auto"/>
              </w:rPr>
            </w:pPr>
            <w:r>
              <w:rPr>
                <w:rFonts w:ascii="Arial" w:cs="Arial" w:eastAsia="Arial" w:hAnsi="Arial"/>
                <w:sz w:val="16"/>
                <w:szCs w:val="16"/>
                <w:color w:val="auto"/>
              </w:rPr>
              <w:t>Currency translation adjustment</w:t>
            </w:r>
          </w:p>
        </w:tc>
        <w:tc>
          <w:tcPr>
            <w:tcW w:w="1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18.7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09"/>
        </w:trPr>
        <w:tc>
          <w:tcPr>
            <w:tcW w:w="5960" w:type="dxa"/>
            <w:vAlign w:val="bottom"/>
          </w:tcPr>
          <w:p>
            <w:pPr>
              <w:spacing w:after="0"/>
              <w:rPr>
                <w:sz w:val="20"/>
                <w:szCs w:val="20"/>
                <w:color w:val="auto"/>
              </w:rPr>
            </w:pPr>
            <w:r>
              <w:rPr>
                <w:rFonts w:ascii="Arial" w:cs="Arial" w:eastAsia="Arial" w:hAnsi="Arial"/>
                <w:sz w:val="16"/>
                <w:szCs w:val="16"/>
                <w:color w:val="auto"/>
              </w:rPr>
              <w:t>Total other comprehensive income (loss), net of tax</w:t>
            </w:r>
          </w:p>
        </w:tc>
        <w:tc>
          <w:tcPr>
            <w:tcW w:w="1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(0.8)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(7.9)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5960" w:type="dxa"/>
            <w:vAlign w:val="bottom"/>
          </w:tcPr>
          <w:p>
            <w:pPr>
              <w:spacing w:after="0"/>
              <w:rPr>
                <w:sz w:val="20"/>
                <w:szCs w:val="20"/>
                <w:color w:val="auto"/>
              </w:rPr>
            </w:pPr>
            <w:r>
              <w:rPr>
                <w:rFonts w:ascii="Arial" w:cs="Arial" w:eastAsia="Arial" w:hAnsi="Arial"/>
                <w:sz w:val="16"/>
                <w:szCs w:val="16"/>
                <w:color w:val="auto"/>
              </w:rPr>
              <w:t>Comprehensive income (loss) attributable to Biogen Inc.</w:t>
            </w: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590.8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1,062.8</w:t>
            </w:r>
          </w:p>
        </w:tc>
        <w:tc>
          <w:tcPr>
            <w:tcW w:w="100" w:type="dxa"/>
            <w:vAlign w:val="bottom"/>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971.6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1,358.1</w:t>
            </w:r>
          </w:p>
        </w:tc>
      </w:tr>
      <w:tr>
        <w:trPr>
          <w:trHeight w:val="219"/>
        </w:trPr>
        <w:tc>
          <w:tcPr>
            <w:tcW w:w="5960" w:type="dxa"/>
            <w:vAlign w:val="bottom"/>
          </w:tcPr>
          <w:p>
            <w:pPr>
              <w:spacing w:after="0"/>
              <w:rPr>
                <w:sz w:val="20"/>
                <w:szCs w:val="20"/>
                <w:color w:val="auto"/>
              </w:rPr>
            </w:pPr>
            <w:r>
              <w:rPr>
                <w:rFonts w:ascii="Arial" w:cs="Arial" w:eastAsia="Arial" w:hAnsi="Arial"/>
                <w:sz w:val="16"/>
                <w:szCs w:val="16"/>
                <w:color w:val="auto"/>
              </w:rPr>
              <w:t>Comprehensive income (loss) attributable to noncontrolling interests, net of tax</w:t>
            </w:r>
          </w:p>
        </w:tc>
        <w:tc>
          <w:tcPr>
            <w:tcW w:w="14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r>
      <w:tr>
        <w:trPr>
          <w:trHeight w:val="233"/>
        </w:trPr>
        <w:tc>
          <w:tcPr>
            <w:tcW w:w="596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592.5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1,063.5</w:t>
            </w:r>
          </w:p>
        </w:tc>
        <w:tc>
          <w:tcPr>
            <w:tcW w:w="100" w:type="dxa"/>
            <w:vAlign w:val="bottom"/>
          </w:tcPr>
          <w:p>
            <w:pPr>
              <w:spacing w:after="0"/>
              <w:rPr>
                <w:sz w:val="20"/>
                <w:szCs w:val="20"/>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257ACB"/>
                <w:w w:val="8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973.0</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1,273.5</w:t>
            </w:r>
          </w:p>
        </w:tc>
      </w:tr>
      <w:tr>
        <w:trPr>
          <w:trHeight w:val="20"/>
        </w:trPr>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1C5A7D"/>
        </w:rPr>
        <w:t>CONDENSED CONSOLIDATED BALANCE SHEETS</w:t>
      </w:r>
    </w:p>
    <w:p>
      <w:pPr>
        <w:spacing w:after="0" w:line="4"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1C5A7D"/>
        </w:rPr>
        <w:t>(unaudited, in millions, except per share amounts)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700" w:type="dxa"/>
            <w:vAlign w:val="bottom"/>
            <w:vMerge w:val="restart"/>
            <w:shd w:val="clear" w:color="auto" w:fill="DBDBDB"/>
          </w:tcPr>
          <w:p>
            <w:pPr>
              <w:jc w:val="right"/>
              <w:ind w:right="99"/>
              <w:spacing w:after="0"/>
              <w:rPr>
                <w:sz w:val="20"/>
                <w:szCs w:val="20"/>
                <w:color w:val="auto"/>
              </w:rPr>
            </w:pPr>
            <w:r>
              <w:rPr>
                <w:rFonts w:ascii="Arial" w:cs="Arial" w:eastAsia="Arial" w:hAnsi="Arial"/>
                <w:sz w:val="16"/>
                <w:szCs w:val="16"/>
                <w:b w:val="1"/>
                <w:bCs w:val="1"/>
                <w:color w:val="026DCE"/>
              </w:rPr>
              <w:t>As of June 30,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ind w:right="11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70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422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3120" w:type="dxa"/>
            <w:vAlign w:val="bottom"/>
          </w:tcPr>
          <w:p>
            <w:pPr>
              <w:ind w:left="106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70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120" w:type="dxa"/>
            <w:vAlign w:val="bottom"/>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2,617.8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3,419.3</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3,460.5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1,473.5</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1,685.9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1,705.0</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438.1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431.4</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1,344.4</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12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895.9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1,417.6</w:t>
            </w:r>
          </w:p>
        </w:tc>
        <w:tc>
          <w:tcPr>
            <w:tcW w:w="0" w:type="dxa"/>
            <w:vAlign w:val="bottom"/>
          </w:tcPr>
          <w:p>
            <w:pPr>
              <w:spacing w:after="0"/>
              <w:rPr>
                <w:sz w:val="1"/>
                <w:szCs w:val="1"/>
                <w:color w:val="auto"/>
              </w:rPr>
            </w:pPr>
          </w:p>
        </w:tc>
      </w:tr>
      <w:tr>
        <w:trPr>
          <w:trHeight w:val="209"/>
        </w:trPr>
        <w:tc>
          <w:tcPr>
            <w:tcW w:w="42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10,431.7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9,791.2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Marketable securities</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1,208.0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3,307.2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3,298.6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Operating lease assets</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403.9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Intangible assets, net</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1,850.1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Goodwill</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5,753.7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5,749.0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Deferred tax asset</w:t>
            </w:r>
          </w:p>
        </w:tc>
        <w:tc>
          <w:tcPr>
            <w:tcW w:w="3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1,208.4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1,226.4</w:t>
            </w:r>
          </w:p>
        </w:tc>
        <w:tc>
          <w:tcPr>
            <w:tcW w:w="0" w:type="dxa"/>
            <w:vAlign w:val="bottom"/>
          </w:tcPr>
          <w:p>
            <w:pPr>
              <w:spacing w:after="0"/>
              <w:rPr>
                <w:sz w:val="1"/>
                <w:szCs w:val="1"/>
                <w:color w:val="auto"/>
              </w:rPr>
            </w:pPr>
          </w:p>
        </w:tc>
      </w:tr>
      <w:tr>
        <w:trPr>
          <w:trHeight w:val="219"/>
        </w:trPr>
        <w:tc>
          <w:tcPr>
            <w:tcW w:w="422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3120" w:type="dxa"/>
            <w:vAlign w:val="bottom"/>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1,104.9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1,529.2</w:t>
            </w:r>
          </w:p>
        </w:tc>
        <w:tc>
          <w:tcPr>
            <w:tcW w:w="0" w:type="dxa"/>
            <w:vAlign w:val="bottom"/>
          </w:tcPr>
          <w:p>
            <w:pPr>
              <w:spacing w:after="0"/>
              <w:rPr>
                <w:sz w:val="1"/>
                <w:szCs w:val="1"/>
                <w:color w:val="auto"/>
              </w:rPr>
            </w:pPr>
          </w:p>
        </w:tc>
      </w:tr>
      <w:tr>
        <w:trPr>
          <w:trHeight w:val="232"/>
        </w:trPr>
        <w:tc>
          <w:tcPr>
            <w:tcW w:w="422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120" w:type="dxa"/>
            <w:vAlign w:val="bottom"/>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25,156.8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1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3860" w:type="dxa"/>
            <w:vAlign w:val="bottom"/>
            <w:gridSpan w:val="2"/>
          </w:tcPr>
          <w:p>
            <w:pPr>
              <w:jc w:val="right"/>
              <w:ind w:right="1319"/>
              <w:spacing w:after="0"/>
              <w:rPr>
                <w:sz w:val="20"/>
                <w:szCs w:val="20"/>
                <w:color w:val="auto"/>
              </w:rPr>
            </w:pPr>
            <w:r>
              <w:rPr>
                <w:rFonts w:ascii="Arial" w:cs="Arial" w:eastAsia="Arial" w:hAnsi="Arial"/>
                <w:sz w:val="16"/>
                <w:szCs w:val="16"/>
                <w:b w:val="1"/>
                <w:bCs w:val="1"/>
                <w:color w:val="auto"/>
              </w:rPr>
              <w:t>LIABILITIES AND EQUITY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122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3220" w:type="dxa"/>
            <w:vAlign w:val="bottom"/>
          </w:tcPr>
          <w:p>
            <w:pPr>
              <w:spacing w:after="0"/>
              <w:rPr>
                <w:sz w:val="18"/>
                <w:szCs w:val="18"/>
                <w:color w:val="auto"/>
              </w:rPr>
            </w:pPr>
          </w:p>
        </w:tc>
        <w:tc>
          <w:tcPr>
            <w:tcW w:w="640" w:type="dxa"/>
            <w:vAlign w:val="bottom"/>
            <w:shd w:val="clear" w:color="auto" w:fill="DBDBDB"/>
          </w:tcPr>
          <w:p>
            <w:pPr>
              <w:jc w:val="right"/>
              <w:ind w:right="439"/>
              <w:spacing w:after="0"/>
              <w:rPr>
                <w:sz w:val="20"/>
                <w:szCs w:val="20"/>
                <w:color w:val="auto"/>
              </w:rPr>
            </w:pPr>
            <w:r>
              <w:rPr>
                <w:rFonts w:ascii="Arial" w:cs="Arial" w:eastAsia="Arial" w:hAnsi="Arial"/>
                <w:sz w:val="16"/>
                <w:szCs w:val="16"/>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260.0</w:t>
            </w: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445.4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491.5</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3220" w:type="dxa"/>
            <w:vAlign w:val="bottom"/>
          </w:tcPr>
          <w:p>
            <w:pPr>
              <w:spacing w:after="0"/>
              <w:rPr>
                <w:sz w:val="18"/>
                <w:szCs w:val="18"/>
                <w:color w:val="auto"/>
              </w:rPr>
            </w:pPr>
          </w:p>
        </w:tc>
        <w:tc>
          <w:tcPr>
            <w:tcW w:w="6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2,481.1</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2,521.4</w:t>
            </w:r>
          </w:p>
        </w:tc>
        <w:tc>
          <w:tcPr>
            <w:tcW w:w="0" w:type="dxa"/>
            <w:vAlign w:val="bottom"/>
          </w:tcPr>
          <w:p>
            <w:pPr>
              <w:spacing w:after="0"/>
              <w:rPr>
                <w:sz w:val="1"/>
                <w:szCs w:val="1"/>
                <w:color w:val="auto"/>
              </w:rPr>
            </w:pPr>
          </w:p>
        </w:tc>
      </w:tr>
      <w:tr>
        <w:trPr>
          <w:trHeight w:val="210"/>
        </w:trPr>
        <w:tc>
          <w:tcPr>
            <w:tcW w:w="412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3,186.5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3,272.8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Notes payable</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6,284.6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6,281.0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143.9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304.4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220" w:type="dxa"/>
            <w:vAlign w:val="bottom"/>
          </w:tcPr>
          <w:p>
            <w:pPr>
              <w:spacing w:after="0"/>
              <w:rPr>
                <w:sz w:val="18"/>
                <w:szCs w:val="18"/>
                <w:color w:val="auto"/>
              </w:rPr>
            </w:pPr>
          </w:p>
        </w:tc>
        <w:tc>
          <w:tcPr>
            <w:tcW w:w="6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776.9</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944.2</w:t>
            </w:r>
          </w:p>
        </w:tc>
        <w:tc>
          <w:tcPr>
            <w:tcW w:w="0" w:type="dxa"/>
            <w:vAlign w:val="bottom"/>
          </w:tcPr>
          <w:p>
            <w:pPr>
              <w:spacing w:after="0"/>
              <w:rPr>
                <w:sz w:val="1"/>
                <w:szCs w:val="1"/>
                <w:color w:val="auto"/>
              </w:rPr>
            </w:pPr>
          </w:p>
        </w:tc>
      </w:tr>
      <w:tr>
        <w:trPr>
          <w:trHeight w:val="210"/>
        </w:trPr>
        <w:tc>
          <w:tcPr>
            <w:tcW w:w="412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220" w:type="dxa"/>
            <w:vAlign w:val="bottom"/>
          </w:tcPr>
          <w:p>
            <w:pPr>
              <w:spacing w:after="0"/>
              <w:rPr>
                <w:sz w:val="18"/>
                <w:szCs w:val="18"/>
                <w:color w:val="auto"/>
              </w:rPr>
            </w:pPr>
          </w:p>
        </w:tc>
        <w:tc>
          <w:tcPr>
            <w:tcW w:w="6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10,696.3</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11,165.7</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Commitments, contingencies and guarantees</w:t>
            </w:r>
          </w:p>
        </w:tc>
        <w:tc>
          <w:tcPr>
            <w:tcW w:w="3220" w:type="dxa"/>
            <w:vAlign w:val="bottom"/>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Equity:</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170.7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(172.8)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220" w:type="dxa"/>
            <w:vAlign w:val="bottom"/>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17,446.0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16,466.5</w:t>
            </w:r>
          </w:p>
        </w:tc>
        <w:tc>
          <w:tcPr>
            <w:tcW w:w="0" w:type="dxa"/>
            <w:vAlign w:val="bottom"/>
          </w:tcPr>
          <w:p>
            <w:pPr>
              <w:spacing w:after="0"/>
              <w:rPr>
                <w:sz w:val="1"/>
                <w:szCs w:val="1"/>
                <w:color w:val="auto"/>
              </w:rPr>
            </w:pPr>
          </w:p>
        </w:tc>
      </w:tr>
      <w:tr>
        <w:trPr>
          <w:trHeight w:val="222"/>
        </w:trPr>
        <w:tc>
          <w:tcPr>
            <w:tcW w:w="4120" w:type="dxa"/>
            <w:vAlign w:val="bottom"/>
          </w:tcPr>
          <w:p>
            <w:pPr>
              <w:ind w:left="120"/>
              <w:spacing w:after="0"/>
              <w:rPr>
                <w:sz w:val="20"/>
                <w:szCs w:val="20"/>
                <w:color w:val="auto"/>
              </w:rPr>
            </w:pPr>
            <w:r>
              <w:rPr>
                <w:rFonts w:ascii="Arial" w:cs="Arial" w:eastAsia="Arial" w:hAnsi="Arial"/>
                <w:sz w:val="16"/>
                <w:szCs w:val="16"/>
                <w:color w:val="auto"/>
              </w:rPr>
              <w:t>Treasury stock, at cost</w:t>
            </w:r>
          </w:p>
        </w:tc>
        <w:tc>
          <w:tcPr>
            <w:tcW w:w="3220" w:type="dxa"/>
            <w:vAlign w:val="bottom"/>
          </w:tcPr>
          <w:p>
            <w:pPr>
              <w:spacing w:after="0"/>
              <w:rPr>
                <w:sz w:val="19"/>
                <w:szCs w:val="19"/>
                <w:color w:val="auto"/>
              </w:rPr>
            </w:pPr>
          </w:p>
        </w:tc>
        <w:tc>
          <w:tcPr>
            <w:tcW w:w="6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(2,977.1)</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03"/>
        </w:trPr>
        <w:tc>
          <w:tcPr>
            <w:tcW w:w="4120" w:type="dxa"/>
            <w:vAlign w:val="bottom"/>
          </w:tcPr>
          <w:p>
            <w:pPr>
              <w:ind w:left="340"/>
              <w:spacing w:after="0"/>
              <w:rPr>
                <w:sz w:val="20"/>
                <w:szCs w:val="20"/>
                <w:color w:val="auto"/>
              </w:rPr>
            </w:pPr>
            <w:r>
              <w:rPr>
                <w:rFonts w:ascii="Arial" w:cs="Arial" w:eastAsia="Arial" w:hAnsi="Arial"/>
                <w:sz w:val="16"/>
                <w:szCs w:val="16"/>
                <w:color w:val="auto"/>
              </w:rPr>
              <w:t>Total Biogen Inc. shareholders’ equity</w:t>
            </w:r>
          </w:p>
        </w:tc>
        <w:tc>
          <w:tcPr>
            <w:tcW w:w="3220" w:type="dxa"/>
            <w:vAlign w:val="bottom"/>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14,466.9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13,397.9</w:t>
            </w:r>
          </w:p>
        </w:tc>
        <w:tc>
          <w:tcPr>
            <w:tcW w:w="0" w:type="dxa"/>
            <w:vAlign w:val="bottom"/>
          </w:tcPr>
          <w:p>
            <w:pPr>
              <w:spacing w:after="0"/>
              <w:rPr>
                <w:sz w:val="1"/>
                <w:szCs w:val="1"/>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3220" w:type="dxa"/>
            <w:vAlign w:val="bottom"/>
          </w:tcPr>
          <w:p>
            <w:pPr>
              <w:spacing w:after="0"/>
              <w:rPr>
                <w:sz w:val="19"/>
                <w:szCs w:val="19"/>
                <w:color w:val="auto"/>
              </w:rPr>
            </w:pPr>
          </w:p>
        </w:tc>
        <w:tc>
          <w:tcPr>
            <w:tcW w:w="6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(6.4)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0"/>
        </w:trPr>
        <w:tc>
          <w:tcPr>
            <w:tcW w:w="412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3220" w:type="dxa"/>
            <w:vAlign w:val="bottom"/>
          </w:tcPr>
          <w:p>
            <w:pPr>
              <w:spacing w:after="0"/>
              <w:rPr>
                <w:sz w:val="18"/>
                <w:szCs w:val="18"/>
                <w:color w:val="auto"/>
              </w:rPr>
            </w:pPr>
          </w:p>
        </w:tc>
        <w:tc>
          <w:tcPr>
            <w:tcW w:w="6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14,460.5</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13,388.4</w:t>
            </w: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3220" w:type="dxa"/>
            <w:vAlign w:val="bottom"/>
          </w:tcPr>
          <w:p>
            <w:pPr>
              <w:spacing w:after="0"/>
              <w:rPr>
                <w:sz w:val="19"/>
                <w:szCs w:val="19"/>
                <w:color w:val="auto"/>
              </w:rPr>
            </w:pPr>
          </w:p>
        </w:tc>
        <w:tc>
          <w:tcPr>
            <w:tcW w:w="640" w:type="dxa"/>
            <w:vAlign w:val="bottom"/>
            <w:shd w:val="clear" w:color="auto" w:fill="DBDBDB"/>
          </w:tcPr>
          <w:p>
            <w:pPr>
              <w:jc w:val="right"/>
              <w:ind w:right="439"/>
              <w:spacing w:after="0"/>
              <w:rPr>
                <w:sz w:val="20"/>
                <w:szCs w:val="20"/>
                <w:color w:val="auto"/>
              </w:rPr>
            </w:pPr>
            <w:r>
              <w:rPr>
                <w:rFonts w:ascii="Arial" w:cs="Arial" w:eastAsia="Arial" w:hAnsi="Arial"/>
                <w:sz w:val="16"/>
                <w:szCs w:val="16"/>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25,156.8</w:t>
            </w: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22"/>
          <w:szCs w:val="22"/>
          <w:b w:val="1"/>
          <w:bCs w:val="1"/>
          <w:color w:val="1C5A7D"/>
        </w:rPr>
        <w:t>BIOGEN INC. AND SUBSIDIARIES CONDENSED CONSOLIDATED STATEMENTS OF CASH FLOW (unaudited, in millions)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560" w:type="dxa"/>
            <w:vAlign w:val="bottom"/>
          </w:tcPr>
          <w:p>
            <w:pPr>
              <w:spacing w:after="0"/>
              <w:rPr>
                <w:sz w:val="19"/>
                <w:szCs w:val="19"/>
                <w:color w:val="auto"/>
              </w:rPr>
            </w:pPr>
          </w:p>
        </w:tc>
        <w:tc>
          <w:tcPr>
            <w:tcW w:w="3660" w:type="dxa"/>
            <w:vAlign w:val="bottom"/>
            <w:tcBorders>
              <w:bottom w:val="single" w:sz="8" w:color="auto"/>
            </w:tcBorders>
            <w:gridSpan w:val="5"/>
          </w:tcPr>
          <w:p>
            <w:pPr>
              <w:jc w:val="right"/>
              <w:ind w:right="463"/>
              <w:spacing w:after="0"/>
              <w:rPr>
                <w:sz w:val="20"/>
                <w:szCs w:val="20"/>
                <w:color w:val="auto"/>
              </w:rPr>
            </w:pPr>
            <w:r>
              <w:rPr>
                <w:rFonts w:ascii="Arial" w:cs="Arial" w:eastAsia="Arial" w:hAnsi="Arial"/>
                <w:sz w:val="15"/>
                <w:szCs w:val="15"/>
                <w:b w:val="1"/>
                <w:bCs w:val="1"/>
                <w:color w:val="auto"/>
              </w:rPr>
              <w:t>For the Six Months Ended June 30,</w:t>
            </w:r>
          </w:p>
        </w:tc>
        <w:tc>
          <w:tcPr>
            <w:tcW w:w="0" w:type="dxa"/>
            <w:vAlign w:val="bottom"/>
          </w:tcPr>
          <w:p>
            <w:pPr>
              <w:spacing w:after="0"/>
              <w:rPr>
                <w:sz w:val="1"/>
                <w:szCs w:val="1"/>
                <w:color w:val="auto"/>
              </w:rPr>
            </w:pPr>
          </w:p>
        </w:tc>
      </w:tr>
      <w:tr>
        <w:trPr>
          <w:trHeight w:val="201"/>
        </w:trPr>
        <w:tc>
          <w:tcPr>
            <w:tcW w:w="7560" w:type="dxa"/>
            <w:vAlign w:val="bottom"/>
            <w:vMerge w:val="restart"/>
          </w:tcPr>
          <w:p>
            <w:pPr>
              <w:spacing w:after="0"/>
              <w:rPr>
                <w:sz w:val="20"/>
                <w:szCs w:val="20"/>
                <w:color w:val="auto"/>
              </w:rPr>
            </w:pPr>
            <w:r>
              <w:rPr>
                <w:rFonts w:ascii="Arial" w:cs="Arial" w:eastAsia="Arial" w:hAnsi="Arial"/>
                <w:sz w:val="15"/>
                <w:szCs w:val="15"/>
                <w:b w:val="1"/>
                <w:bCs w:val="1"/>
                <w:color w:val="auto"/>
              </w:rPr>
              <w:t>Cash flow from operating activities:</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b w:val="1"/>
                <w:bCs w:val="1"/>
                <w:color w:val="257ACB"/>
              </w:rPr>
              <w:t>2023</w:t>
            </w:r>
          </w:p>
        </w:tc>
        <w:tc>
          <w:tcPr>
            <w:tcW w:w="68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94"/>
        </w:trPr>
        <w:tc>
          <w:tcPr>
            <w:tcW w:w="7560" w:type="dxa"/>
            <w:vAlign w:val="bottom"/>
            <w:vMerge w:val="continue"/>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257ACB"/>
                <w:w w:val="95"/>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980.9</w:t>
            </w:r>
          </w:p>
        </w:tc>
        <w:tc>
          <w:tcPr>
            <w:tcW w:w="520" w:type="dxa"/>
            <w:vAlign w:val="bottom"/>
            <w:gridSpan w:val="2"/>
          </w:tcPr>
          <w:p>
            <w:pPr>
              <w:jc w:val="right"/>
              <w:ind w:right="24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1,277.2</w:t>
            </w: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5"/>
                <w:szCs w:val="15"/>
                <w:color w:val="auto"/>
              </w:rPr>
              <w:t>Adjustments to reconcile net income to net cash flow from operating activities:</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229.7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277.9</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Excess and obsolescence charges related to inventory</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36.8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305.6</w:t>
            </w: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Arial" w:cs="Arial" w:eastAsia="Arial" w:hAnsi="Arial"/>
                <w:sz w:val="15"/>
                <w:szCs w:val="15"/>
                <w:color w:val="auto"/>
              </w:rPr>
              <w:t>Share-based compensation</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147.1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123.3</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Contingent consideration</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Arial" w:cs="Arial" w:eastAsia="Arial" w:hAnsi="Arial"/>
                <w:sz w:val="15"/>
                <w:szCs w:val="15"/>
                <w:color w:val="auto"/>
              </w:rPr>
              <w:t>Deferred income taxes</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(170.9)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(Gain) loss on strategic investments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(26.8)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269.3</w:t>
            </w: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Arial" w:cs="Arial" w:eastAsia="Arial" w:hAnsi="Arial"/>
                <w:sz w:val="15"/>
                <w:szCs w:val="15"/>
                <w:color w:val="auto"/>
              </w:rPr>
              <w:t>(Gain) loss on equity method investments</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Gain on sale of equity interest in Samsung Bioepis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(1,505.4)</w:t>
            </w: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Arial" w:cs="Arial" w:eastAsia="Arial" w:hAnsi="Arial"/>
                <w:sz w:val="15"/>
                <w:szCs w:val="15"/>
                <w:color w:val="auto"/>
              </w:rPr>
              <w:t>Other</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60.5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112.2</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 net:</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320"/>
              <w:spacing w:after="0"/>
              <w:rPr>
                <w:sz w:val="20"/>
                <w:szCs w:val="20"/>
                <w:color w:val="auto"/>
              </w:rPr>
            </w:pPr>
            <w:r>
              <w:rPr>
                <w:rFonts w:ascii="Arial" w:cs="Arial" w:eastAsia="Arial" w:hAnsi="Arial"/>
                <w:sz w:val="15"/>
                <w:szCs w:val="15"/>
                <w:color w:val="auto"/>
              </w:rPr>
              <w:t>Accounts receivable</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(67.3)</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Due from anti-CD20 therapeutic programs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(6.7)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Inventory</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(65.1)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(243.3)</w:t>
            </w:r>
          </w:p>
        </w:tc>
        <w:tc>
          <w:tcPr>
            <w:tcW w:w="0" w:type="dxa"/>
            <w:vAlign w:val="bottom"/>
          </w:tcPr>
          <w:p>
            <w:pPr>
              <w:spacing w:after="0"/>
              <w:rPr>
                <w:sz w:val="1"/>
                <w:szCs w:val="1"/>
                <w:color w:val="auto"/>
              </w:rPr>
            </w:pPr>
          </w:p>
        </w:tc>
      </w:tr>
      <w:tr>
        <w:trPr>
          <w:trHeight w:val="216"/>
        </w:trPr>
        <w:tc>
          <w:tcPr>
            <w:tcW w:w="7560" w:type="dxa"/>
            <w:vAlign w:val="bottom"/>
          </w:tcPr>
          <w:p>
            <w:pPr>
              <w:ind w:left="320"/>
              <w:spacing w:after="0"/>
              <w:rPr>
                <w:sz w:val="20"/>
                <w:szCs w:val="20"/>
                <w:color w:val="auto"/>
              </w:rPr>
            </w:pPr>
            <w:r>
              <w:rPr>
                <w:rFonts w:ascii="Arial" w:cs="Arial" w:eastAsia="Arial" w:hAnsi="Arial"/>
                <w:sz w:val="15"/>
                <w:szCs w:val="15"/>
                <w:color w:val="auto"/>
              </w:rPr>
              <w:t>Accrued expense and other current liabilities</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(127.1)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634.0</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Income tax assets and liabilities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(82.4)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(65.9)</w:t>
            </w:r>
          </w:p>
        </w:tc>
        <w:tc>
          <w:tcPr>
            <w:tcW w:w="0" w:type="dxa"/>
            <w:vAlign w:val="bottom"/>
          </w:tcPr>
          <w:p>
            <w:pPr>
              <w:spacing w:after="0"/>
              <w:rPr>
                <w:sz w:val="1"/>
                <w:szCs w:val="1"/>
                <w:color w:val="auto"/>
              </w:rPr>
            </w:pPr>
          </w:p>
        </w:tc>
      </w:tr>
      <w:tr>
        <w:trPr>
          <w:trHeight w:val="220"/>
        </w:trPr>
        <w:tc>
          <w:tcPr>
            <w:tcW w:w="7560" w:type="dxa"/>
            <w:vAlign w:val="bottom"/>
          </w:tcPr>
          <w:p>
            <w:pPr>
              <w:ind w:left="320"/>
              <w:spacing w:after="0"/>
              <w:rPr>
                <w:sz w:val="20"/>
                <w:szCs w:val="20"/>
                <w:color w:val="auto"/>
              </w:rPr>
            </w:pPr>
            <w:r>
              <w:rPr>
                <w:rFonts w:ascii="Arial" w:cs="Arial" w:eastAsia="Arial" w:hAnsi="Arial"/>
                <w:sz w:val="15"/>
                <w:szCs w:val="15"/>
                <w:color w:val="auto"/>
              </w:rPr>
              <w:t>Other changes in operating assets and liabilities, net</w:t>
            </w:r>
          </w:p>
        </w:tc>
        <w:tc>
          <w:tcPr>
            <w:tcW w:w="110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(55.5)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(134.0)</w:t>
            </w:r>
          </w:p>
        </w:tc>
        <w:tc>
          <w:tcPr>
            <w:tcW w:w="0" w:type="dxa"/>
            <w:vAlign w:val="bottom"/>
          </w:tcPr>
          <w:p>
            <w:pPr>
              <w:spacing w:after="0"/>
              <w:rPr>
                <w:sz w:val="1"/>
                <w:szCs w:val="1"/>
                <w:color w:val="auto"/>
              </w:rPr>
            </w:pPr>
          </w:p>
        </w:tc>
      </w:tr>
      <w:tr>
        <w:trPr>
          <w:trHeight w:val="207"/>
        </w:trPr>
        <w:tc>
          <w:tcPr>
            <w:tcW w:w="7560" w:type="dxa"/>
            <w:vAlign w:val="bottom"/>
          </w:tcPr>
          <w:p>
            <w:pPr>
              <w:ind w:left="440"/>
              <w:spacing w:after="0"/>
              <w:rPr>
                <w:sz w:val="20"/>
                <w:szCs w:val="20"/>
                <w:color w:val="auto"/>
              </w:rPr>
            </w:pPr>
            <w:r>
              <w:rPr>
                <w:rFonts w:ascii="Arial" w:cs="Arial" w:eastAsia="Arial" w:hAnsi="Arial"/>
                <w:sz w:val="15"/>
                <w:szCs w:val="15"/>
                <w:color w:val="auto"/>
              </w:rPr>
              <w:t>Net cash flow provided by (used in) operating activities</w:t>
            </w:r>
          </w:p>
        </w:tc>
        <w:tc>
          <w:tcPr>
            <w:tcW w:w="110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942.3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898.3</w:t>
            </w:r>
          </w:p>
        </w:tc>
        <w:tc>
          <w:tcPr>
            <w:tcW w:w="0" w:type="dxa"/>
            <w:vAlign w:val="bottom"/>
          </w:tcPr>
          <w:p>
            <w:pPr>
              <w:spacing w:after="0"/>
              <w:rPr>
                <w:sz w:val="1"/>
                <w:szCs w:val="1"/>
                <w:color w:val="auto"/>
              </w:rPr>
            </w:pPr>
          </w:p>
        </w:tc>
      </w:tr>
      <w:tr>
        <w:trPr>
          <w:trHeight w:val="195"/>
        </w:trPr>
        <w:tc>
          <w:tcPr>
            <w:tcW w:w="7560" w:type="dxa"/>
            <w:vAlign w:val="bottom"/>
          </w:tcPr>
          <w:p>
            <w:pPr>
              <w:spacing w:after="0"/>
              <w:rPr>
                <w:sz w:val="20"/>
                <w:szCs w:val="20"/>
                <w:color w:val="auto"/>
              </w:rPr>
            </w:pPr>
            <w:r>
              <w:rPr>
                <w:rFonts w:ascii="Arial" w:cs="Arial" w:eastAsia="Arial" w:hAnsi="Arial"/>
                <w:sz w:val="15"/>
                <w:szCs w:val="15"/>
                <w:b w:val="1"/>
                <w:bCs w:val="1"/>
                <w:color w:val="auto"/>
              </w:rPr>
              <w:t>Cash flow from investing activities:</w:t>
            </w:r>
          </w:p>
        </w:tc>
        <w:tc>
          <w:tcPr>
            <w:tcW w:w="11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560" w:type="dxa"/>
            <w:vAlign w:val="bottom"/>
          </w:tcPr>
          <w:p>
            <w:pPr>
              <w:ind w:left="120"/>
              <w:spacing w:after="0"/>
              <w:rPr>
                <w:sz w:val="20"/>
                <w:szCs w:val="20"/>
                <w:color w:val="auto"/>
              </w:rPr>
            </w:pPr>
            <w:r>
              <w:rPr>
                <w:rFonts w:ascii="Arial" w:cs="Arial" w:eastAsia="Arial" w:hAnsi="Arial"/>
                <w:sz w:val="15"/>
                <w:szCs w:val="15"/>
                <w:color w:val="auto"/>
              </w:rPr>
              <w:t>Purchases of property, plant and equipment</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(137.6)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(94.8)</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Proceeds from sales and maturities of marketable securities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1,682.2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1,461.5</w:t>
            </w: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5"/>
                <w:szCs w:val="15"/>
                <w:color w:val="auto"/>
              </w:rPr>
              <w:t>Purchases of marketable securities</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(4,120.3)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(2,311.6)</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Proceeds from sale of equity interest in Samsung Bioepis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788.1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990.3</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Acquisitions of intangible assets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5"/>
                <w:szCs w:val="15"/>
                <w:color w:val="auto"/>
              </w:rPr>
              <w:t>Proceeds from sales of strategic investments</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103.2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7560" w:type="dxa"/>
            <w:vAlign w:val="bottom"/>
          </w:tcPr>
          <w:p>
            <w:pPr>
              <w:ind w:left="120"/>
              <w:spacing w:after="0"/>
              <w:rPr>
                <w:sz w:val="20"/>
                <w:szCs w:val="20"/>
                <w:color w:val="auto"/>
              </w:rPr>
            </w:pPr>
            <w:r>
              <w:rPr>
                <w:rFonts w:ascii="Arial" w:cs="Arial" w:eastAsia="Arial" w:hAnsi="Arial"/>
                <w:sz w:val="15"/>
                <w:szCs w:val="15"/>
                <w:color w:val="auto"/>
              </w:rPr>
              <w:t>Other</w:t>
            </w:r>
          </w:p>
        </w:tc>
        <w:tc>
          <w:tcPr>
            <w:tcW w:w="110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(1.1)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6"/>
        </w:trPr>
        <w:tc>
          <w:tcPr>
            <w:tcW w:w="7560" w:type="dxa"/>
            <w:vAlign w:val="bottom"/>
          </w:tcPr>
          <w:p>
            <w:pPr>
              <w:ind w:left="340"/>
              <w:spacing w:after="0"/>
              <w:rPr>
                <w:sz w:val="20"/>
                <w:szCs w:val="20"/>
                <w:color w:val="auto"/>
              </w:rPr>
            </w:pPr>
            <w:r>
              <w:rPr>
                <w:rFonts w:ascii="Arial" w:cs="Arial" w:eastAsia="Arial" w:hAnsi="Arial"/>
                <w:sz w:val="15"/>
                <w:szCs w:val="15"/>
                <w:color w:val="auto"/>
              </w:rPr>
              <w:t>Net cash flow provided by (used in) investing activities</w:t>
            </w: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(1,706.5)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45.5</w:t>
            </w: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5"/>
                <w:szCs w:val="15"/>
                <w:b w:val="1"/>
                <w:bCs w:val="1"/>
                <w:color w:val="auto"/>
              </w:rPr>
              <w:t>Cash flow from financing activities: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20"/>
              <w:spacing w:after="0"/>
              <w:rPr>
                <w:sz w:val="20"/>
                <w:szCs w:val="20"/>
                <w:color w:val="auto"/>
              </w:rPr>
            </w:pPr>
            <w:r>
              <w:rPr>
                <w:rFonts w:ascii="Arial" w:cs="Arial" w:eastAsia="Arial" w:hAnsi="Arial"/>
                <w:sz w:val="15"/>
                <w:szCs w:val="15"/>
                <w:color w:val="auto"/>
              </w:rPr>
              <w:t>Purchases of treasury stock</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214"/>
        </w:trPr>
        <w:tc>
          <w:tcPr>
            <w:tcW w:w="7560" w:type="dxa"/>
            <w:vAlign w:val="bottom"/>
          </w:tcPr>
          <w:p>
            <w:pPr>
              <w:ind w:left="120"/>
              <w:spacing w:after="0"/>
              <w:rPr>
                <w:sz w:val="20"/>
                <w:szCs w:val="20"/>
                <w:color w:val="auto"/>
              </w:rPr>
            </w:pPr>
            <w:r>
              <w:rPr>
                <w:rFonts w:ascii="Arial" w:cs="Arial" w:eastAsia="Arial" w:hAnsi="Arial"/>
                <w:sz w:val="15"/>
                <w:szCs w:val="15"/>
                <w:color w:val="auto"/>
              </w:rPr>
              <w:t>Payments related to issuance of stock for share-based compensation arrangements, net</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(54.6)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Net (distribution) contribution to noncontrolling interest</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20"/>
        </w:trPr>
        <w:tc>
          <w:tcPr>
            <w:tcW w:w="7560" w:type="dxa"/>
            <w:vAlign w:val="bottom"/>
          </w:tcPr>
          <w:p>
            <w:pPr>
              <w:ind w:left="120"/>
              <w:spacing w:after="0"/>
              <w:rPr>
                <w:sz w:val="20"/>
                <w:szCs w:val="20"/>
                <w:color w:val="auto"/>
              </w:rPr>
            </w:pPr>
            <w:r>
              <w:rPr>
                <w:rFonts w:ascii="Arial" w:cs="Arial" w:eastAsia="Arial" w:hAnsi="Arial"/>
                <w:sz w:val="15"/>
                <w:szCs w:val="15"/>
                <w:color w:val="auto"/>
              </w:rPr>
              <w:t>Other</w:t>
            </w:r>
          </w:p>
        </w:tc>
        <w:tc>
          <w:tcPr>
            <w:tcW w:w="110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(0.3)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00"/>
        </w:trPr>
        <w:tc>
          <w:tcPr>
            <w:tcW w:w="7560" w:type="dxa"/>
            <w:vAlign w:val="bottom"/>
          </w:tcPr>
          <w:p>
            <w:pPr>
              <w:ind w:left="340"/>
              <w:spacing w:after="0"/>
              <w:rPr>
                <w:sz w:val="20"/>
                <w:szCs w:val="20"/>
                <w:color w:val="auto"/>
              </w:rPr>
            </w:pPr>
            <w:r>
              <w:rPr>
                <w:rFonts w:ascii="Arial" w:cs="Arial" w:eastAsia="Arial" w:hAnsi="Arial"/>
                <w:sz w:val="15"/>
                <w:szCs w:val="15"/>
                <w:color w:val="auto"/>
              </w:rPr>
              <w:t>Net cash flow provided by (used in) financing activities</w:t>
            </w: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(53.2)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(488.0)</w:t>
            </w:r>
          </w:p>
        </w:tc>
        <w:tc>
          <w:tcPr>
            <w:tcW w:w="0" w:type="dxa"/>
            <w:vAlign w:val="bottom"/>
          </w:tcPr>
          <w:p>
            <w:pPr>
              <w:spacing w:after="0"/>
              <w:rPr>
                <w:sz w:val="1"/>
                <w:szCs w:val="1"/>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5"/>
                <w:szCs w:val="15"/>
                <w:color w:val="auto"/>
              </w:rPr>
              <w:t>Net increase (decrease) in cash and cash equivalents</w:t>
            </w:r>
          </w:p>
        </w:tc>
        <w:tc>
          <w:tcPr>
            <w:tcW w:w="110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(817.4)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455.8</w:t>
            </w:r>
          </w:p>
        </w:tc>
        <w:tc>
          <w:tcPr>
            <w:tcW w:w="0" w:type="dxa"/>
            <w:vAlign w:val="bottom"/>
          </w:tcPr>
          <w:p>
            <w:pPr>
              <w:spacing w:after="0"/>
              <w:rPr>
                <w:sz w:val="1"/>
                <w:szCs w:val="1"/>
                <w:color w:val="auto"/>
              </w:rPr>
            </w:pPr>
          </w:p>
        </w:tc>
      </w:tr>
      <w:tr>
        <w:trPr>
          <w:trHeight w:val="214"/>
        </w:trPr>
        <w:tc>
          <w:tcPr>
            <w:tcW w:w="7560" w:type="dxa"/>
            <w:vAlign w:val="bottom"/>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(70.6)</w:t>
            </w:r>
          </w:p>
        </w:tc>
        <w:tc>
          <w:tcPr>
            <w:tcW w:w="0" w:type="dxa"/>
            <w:vAlign w:val="bottom"/>
          </w:tcPr>
          <w:p>
            <w:pPr>
              <w:spacing w:after="0"/>
              <w:rPr>
                <w:sz w:val="1"/>
                <w:szCs w:val="1"/>
                <w:color w:val="auto"/>
              </w:rPr>
            </w:pPr>
          </w:p>
        </w:tc>
      </w:tr>
      <w:tr>
        <w:trPr>
          <w:trHeight w:val="220"/>
        </w:trPr>
        <w:tc>
          <w:tcPr>
            <w:tcW w:w="7560" w:type="dxa"/>
            <w:vAlign w:val="bottom"/>
          </w:tcPr>
          <w:p>
            <w:pPr>
              <w:spacing w:after="0"/>
              <w:rPr>
                <w:sz w:val="20"/>
                <w:szCs w:val="20"/>
                <w:color w:val="auto"/>
              </w:rPr>
            </w:pPr>
            <w:r>
              <w:rPr>
                <w:rFonts w:ascii="Arial" w:cs="Arial" w:eastAsia="Arial" w:hAnsi="Arial"/>
                <w:sz w:val="15"/>
                <w:szCs w:val="15"/>
                <w:color w:val="auto"/>
              </w:rPr>
              <w:t>Cash and cash equivalents, beginning of the period</w:t>
            </w:r>
          </w:p>
        </w:tc>
        <w:tc>
          <w:tcPr>
            <w:tcW w:w="110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3,419.3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2,261.4</w:t>
            </w:r>
          </w:p>
        </w:tc>
        <w:tc>
          <w:tcPr>
            <w:tcW w:w="0" w:type="dxa"/>
            <w:vAlign w:val="bottom"/>
          </w:tcPr>
          <w:p>
            <w:pPr>
              <w:spacing w:after="0"/>
              <w:rPr>
                <w:sz w:val="1"/>
                <w:szCs w:val="1"/>
                <w:color w:val="auto"/>
              </w:rPr>
            </w:pPr>
          </w:p>
        </w:tc>
      </w:tr>
      <w:tr>
        <w:trPr>
          <w:trHeight w:val="220"/>
        </w:trPr>
        <w:tc>
          <w:tcPr>
            <w:tcW w:w="7560" w:type="dxa"/>
            <w:vAlign w:val="bottom"/>
          </w:tcPr>
          <w:p>
            <w:pPr>
              <w:spacing w:after="0"/>
              <w:rPr>
                <w:sz w:val="20"/>
                <w:szCs w:val="20"/>
                <w:color w:val="auto"/>
              </w:rPr>
            </w:pPr>
            <w:r>
              <w:rPr>
                <w:rFonts w:ascii="Arial" w:cs="Arial" w:eastAsia="Arial" w:hAnsi="Arial"/>
                <w:sz w:val="15"/>
                <w:szCs w:val="15"/>
                <w:color w:val="auto"/>
              </w:rPr>
              <w:t>Cash and cash equivalents, end of the period</w:t>
            </w:r>
          </w:p>
        </w:tc>
        <w:tc>
          <w:tcPr>
            <w:tcW w:w="1100" w:type="dxa"/>
            <w:vAlign w:val="bottom"/>
            <w:tcBorders>
              <w:bottom w:val="single" w:sz="8" w:color="auto"/>
            </w:tcBorders>
            <w:shd w:val="clear" w:color="auto" w:fill="DBDBDB"/>
          </w:tcPr>
          <w:p>
            <w:pPr>
              <w:jc w:val="right"/>
              <w:ind w:right="923"/>
              <w:spacing w:after="0"/>
              <w:rPr>
                <w:sz w:val="20"/>
                <w:szCs w:val="20"/>
                <w:color w:val="auto"/>
              </w:rPr>
            </w:pPr>
            <w:r>
              <w:rPr>
                <w:rFonts w:ascii="Arial" w:cs="Arial" w:eastAsia="Arial" w:hAnsi="Arial"/>
                <w:sz w:val="15"/>
                <w:szCs w:val="15"/>
                <w:color w:val="257ACB"/>
                <w:w w:val="95"/>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2,617.8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2,646.6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 w:right="2660"/>
        <w:spacing w:after="0" w:line="266" w:lineRule="auto"/>
        <w:rPr>
          <w:sz w:val="20"/>
          <w:szCs w:val="20"/>
          <w:color w:val="auto"/>
        </w:rPr>
      </w:pPr>
      <w:r>
        <w:rPr>
          <w:rFonts w:ascii="Arial" w:cs="Arial" w:eastAsia="Arial" w:hAnsi="Arial"/>
          <w:sz w:val="22"/>
          <w:szCs w:val="22"/>
          <w:b w:val="1"/>
          <w:bCs w:val="1"/>
          <w:color w:val="1C5A7D"/>
        </w:rPr>
        <w:t>BIOGEN INC. AND SUBSIDIARIES CONDENSED CONSOLIDATED STATEMENTS OF EQUITY (unaudited, in millions)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20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4"/>
                <w:szCs w:val="14"/>
                <w:color w:val="auto"/>
              </w:rPr>
            </w:pPr>
          </w:p>
        </w:tc>
        <w:tc>
          <w:tcPr>
            <w:tcW w:w="1180" w:type="dxa"/>
            <w:vAlign w:val="bottom"/>
            <w:gridSpan w:val="4"/>
            <w:vMerge w:val="restart"/>
          </w:tcPr>
          <w:p>
            <w:pPr>
              <w:jc w:val="right"/>
              <w:ind w:right="13"/>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restart"/>
          </w:tcPr>
          <w:p>
            <w:pPr>
              <w:jc w:val="right"/>
              <w:ind w:right="52"/>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1"/>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540" w:type="dxa"/>
            <w:vAlign w:val="bottom"/>
          </w:tcPr>
          <w:p>
            <w:pPr>
              <w:spacing w:after="0"/>
              <w:rPr>
                <w:sz w:val="8"/>
                <w:szCs w:val="8"/>
                <w:color w:val="auto"/>
              </w:rPr>
            </w:pPr>
          </w:p>
        </w:tc>
        <w:tc>
          <w:tcPr>
            <w:tcW w:w="1200" w:type="dxa"/>
            <w:vAlign w:val="bottom"/>
            <w:tcBorders>
              <w:bottom w:val="single" w:sz="8" w:color="auto"/>
            </w:tcBorders>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restart"/>
          </w:tcPr>
          <w:p>
            <w:pPr>
              <w:jc w:val="center"/>
              <w:ind w:right="51"/>
              <w:spacing w:after="0" w:line="13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Borders>
              <w:bottom w:val="single" w:sz="8" w:color="auto"/>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restart"/>
          </w:tcPr>
          <w:p>
            <w:pPr>
              <w:jc w:val="center"/>
              <w:ind w:right="31"/>
              <w:spacing w:after="0" w:line="135" w:lineRule="exact"/>
              <w:rPr>
                <w:sz w:val="20"/>
                <w:szCs w:val="20"/>
                <w:color w:val="auto"/>
              </w:rPr>
            </w:pPr>
            <w:r>
              <w:rPr>
                <w:rFonts w:ascii="Arial" w:cs="Arial" w:eastAsia="Arial" w:hAnsi="Arial"/>
                <w:sz w:val="14"/>
                <w:szCs w:val="14"/>
                <w:b w:val="1"/>
                <w:bCs w:val="1"/>
                <w:color w:val="auto"/>
              </w:rPr>
              <w:t>Biogen Inc.</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line="20" w:lineRule="exact"/>
              <w:rPr>
                <w:sz w:val="1"/>
                <w:szCs w:val="1"/>
                <w:color w:val="auto"/>
              </w:rPr>
            </w:pPr>
          </w:p>
        </w:tc>
        <w:tc>
          <w:tcPr>
            <w:tcW w:w="70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54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shareholders’</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5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March 31,</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320" w:type="dxa"/>
            <w:vAlign w:val="bottom"/>
            <w:gridSpan w:val="2"/>
            <w:vMerge w:val="restart"/>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6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3"/>
                <w:szCs w:val="13"/>
                <w:color w:val="2573BA"/>
              </w:rPr>
              <w:t>—</w:t>
            </w:r>
          </w:p>
        </w:tc>
        <w:tc>
          <w:tcPr>
            <w:tcW w:w="60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168.6</w:t>
            </w:r>
          </w:p>
        </w:tc>
        <w:tc>
          <w:tcPr>
            <w:tcW w:w="3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0.1</w:t>
            </w:r>
          </w:p>
        </w:tc>
        <w:tc>
          <w:tcPr>
            <w:tcW w:w="2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62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91.2</w:t>
            </w:r>
          </w:p>
        </w:tc>
        <w:tc>
          <w:tcPr>
            <w:tcW w:w="1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(172.0)</w:t>
            </w:r>
          </w:p>
        </w:tc>
        <w:tc>
          <w:tcPr>
            <w:tcW w:w="800" w:type="dxa"/>
            <w:vAlign w:val="bottom"/>
            <w:gridSpan w:val="2"/>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$ 16,854.4</w:t>
            </w:r>
          </w:p>
        </w:tc>
        <w:tc>
          <w:tcPr>
            <w:tcW w:w="80" w:type="dxa"/>
            <w:vAlign w:val="bottom"/>
            <w:shd w:val="clear" w:color="auto" w:fill="DBDBDB"/>
          </w:tcPr>
          <w:p>
            <w:pPr>
              <w:spacing w:after="0"/>
              <w:rPr>
                <w:sz w:val="12"/>
                <w:szCs w:val="12"/>
                <w:color w:val="auto"/>
              </w:rPr>
            </w:pP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74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$(2,977.1)</w:t>
            </w:r>
          </w:p>
        </w:tc>
        <w:tc>
          <w:tcPr>
            <w:tcW w:w="20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8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13,796.6</w:t>
            </w:r>
          </w:p>
        </w:tc>
        <w:tc>
          <w:tcPr>
            <w:tcW w:w="24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(9.6)</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$13,787.0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520" w:type="dxa"/>
            <w:vAlign w:val="bottom"/>
            <w:vMerge w:val="continue"/>
            <w:shd w:val="clear" w:color="auto" w:fill="DBDBDB"/>
          </w:tcPr>
          <w:p>
            <w:pPr>
              <w:spacing w:after="0"/>
              <w:rPr>
                <w:sz w:val="16"/>
                <w:szCs w:val="16"/>
                <w:color w:val="auto"/>
              </w:rPr>
            </w:pPr>
          </w:p>
        </w:tc>
        <w:tc>
          <w:tcPr>
            <w:tcW w:w="320" w:type="dxa"/>
            <w:vAlign w:val="bottom"/>
            <w:gridSpan w:val="2"/>
            <w:vMerge w:val="continue"/>
            <w:shd w:val="clear" w:color="auto" w:fill="DBDBDB"/>
          </w:tcPr>
          <w:p>
            <w:pPr>
              <w:spacing w:after="0"/>
              <w:rPr>
                <w:sz w:val="16"/>
                <w:szCs w:val="16"/>
                <w:color w:val="auto"/>
              </w:rPr>
            </w:pPr>
          </w:p>
        </w:tc>
        <w:tc>
          <w:tcPr>
            <w:tcW w:w="360" w:type="dxa"/>
            <w:vAlign w:val="bottom"/>
            <w:gridSpan w:val="2"/>
            <w:vMerge w:val="continue"/>
            <w:shd w:val="clear" w:color="auto" w:fill="DBDBDB"/>
          </w:tcPr>
          <w:p>
            <w:pPr>
              <w:spacing w:after="0"/>
              <w:rPr>
                <w:sz w:val="16"/>
                <w:szCs w:val="16"/>
                <w:color w:val="auto"/>
              </w:rPr>
            </w:pPr>
          </w:p>
        </w:tc>
        <w:tc>
          <w:tcPr>
            <w:tcW w:w="600" w:type="dxa"/>
            <w:vAlign w:val="bottom"/>
            <w:gridSpan w:val="2"/>
            <w:vMerge w:val="continue"/>
            <w:shd w:val="clear" w:color="auto" w:fill="DBDBDB"/>
          </w:tcPr>
          <w:p>
            <w:pPr>
              <w:spacing w:after="0"/>
              <w:rPr>
                <w:sz w:val="16"/>
                <w:szCs w:val="16"/>
                <w:color w:val="auto"/>
              </w:rPr>
            </w:pPr>
          </w:p>
        </w:tc>
        <w:tc>
          <w:tcPr>
            <w:tcW w:w="300" w:type="dxa"/>
            <w:vAlign w:val="bottom"/>
            <w:gridSpan w:val="2"/>
            <w:vMerge w:val="continue"/>
            <w:shd w:val="clear" w:color="auto" w:fill="DBDBDB"/>
          </w:tcPr>
          <w:p>
            <w:pPr>
              <w:spacing w:after="0"/>
              <w:rPr>
                <w:sz w:val="16"/>
                <w:szCs w:val="16"/>
                <w:color w:val="auto"/>
              </w:rPr>
            </w:pPr>
          </w:p>
        </w:tc>
        <w:tc>
          <w:tcPr>
            <w:tcW w:w="380" w:type="dxa"/>
            <w:vAlign w:val="bottom"/>
            <w:vMerge w:val="continue"/>
            <w:shd w:val="clear" w:color="auto" w:fill="DBDBDB"/>
          </w:tcPr>
          <w:p>
            <w:pPr>
              <w:spacing w:after="0"/>
              <w:rPr>
                <w:sz w:val="16"/>
                <w:szCs w:val="16"/>
                <w:color w:val="auto"/>
              </w:rPr>
            </w:pPr>
          </w:p>
        </w:tc>
        <w:tc>
          <w:tcPr>
            <w:tcW w:w="200" w:type="dxa"/>
            <w:vAlign w:val="bottom"/>
            <w:gridSpan w:val="2"/>
            <w:vMerge w:val="continue"/>
            <w:shd w:val="clear" w:color="auto" w:fill="DBDBDB"/>
          </w:tcPr>
          <w:p>
            <w:pPr>
              <w:spacing w:after="0"/>
              <w:rPr>
                <w:sz w:val="16"/>
                <w:szCs w:val="16"/>
                <w:color w:val="auto"/>
              </w:rPr>
            </w:pPr>
          </w:p>
        </w:tc>
        <w:tc>
          <w:tcPr>
            <w:tcW w:w="620" w:type="dxa"/>
            <w:vAlign w:val="bottom"/>
            <w:vMerge w:val="continue"/>
            <w:shd w:val="clear" w:color="auto" w:fill="DBDBDB"/>
          </w:tcPr>
          <w:p>
            <w:pPr>
              <w:spacing w:after="0"/>
              <w:rPr>
                <w:sz w:val="16"/>
                <w:szCs w:val="16"/>
                <w:color w:val="auto"/>
              </w:rPr>
            </w:pPr>
          </w:p>
        </w:tc>
        <w:tc>
          <w:tcPr>
            <w:tcW w:w="180" w:type="dxa"/>
            <w:vAlign w:val="bottom"/>
            <w:gridSpan w:val="2"/>
            <w:vMerge w:val="continue"/>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40" w:type="dxa"/>
            <w:vAlign w:val="bottom"/>
            <w:vMerge w:val="continue"/>
            <w:shd w:val="clear" w:color="auto" w:fill="DBDBDB"/>
          </w:tcPr>
          <w:p>
            <w:pPr>
              <w:spacing w:after="0"/>
              <w:rPr>
                <w:sz w:val="16"/>
                <w:szCs w:val="16"/>
                <w:color w:val="auto"/>
              </w:rPr>
            </w:pPr>
          </w:p>
        </w:tc>
        <w:tc>
          <w:tcPr>
            <w:tcW w:w="740" w:type="dxa"/>
            <w:vAlign w:val="bottom"/>
            <w:gridSpan w:val="2"/>
            <w:vMerge w:val="continue"/>
            <w:shd w:val="clear" w:color="auto" w:fill="DBDBDB"/>
          </w:tcPr>
          <w:p>
            <w:pPr>
              <w:spacing w:after="0"/>
              <w:rPr>
                <w:sz w:val="16"/>
                <w:szCs w:val="16"/>
                <w:color w:val="auto"/>
              </w:rPr>
            </w:pPr>
          </w:p>
        </w:tc>
        <w:tc>
          <w:tcPr>
            <w:tcW w:w="200" w:type="dxa"/>
            <w:vAlign w:val="bottom"/>
            <w:gridSpan w:val="2"/>
            <w:vMerge w:val="continue"/>
            <w:shd w:val="clear" w:color="auto" w:fill="DBDBDB"/>
          </w:tcPr>
          <w:p>
            <w:pPr>
              <w:spacing w:after="0"/>
              <w:rPr>
                <w:sz w:val="16"/>
                <w:szCs w:val="16"/>
                <w:color w:val="auto"/>
              </w:rPr>
            </w:pPr>
          </w:p>
        </w:tc>
        <w:tc>
          <w:tcPr>
            <w:tcW w:w="880" w:type="dxa"/>
            <w:vAlign w:val="bottom"/>
            <w:vMerge w:val="continue"/>
            <w:shd w:val="clear" w:color="auto" w:fill="DBDBDB"/>
          </w:tcPr>
          <w:p>
            <w:pPr>
              <w:spacing w:after="0"/>
              <w:rPr>
                <w:sz w:val="16"/>
                <w:szCs w:val="16"/>
                <w:color w:val="auto"/>
              </w:rPr>
            </w:pPr>
          </w:p>
        </w:tc>
        <w:tc>
          <w:tcPr>
            <w:tcW w:w="240" w:type="dxa"/>
            <w:vAlign w:val="bottom"/>
            <w:gridSpan w:val="2"/>
            <w:vMerge w:val="continue"/>
            <w:shd w:val="clear" w:color="auto" w:fill="DBDBDB"/>
          </w:tcPr>
          <w:p>
            <w:pPr>
              <w:spacing w:after="0"/>
              <w:rPr>
                <w:sz w:val="16"/>
                <w:szCs w:val="16"/>
                <w:color w:val="auto"/>
              </w:rPr>
            </w:pPr>
          </w:p>
        </w:tc>
        <w:tc>
          <w:tcPr>
            <w:tcW w:w="900" w:type="dxa"/>
            <w:vAlign w:val="bottom"/>
            <w:vMerge w:val="continue"/>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20"/>
                <w:szCs w:val="20"/>
                <w:color w:val="auto"/>
              </w:rPr>
            </w:pPr>
            <w:r>
              <w:rPr>
                <w:rFonts w:ascii="Arial" w:cs="Arial" w:eastAsia="Arial" w:hAnsi="Arial"/>
                <w:sz w:val="14"/>
                <w:szCs w:val="14"/>
                <w:color w:val="auto"/>
              </w:rPr>
              <w:t>Net income</w:t>
            </w:r>
          </w:p>
        </w:tc>
        <w:tc>
          <w:tcPr>
            <w:tcW w:w="52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38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2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1"/>
              <w:spacing w:after="0"/>
              <w:rPr>
                <w:sz w:val="20"/>
                <w:szCs w:val="20"/>
                <w:color w:val="auto"/>
              </w:rPr>
            </w:pPr>
            <w:r>
              <w:rPr>
                <w:rFonts w:ascii="Arial" w:cs="Arial" w:eastAsia="Arial" w:hAnsi="Arial"/>
                <w:sz w:val="13"/>
                <w:szCs w:val="13"/>
                <w:color w:val="2573BA"/>
              </w:rPr>
              <w:t>591.6</w:t>
            </w:r>
          </w:p>
        </w:tc>
        <w:tc>
          <w:tcPr>
            <w:tcW w:w="80" w:type="dxa"/>
            <w:vAlign w:val="bottom"/>
            <w:shd w:val="clear" w:color="auto" w:fill="DBDBDB"/>
          </w:tcPr>
          <w:p>
            <w:pPr>
              <w:spacing w:after="0"/>
              <w:rPr>
                <w:sz w:val="16"/>
                <w:szCs w:val="16"/>
                <w:color w:val="auto"/>
              </w:rPr>
            </w:pPr>
          </w:p>
        </w:tc>
        <w:tc>
          <w:tcPr>
            <w:tcW w:w="540" w:type="dxa"/>
            <w:vAlign w:val="bottom"/>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591.6</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1.7</w:t>
            </w: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2573BA"/>
              </w:rPr>
              <w:t>593.3</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20"/>
                <w:szCs w:val="20"/>
                <w:color w:val="auto"/>
              </w:rPr>
            </w:pPr>
            <w:r>
              <w:rPr>
                <w:rFonts w:ascii="Arial" w:cs="Arial" w:eastAsia="Arial" w:hAnsi="Arial"/>
                <w:sz w:val="14"/>
                <w:szCs w:val="14"/>
                <w:color w:val="auto"/>
              </w:rPr>
              <w:t>Other comprehensive</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40" w:type="dxa"/>
            <w:vAlign w:val="bottom"/>
          </w:tcPr>
          <w:p>
            <w:pPr>
              <w:spacing w:after="0" w:line="143" w:lineRule="exact"/>
              <w:rPr>
                <w:sz w:val="20"/>
                <w:szCs w:val="20"/>
                <w:color w:val="auto"/>
              </w:rPr>
            </w:pPr>
            <w:r>
              <w:rPr>
                <w:rFonts w:ascii="Arial" w:cs="Arial" w:eastAsia="Arial" w:hAnsi="Arial"/>
                <w:sz w:val="14"/>
                <w:szCs w:val="14"/>
                <w:color w:val="auto"/>
              </w:rPr>
              <w:t>income (loss), net of</w:t>
            </w:r>
          </w:p>
        </w:tc>
        <w:tc>
          <w:tcPr>
            <w:tcW w:w="5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tax</w:t>
            </w:r>
          </w:p>
        </w:tc>
        <w:tc>
          <w:tcPr>
            <w:tcW w:w="52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(0.8)</w:t>
            </w:r>
          </w:p>
        </w:tc>
        <w:tc>
          <w:tcPr>
            <w:tcW w:w="80" w:type="dxa"/>
            <w:vAlign w:val="bottom"/>
            <w:shd w:val="clear" w:color="auto" w:fill="DBDBDB"/>
          </w:tcPr>
          <w:p>
            <w:pPr>
              <w:spacing w:after="0"/>
              <w:rPr>
                <w:sz w:val="15"/>
                <w:szCs w:val="15"/>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(0.8)</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2573BA"/>
              </w:rPr>
              <w:t>(0.8)</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20"/>
                <w:szCs w:val="20"/>
                <w:color w:val="auto"/>
              </w:rPr>
            </w:pPr>
            <w:r>
              <w:rPr>
                <w:rFonts w:ascii="Arial" w:cs="Arial" w:eastAsia="Arial" w:hAnsi="Arial"/>
                <w:sz w:val="14"/>
                <w:szCs w:val="14"/>
                <w:color w:val="auto"/>
              </w:rPr>
              <w:t>Capital contribution</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40" w:type="dxa"/>
            <w:vAlign w:val="bottom"/>
          </w:tcPr>
          <w:p>
            <w:pPr>
              <w:spacing w:after="0" w:line="143" w:lineRule="exact"/>
              <w:rPr>
                <w:sz w:val="20"/>
                <w:szCs w:val="20"/>
                <w:color w:val="auto"/>
              </w:rPr>
            </w:pPr>
            <w:r>
              <w:rPr>
                <w:rFonts w:ascii="Arial" w:cs="Arial" w:eastAsia="Arial" w:hAnsi="Arial"/>
                <w:sz w:val="14"/>
                <w:szCs w:val="14"/>
                <w:color w:val="auto"/>
              </w:rPr>
              <w:t>from noncontrolling</w:t>
            </w:r>
          </w:p>
        </w:tc>
        <w:tc>
          <w:tcPr>
            <w:tcW w:w="5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interest</w:t>
            </w:r>
          </w:p>
        </w:tc>
        <w:tc>
          <w:tcPr>
            <w:tcW w:w="52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1.5</w:t>
            </w: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2573BA"/>
              </w:rPr>
              <w:t>1.5</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20"/>
                <w:szCs w:val="20"/>
                <w:color w:val="auto"/>
              </w:rPr>
            </w:pPr>
            <w:r>
              <w:rPr>
                <w:rFonts w:ascii="Arial" w:cs="Arial" w:eastAsia="Arial" w:hAnsi="Arial"/>
                <w:sz w:val="14"/>
                <w:szCs w:val="14"/>
                <w:color w:val="auto"/>
              </w:rPr>
              <w:t>Issuance of common</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4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option and stock</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9.3</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8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vMerge w:val="restart"/>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9.3</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9.3</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purchase plans</w:t>
            </w:r>
          </w:p>
        </w:tc>
        <w:tc>
          <w:tcPr>
            <w:tcW w:w="52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gridSpan w:val="2"/>
            <w:vMerge w:val="continue"/>
            <w:shd w:val="clear" w:color="auto" w:fill="DBDBDB"/>
          </w:tcPr>
          <w:p>
            <w:pPr>
              <w:spacing w:after="0"/>
              <w:rPr>
                <w:sz w:val="15"/>
                <w:szCs w:val="15"/>
                <w:color w:val="auto"/>
              </w:rPr>
            </w:pPr>
          </w:p>
        </w:tc>
        <w:tc>
          <w:tcPr>
            <w:tcW w:w="5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6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line="157" w:lineRule="exact"/>
              <w:rPr>
                <w:sz w:val="20"/>
                <w:szCs w:val="20"/>
                <w:color w:val="auto"/>
              </w:rPr>
            </w:pPr>
            <w:r>
              <w:rPr>
                <w:rFonts w:ascii="Arial" w:cs="Arial" w:eastAsia="Arial" w:hAnsi="Arial"/>
                <w:sz w:val="14"/>
                <w:szCs w:val="14"/>
                <w:color w:val="auto"/>
              </w:rPr>
              <w:t>Issuance of common</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stock under stock</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(3.8)</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8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vMerge w:val="restart"/>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(3.8)</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(3.8)</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award plan</w:t>
            </w:r>
          </w:p>
        </w:tc>
        <w:tc>
          <w:tcPr>
            <w:tcW w:w="52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gridSpan w:val="2"/>
            <w:vMerge w:val="continue"/>
            <w:shd w:val="clear" w:color="auto" w:fill="DBDBDB"/>
          </w:tcPr>
          <w:p>
            <w:pPr>
              <w:spacing w:after="0"/>
              <w:rPr>
                <w:sz w:val="15"/>
                <w:szCs w:val="15"/>
                <w:color w:val="auto"/>
              </w:rPr>
            </w:pPr>
          </w:p>
        </w:tc>
        <w:tc>
          <w:tcPr>
            <w:tcW w:w="5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6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line="157" w:lineRule="exact"/>
              <w:rPr>
                <w:sz w:val="20"/>
                <w:szCs w:val="20"/>
                <w:color w:val="auto"/>
              </w:rPr>
            </w:pPr>
            <w:r>
              <w:rPr>
                <w:rFonts w:ascii="Arial" w:cs="Arial" w:eastAsia="Arial" w:hAnsi="Arial"/>
                <w:sz w:val="14"/>
                <w:szCs w:val="14"/>
                <w:color w:val="auto"/>
              </w:rPr>
              <w:t>Compensation related</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to share-based</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74.1</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8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vMerge w:val="restart"/>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74.1</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74.1</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payments</w:t>
            </w:r>
          </w:p>
        </w:tc>
        <w:tc>
          <w:tcPr>
            <w:tcW w:w="52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gridSpan w:val="2"/>
            <w:vMerge w:val="continue"/>
            <w:shd w:val="clear" w:color="auto" w:fill="DBDBDB"/>
          </w:tcPr>
          <w:p>
            <w:pPr>
              <w:spacing w:after="0"/>
              <w:rPr>
                <w:sz w:val="15"/>
                <w:szCs w:val="15"/>
                <w:color w:val="auto"/>
              </w:rPr>
            </w:pPr>
          </w:p>
        </w:tc>
        <w:tc>
          <w:tcPr>
            <w:tcW w:w="5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6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0" w:type="dxa"/>
            <w:vAlign w:val="bottom"/>
          </w:tcPr>
          <w:p>
            <w:pPr>
              <w:spacing w:after="0"/>
              <w:rPr>
                <w:sz w:val="1"/>
                <w:szCs w:val="1"/>
                <w:color w:val="auto"/>
              </w:rPr>
            </w:pPr>
          </w:p>
        </w:tc>
      </w:tr>
      <w:tr>
        <w:trPr>
          <w:trHeight w:val="142"/>
        </w:trPr>
        <w:tc>
          <w:tcPr>
            <w:tcW w:w="15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June 30,</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2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w:t>
            </w: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168.6</w:t>
            </w:r>
          </w:p>
        </w:tc>
        <w:tc>
          <w:tcPr>
            <w:tcW w:w="3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0.1</w:t>
            </w:r>
          </w:p>
        </w:tc>
        <w:tc>
          <w:tcPr>
            <w:tcW w:w="2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62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170.7</w:t>
            </w:r>
          </w:p>
        </w:tc>
        <w:tc>
          <w:tcPr>
            <w:tcW w:w="1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(172.8)</w:t>
            </w:r>
          </w:p>
        </w:tc>
        <w:tc>
          <w:tcPr>
            <w:tcW w:w="800" w:type="dxa"/>
            <w:vAlign w:val="bottom"/>
            <w:gridSpan w:val="2"/>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$ 17,446.0</w:t>
            </w:r>
          </w:p>
        </w:tc>
        <w:tc>
          <w:tcPr>
            <w:tcW w:w="80" w:type="dxa"/>
            <w:vAlign w:val="bottom"/>
            <w:shd w:val="clear" w:color="auto" w:fill="DBDBDB"/>
          </w:tcPr>
          <w:p>
            <w:pPr>
              <w:spacing w:after="0"/>
              <w:rPr>
                <w:sz w:val="12"/>
                <w:szCs w:val="12"/>
                <w:color w:val="auto"/>
              </w:rPr>
            </w:pP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74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$(2,977.1)</w:t>
            </w:r>
          </w:p>
        </w:tc>
        <w:tc>
          <w:tcPr>
            <w:tcW w:w="20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8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14,466.9</w:t>
            </w:r>
          </w:p>
        </w:tc>
        <w:tc>
          <w:tcPr>
            <w:tcW w:w="24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(6.4)</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$14,460.5</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52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vMerge w:val="continue"/>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300" w:type="dxa"/>
            <w:vAlign w:val="bottom"/>
            <w:gridSpan w:val="2"/>
            <w:vMerge w:val="continue"/>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200" w:type="dxa"/>
            <w:vAlign w:val="bottom"/>
            <w:gridSpan w:val="2"/>
            <w:vMerge w:val="continue"/>
            <w:shd w:val="clear" w:color="auto" w:fill="DBDBDB"/>
          </w:tcPr>
          <w:p>
            <w:pPr>
              <w:spacing w:after="0"/>
              <w:rPr>
                <w:sz w:val="15"/>
                <w:szCs w:val="15"/>
                <w:color w:val="auto"/>
              </w:rPr>
            </w:pPr>
          </w:p>
        </w:tc>
        <w:tc>
          <w:tcPr>
            <w:tcW w:w="620" w:type="dxa"/>
            <w:vAlign w:val="bottom"/>
            <w:vMerge w:val="continue"/>
            <w:shd w:val="clear" w:color="auto" w:fill="DBDBDB"/>
          </w:tcPr>
          <w:p>
            <w:pPr>
              <w:spacing w:after="0"/>
              <w:rPr>
                <w:sz w:val="15"/>
                <w:szCs w:val="15"/>
                <w:color w:val="auto"/>
              </w:rPr>
            </w:pPr>
          </w:p>
        </w:tc>
        <w:tc>
          <w:tcPr>
            <w:tcW w:w="180" w:type="dxa"/>
            <w:vAlign w:val="bottom"/>
            <w:gridSpan w:val="2"/>
            <w:vMerge w:val="continue"/>
            <w:shd w:val="clear" w:color="auto" w:fill="DBDBDB"/>
          </w:tcPr>
          <w:p>
            <w:pPr>
              <w:spacing w:after="0"/>
              <w:rPr>
                <w:sz w:val="15"/>
                <w:szCs w:val="15"/>
                <w:color w:val="auto"/>
              </w:rPr>
            </w:pPr>
          </w:p>
        </w:tc>
        <w:tc>
          <w:tcPr>
            <w:tcW w:w="1000" w:type="dxa"/>
            <w:vAlign w:val="bottom"/>
            <w:vMerge w:val="continue"/>
            <w:shd w:val="clear" w:color="auto" w:fill="DBDBDB"/>
          </w:tcPr>
          <w:p>
            <w:pPr>
              <w:spacing w:after="0"/>
              <w:rPr>
                <w:sz w:val="15"/>
                <w:szCs w:val="15"/>
                <w:color w:val="auto"/>
              </w:rPr>
            </w:pPr>
          </w:p>
        </w:tc>
        <w:tc>
          <w:tcPr>
            <w:tcW w:w="800" w:type="dxa"/>
            <w:vAlign w:val="bottom"/>
            <w:gridSpan w:val="2"/>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40" w:type="dxa"/>
            <w:vAlign w:val="bottom"/>
            <w:vMerge w:val="continue"/>
            <w:shd w:val="clear" w:color="auto" w:fill="DBDBDB"/>
          </w:tcPr>
          <w:p>
            <w:pPr>
              <w:spacing w:after="0"/>
              <w:rPr>
                <w:sz w:val="15"/>
                <w:szCs w:val="15"/>
                <w:color w:val="auto"/>
              </w:rPr>
            </w:pPr>
          </w:p>
        </w:tc>
        <w:tc>
          <w:tcPr>
            <w:tcW w:w="740" w:type="dxa"/>
            <w:vAlign w:val="bottom"/>
            <w:gridSpan w:val="2"/>
            <w:vMerge w:val="continue"/>
            <w:shd w:val="clear" w:color="auto" w:fill="DBDBDB"/>
          </w:tcPr>
          <w:p>
            <w:pPr>
              <w:spacing w:after="0"/>
              <w:rPr>
                <w:sz w:val="15"/>
                <w:szCs w:val="15"/>
                <w:color w:val="auto"/>
              </w:rPr>
            </w:pPr>
          </w:p>
        </w:tc>
        <w:tc>
          <w:tcPr>
            <w:tcW w:w="200" w:type="dxa"/>
            <w:vAlign w:val="bottom"/>
            <w:gridSpan w:val="2"/>
            <w:vMerge w:val="continue"/>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240" w:type="dxa"/>
            <w:vAlign w:val="bottom"/>
            <w:gridSpan w:val="2"/>
            <w:vMerge w:val="continue"/>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(unaudited, in millions)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20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4"/>
                <w:szCs w:val="14"/>
                <w:color w:val="auto"/>
              </w:rPr>
            </w:pPr>
          </w:p>
        </w:tc>
        <w:tc>
          <w:tcPr>
            <w:tcW w:w="1180" w:type="dxa"/>
            <w:vAlign w:val="bottom"/>
            <w:gridSpan w:val="4"/>
            <w:vMerge w:val="restart"/>
          </w:tcPr>
          <w:p>
            <w:pPr>
              <w:jc w:val="right"/>
              <w:ind w:right="13"/>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restart"/>
          </w:tcPr>
          <w:p>
            <w:pPr>
              <w:jc w:val="right"/>
              <w:ind w:right="52"/>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1"/>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540" w:type="dxa"/>
            <w:vAlign w:val="bottom"/>
          </w:tcPr>
          <w:p>
            <w:pPr>
              <w:spacing w:after="0"/>
              <w:rPr>
                <w:sz w:val="8"/>
                <w:szCs w:val="8"/>
                <w:color w:val="auto"/>
              </w:rPr>
            </w:pPr>
          </w:p>
        </w:tc>
        <w:tc>
          <w:tcPr>
            <w:tcW w:w="1200" w:type="dxa"/>
            <w:vAlign w:val="bottom"/>
            <w:tcBorders>
              <w:bottom w:val="single" w:sz="8" w:color="auto"/>
            </w:tcBorders>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restart"/>
          </w:tcPr>
          <w:p>
            <w:pPr>
              <w:jc w:val="center"/>
              <w:ind w:right="51"/>
              <w:spacing w:after="0" w:line="13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Borders>
              <w:bottom w:val="single" w:sz="8" w:color="auto"/>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restart"/>
          </w:tcPr>
          <w:p>
            <w:pPr>
              <w:jc w:val="center"/>
              <w:ind w:right="31"/>
              <w:spacing w:after="0" w:line="135" w:lineRule="exact"/>
              <w:rPr>
                <w:sz w:val="20"/>
                <w:szCs w:val="20"/>
                <w:color w:val="auto"/>
              </w:rPr>
            </w:pPr>
            <w:r>
              <w:rPr>
                <w:rFonts w:ascii="Arial" w:cs="Arial" w:eastAsia="Arial" w:hAnsi="Arial"/>
                <w:sz w:val="14"/>
                <w:szCs w:val="14"/>
                <w:b w:val="1"/>
                <w:bCs w:val="1"/>
                <w:color w:val="auto"/>
              </w:rPr>
              <w:t>Biogen Inc.</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line="20" w:lineRule="exact"/>
              <w:rPr>
                <w:sz w:val="1"/>
                <w:szCs w:val="1"/>
                <w:color w:val="auto"/>
              </w:rPr>
            </w:pPr>
          </w:p>
        </w:tc>
        <w:tc>
          <w:tcPr>
            <w:tcW w:w="70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54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shareholders’</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5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December</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320" w:type="dxa"/>
            <w:vAlign w:val="bottom"/>
            <w:gridSpan w:val="2"/>
            <w:vMerge w:val="restart"/>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6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3"/>
                <w:szCs w:val="13"/>
                <w:color w:val="2573BA"/>
              </w:rPr>
              <w:t>—</w:t>
            </w:r>
          </w:p>
        </w:tc>
        <w:tc>
          <w:tcPr>
            <w:tcW w:w="60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167.9</w:t>
            </w:r>
          </w:p>
        </w:tc>
        <w:tc>
          <w:tcPr>
            <w:tcW w:w="3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0.1</w:t>
            </w:r>
          </w:p>
        </w:tc>
        <w:tc>
          <w:tcPr>
            <w:tcW w:w="2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62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73.3</w:t>
            </w:r>
          </w:p>
        </w:tc>
        <w:tc>
          <w:tcPr>
            <w:tcW w:w="1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(164.9)</w:t>
            </w:r>
          </w:p>
        </w:tc>
        <w:tc>
          <w:tcPr>
            <w:tcW w:w="800" w:type="dxa"/>
            <w:vAlign w:val="bottom"/>
            <w:gridSpan w:val="2"/>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$ 16,466.5</w:t>
            </w:r>
          </w:p>
        </w:tc>
        <w:tc>
          <w:tcPr>
            <w:tcW w:w="80" w:type="dxa"/>
            <w:vAlign w:val="bottom"/>
            <w:shd w:val="clear" w:color="auto" w:fill="DBDBDB"/>
          </w:tcPr>
          <w:p>
            <w:pPr>
              <w:spacing w:after="0"/>
              <w:rPr>
                <w:sz w:val="12"/>
                <w:szCs w:val="12"/>
                <w:color w:val="auto"/>
              </w:rPr>
            </w:pP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74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$(2,977.1)</w:t>
            </w:r>
          </w:p>
        </w:tc>
        <w:tc>
          <w:tcPr>
            <w:tcW w:w="20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8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13,397.9</w:t>
            </w:r>
          </w:p>
        </w:tc>
        <w:tc>
          <w:tcPr>
            <w:tcW w:w="24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(9.5)</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$13,388.4</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4"/>
                <w:szCs w:val="14"/>
                <w:b w:val="1"/>
                <w:bCs w:val="1"/>
                <w:color w:val="auto"/>
              </w:rPr>
              <w:t>31, 2022</w:t>
            </w:r>
          </w:p>
        </w:tc>
        <w:tc>
          <w:tcPr>
            <w:tcW w:w="520" w:type="dxa"/>
            <w:vAlign w:val="bottom"/>
            <w:vMerge w:val="continue"/>
            <w:shd w:val="clear" w:color="auto" w:fill="DBDBDB"/>
          </w:tcPr>
          <w:p>
            <w:pPr>
              <w:spacing w:after="0"/>
              <w:rPr>
                <w:sz w:val="16"/>
                <w:szCs w:val="16"/>
                <w:color w:val="auto"/>
              </w:rPr>
            </w:pPr>
          </w:p>
        </w:tc>
        <w:tc>
          <w:tcPr>
            <w:tcW w:w="320" w:type="dxa"/>
            <w:vAlign w:val="bottom"/>
            <w:gridSpan w:val="2"/>
            <w:vMerge w:val="continue"/>
            <w:shd w:val="clear" w:color="auto" w:fill="DBDBDB"/>
          </w:tcPr>
          <w:p>
            <w:pPr>
              <w:spacing w:after="0"/>
              <w:rPr>
                <w:sz w:val="16"/>
                <w:szCs w:val="16"/>
                <w:color w:val="auto"/>
              </w:rPr>
            </w:pPr>
          </w:p>
        </w:tc>
        <w:tc>
          <w:tcPr>
            <w:tcW w:w="360" w:type="dxa"/>
            <w:vAlign w:val="bottom"/>
            <w:gridSpan w:val="2"/>
            <w:vMerge w:val="continue"/>
            <w:shd w:val="clear" w:color="auto" w:fill="DBDBDB"/>
          </w:tcPr>
          <w:p>
            <w:pPr>
              <w:spacing w:after="0"/>
              <w:rPr>
                <w:sz w:val="16"/>
                <w:szCs w:val="16"/>
                <w:color w:val="auto"/>
              </w:rPr>
            </w:pPr>
          </w:p>
        </w:tc>
        <w:tc>
          <w:tcPr>
            <w:tcW w:w="600" w:type="dxa"/>
            <w:vAlign w:val="bottom"/>
            <w:gridSpan w:val="2"/>
            <w:vMerge w:val="continue"/>
            <w:shd w:val="clear" w:color="auto" w:fill="DBDBDB"/>
          </w:tcPr>
          <w:p>
            <w:pPr>
              <w:spacing w:after="0"/>
              <w:rPr>
                <w:sz w:val="16"/>
                <w:szCs w:val="16"/>
                <w:color w:val="auto"/>
              </w:rPr>
            </w:pPr>
          </w:p>
        </w:tc>
        <w:tc>
          <w:tcPr>
            <w:tcW w:w="300" w:type="dxa"/>
            <w:vAlign w:val="bottom"/>
            <w:gridSpan w:val="2"/>
            <w:vMerge w:val="continue"/>
            <w:shd w:val="clear" w:color="auto" w:fill="DBDBDB"/>
          </w:tcPr>
          <w:p>
            <w:pPr>
              <w:spacing w:after="0"/>
              <w:rPr>
                <w:sz w:val="16"/>
                <w:szCs w:val="16"/>
                <w:color w:val="auto"/>
              </w:rPr>
            </w:pPr>
          </w:p>
        </w:tc>
        <w:tc>
          <w:tcPr>
            <w:tcW w:w="380" w:type="dxa"/>
            <w:vAlign w:val="bottom"/>
            <w:vMerge w:val="continue"/>
            <w:shd w:val="clear" w:color="auto" w:fill="DBDBDB"/>
          </w:tcPr>
          <w:p>
            <w:pPr>
              <w:spacing w:after="0"/>
              <w:rPr>
                <w:sz w:val="16"/>
                <w:szCs w:val="16"/>
                <w:color w:val="auto"/>
              </w:rPr>
            </w:pPr>
          </w:p>
        </w:tc>
        <w:tc>
          <w:tcPr>
            <w:tcW w:w="200" w:type="dxa"/>
            <w:vAlign w:val="bottom"/>
            <w:gridSpan w:val="2"/>
            <w:vMerge w:val="continue"/>
            <w:shd w:val="clear" w:color="auto" w:fill="DBDBDB"/>
          </w:tcPr>
          <w:p>
            <w:pPr>
              <w:spacing w:after="0"/>
              <w:rPr>
                <w:sz w:val="16"/>
                <w:szCs w:val="16"/>
                <w:color w:val="auto"/>
              </w:rPr>
            </w:pPr>
          </w:p>
        </w:tc>
        <w:tc>
          <w:tcPr>
            <w:tcW w:w="620" w:type="dxa"/>
            <w:vAlign w:val="bottom"/>
            <w:vMerge w:val="continue"/>
            <w:shd w:val="clear" w:color="auto" w:fill="DBDBDB"/>
          </w:tcPr>
          <w:p>
            <w:pPr>
              <w:spacing w:after="0"/>
              <w:rPr>
                <w:sz w:val="16"/>
                <w:szCs w:val="16"/>
                <w:color w:val="auto"/>
              </w:rPr>
            </w:pPr>
          </w:p>
        </w:tc>
        <w:tc>
          <w:tcPr>
            <w:tcW w:w="180" w:type="dxa"/>
            <w:vAlign w:val="bottom"/>
            <w:gridSpan w:val="2"/>
            <w:vMerge w:val="continue"/>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40" w:type="dxa"/>
            <w:vAlign w:val="bottom"/>
            <w:vMerge w:val="continue"/>
            <w:shd w:val="clear" w:color="auto" w:fill="DBDBDB"/>
          </w:tcPr>
          <w:p>
            <w:pPr>
              <w:spacing w:after="0"/>
              <w:rPr>
                <w:sz w:val="16"/>
                <w:szCs w:val="16"/>
                <w:color w:val="auto"/>
              </w:rPr>
            </w:pPr>
          </w:p>
        </w:tc>
        <w:tc>
          <w:tcPr>
            <w:tcW w:w="740" w:type="dxa"/>
            <w:vAlign w:val="bottom"/>
            <w:gridSpan w:val="2"/>
            <w:vMerge w:val="continue"/>
            <w:shd w:val="clear" w:color="auto" w:fill="DBDBDB"/>
          </w:tcPr>
          <w:p>
            <w:pPr>
              <w:spacing w:after="0"/>
              <w:rPr>
                <w:sz w:val="16"/>
                <w:szCs w:val="16"/>
                <w:color w:val="auto"/>
              </w:rPr>
            </w:pPr>
          </w:p>
        </w:tc>
        <w:tc>
          <w:tcPr>
            <w:tcW w:w="200" w:type="dxa"/>
            <w:vAlign w:val="bottom"/>
            <w:gridSpan w:val="2"/>
            <w:vMerge w:val="continue"/>
            <w:shd w:val="clear" w:color="auto" w:fill="DBDBDB"/>
          </w:tcPr>
          <w:p>
            <w:pPr>
              <w:spacing w:after="0"/>
              <w:rPr>
                <w:sz w:val="16"/>
                <w:szCs w:val="16"/>
                <w:color w:val="auto"/>
              </w:rPr>
            </w:pPr>
          </w:p>
        </w:tc>
        <w:tc>
          <w:tcPr>
            <w:tcW w:w="880" w:type="dxa"/>
            <w:vAlign w:val="bottom"/>
            <w:vMerge w:val="continue"/>
            <w:shd w:val="clear" w:color="auto" w:fill="DBDBDB"/>
          </w:tcPr>
          <w:p>
            <w:pPr>
              <w:spacing w:after="0"/>
              <w:rPr>
                <w:sz w:val="16"/>
                <w:szCs w:val="16"/>
                <w:color w:val="auto"/>
              </w:rPr>
            </w:pPr>
          </w:p>
        </w:tc>
        <w:tc>
          <w:tcPr>
            <w:tcW w:w="240" w:type="dxa"/>
            <w:vAlign w:val="bottom"/>
            <w:gridSpan w:val="2"/>
            <w:vMerge w:val="continue"/>
            <w:shd w:val="clear" w:color="auto" w:fill="DBDBDB"/>
          </w:tcPr>
          <w:p>
            <w:pPr>
              <w:spacing w:after="0"/>
              <w:rPr>
                <w:sz w:val="16"/>
                <w:szCs w:val="16"/>
                <w:color w:val="auto"/>
              </w:rPr>
            </w:pPr>
          </w:p>
        </w:tc>
        <w:tc>
          <w:tcPr>
            <w:tcW w:w="900" w:type="dxa"/>
            <w:vAlign w:val="bottom"/>
            <w:vMerge w:val="continue"/>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20"/>
                <w:szCs w:val="20"/>
                <w:color w:val="auto"/>
              </w:rPr>
            </w:pPr>
            <w:r>
              <w:rPr>
                <w:rFonts w:ascii="Arial" w:cs="Arial" w:eastAsia="Arial" w:hAnsi="Arial"/>
                <w:sz w:val="14"/>
                <w:szCs w:val="14"/>
                <w:color w:val="auto"/>
              </w:rPr>
              <w:t>Net income</w:t>
            </w:r>
          </w:p>
        </w:tc>
        <w:tc>
          <w:tcPr>
            <w:tcW w:w="52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38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2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1"/>
              <w:spacing w:after="0"/>
              <w:rPr>
                <w:sz w:val="20"/>
                <w:szCs w:val="20"/>
                <w:color w:val="auto"/>
              </w:rPr>
            </w:pPr>
            <w:r>
              <w:rPr>
                <w:rFonts w:ascii="Arial" w:cs="Arial" w:eastAsia="Arial" w:hAnsi="Arial"/>
                <w:sz w:val="13"/>
                <w:szCs w:val="13"/>
                <w:color w:val="2573BA"/>
              </w:rPr>
              <w:t>979.5</w:t>
            </w:r>
          </w:p>
        </w:tc>
        <w:tc>
          <w:tcPr>
            <w:tcW w:w="80" w:type="dxa"/>
            <w:vAlign w:val="bottom"/>
            <w:shd w:val="clear" w:color="auto" w:fill="DBDBDB"/>
          </w:tcPr>
          <w:p>
            <w:pPr>
              <w:spacing w:after="0"/>
              <w:rPr>
                <w:sz w:val="16"/>
                <w:szCs w:val="16"/>
                <w:color w:val="auto"/>
              </w:rPr>
            </w:pPr>
          </w:p>
        </w:tc>
        <w:tc>
          <w:tcPr>
            <w:tcW w:w="540" w:type="dxa"/>
            <w:vAlign w:val="bottom"/>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979.5</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1.4</w:t>
            </w: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2573BA"/>
              </w:rPr>
              <w:t>980.9</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20"/>
                <w:szCs w:val="20"/>
                <w:color w:val="auto"/>
              </w:rPr>
            </w:pPr>
            <w:r>
              <w:rPr>
                <w:rFonts w:ascii="Arial" w:cs="Arial" w:eastAsia="Arial" w:hAnsi="Arial"/>
                <w:sz w:val="14"/>
                <w:szCs w:val="14"/>
                <w:color w:val="auto"/>
              </w:rPr>
              <w:t>Other comprehensive</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40" w:type="dxa"/>
            <w:vAlign w:val="bottom"/>
          </w:tcPr>
          <w:p>
            <w:pPr>
              <w:spacing w:after="0" w:line="143" w:lineRule="exact"/>
              <w:rPr>
                <w:sz w:val="20"/>
                <w:szCs w:val="20"/>
                <w:color w:val="auto"/>
              </w:rPr>
            </w:pPr>
            <w:r>
              <w:rPr>
                <w:rFonts w:ascii="Arial" w:cs="Arial" w:eastAsia="Arial" w:hAnsi="Arial"/>
                <w:sz w:val="14"/>
                <w:szCs w:val="14"/>
                <w:color w:val="auto"/>
              </w:rPr>
              <w:t>income (loss), net of</w:t>
            </w:r>
          </w:p>
        </w:tc>
        <w:tc>
          <w:tcPr>
            <w:tcW w:w="5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tax</w:t>
            </w:r>
          </w:p>
        </w:tc>
        <w:tc>
          <w:tcPr>
            <w:tcW w:w="52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(7.9)</w:t>
            </w:r>
          </w:p>
        </w:tc>
        <w:tc>
          <w:tcPr>
            <w:tcW w:w="80" w:type="dxa"/>
            <w:vAlign w:val="bottom"/>
            <w:shd w:val="clear" w:color="auto" w:fill="DBDBDB"/>
          </w:tcPr>
          <w:p>
            <w:pPr>
              <w:spacing w:after="0"/>
              <w:rPr>
                <w:sz w:val="15"/>
                <w:szCs w:val="15"/>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(7.9)</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2573BA"/>
              </w:rPr>
              <w:t>(7.9)</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20"/>
                <w:szCs w:val="20"/>
                <w:color w:val="auto"/>
              </w:rPr>
            </w:pPr>
            <w:r>
              <w:rPr>
                <w:rFonts w:ascii="Arial" w:cs="Arial" w:eastAsia="Arial" w:hAnsi="Arial"/>
                <w:sz w:val="14"/>
                <w:szCs w:val="14"/>
                <w:color w:val="auto"/>
              </w:rPr>
              <w:t>Capital contribution</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40" w:type="dxa"/>
            <w:vAlign w:val="bottom"/>
          </w:tcPr>
          <w:p>
            <w:pPr>
              <w:spacing w:after="0" w:line="143" w:lineRule="exact"/>
              <w:rPr>
                <w:sz w:val="20"/>
                <w:szCs w:val="20"/>
                <w:color w:val="auto"/>
              </w:rPr>
            </w:pPr>
            <w:r>
              <w:rPr>
                <w:rFonts w:ascii="Arial" w:cs="Arial" w:eastAsia="Arial" w:hAnsi="Arial"/>
                <w:sz w:val="14"/>
                <w:szCs w:val="14"/>
                <w:color w:val="auto"/>
              </w:rPr>
              <w:t>from noncontrolling</w:t>
            </w:r>
          </w:p>
        </w:tc>
        <w:tc>
          <w:tcPr>
            <w:tcW w:w="5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interest</w:t>
            </w:r>
          </w:p>
        </w:tc>
        <w:tc>
          <w:tcPr>
            <w:tcW w:w="52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1.7</w:t>
            </w: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2573BA"/>
              </w:rPr>
              <w:t>1.7</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20"/>
                <w:szCs w:val="20"/>
                <w:color w:val="auto"/>
              </w:rPr>
            </w:pPr>
            <w:r>
              <w:rPr>
                <w:rFonts w:ascii="Arial" w:cs="Arial" w:eastAsia="Arial" w:hAnsi="Arial"/>
                <w:sz w:val="14"/>
                <w:szCs w:val="14"/>
                <w:color w:val="auto"/>
              </w:rPr>
              <w:t>Issuance of common</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4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option and stock</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60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29.4</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8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vMerge w:val="restart"/>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29.4</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29.4</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purchase plans</w:t>
            </w:r>
          </w:p>
        </w:tc>
        <w:tc>
          <w:tcPr>
            <w:tcW w:w="52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600" w:type="dxa"/>
            <w:vAlign w:val="bottom"/>
            <w:gridSpan w:val="2"/>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gridSpan w:val="2"/>
            <w:vMerge w:val="continue"/>
            <w:shd w:val="clear" w:color="auto" w:fill="DBDBDB"/>
          </w:tcPr>
          <w:p>
            <w:pPr>
              <w:spacing w:after="0"/>
              <w:rPr>
                <w:sz w:val="15"/>
                <w:szCs w:val="15"/>
                <w:color w:val="auto"/>
              </w:rPr>
            </w:pPr>
          </w:p>
        </w:tc>
        <w:tc>
          <w:tcPr>
            <w:tcW w:w="5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6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line="157" w:lineRule="exact"/>
              <w:rPr>
                <w:sz w:val="20"/>
                <w:szCs w:val="20"/>
                <w:color w:val="auto"/>
              </w:rPr>
            </w:pPr>
            <w:r>
              <w:rPr>
                <w:rFonts w:ascii="Arial" w:cs="Arial" w:eastAsia="Arial" w:hAnsi="Arial"/>
                <w:sz w:val="14"/>
                <w:szCs w:val="14"/>
                <w:color w:val="auto"/>
              </w:rPr>
              <w:t>Issuance of common</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stock under stock</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0.6</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(84.0)</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8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vMerge w:val="restart"/>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(84.0)</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(84.0)</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award plan</w:t>
            </w:r>
          </w:p>
        </w:tc>
        <w:tc>
          <w:tcPr>
            <w:tcW w:w="52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gridSpan w:val="2"/>
            <w:vMerge w:val="continue"/>
            <w:shd w:val="clear" w:color="auto" w:fill="DBDBDB"/>
          </w:tcPr>
          <w:p>
            <w:pPr>
              <w:spacing w:after="0"/>
              <w:rPr>
                <w:sz w:val="15"/>
                <w:szCs w:val="15"/>
                <w:color w:val="auto"/>
              </w:rPr>
            </w:pPr>
          </w:p>
        </w:tc>
        <w:tc>
          <w:tcPr>
            <w:tcW w:w="5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6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line="157" w:lineRule="exact"/>
              <w:rPr>
                <w:sz w:val="20"/>
                <w:szCs w:val="20"/>
                <w:color w:val="auto"/>
              </w:rPr>
            </w:pPr>
            <w:r>
              <w:rPr>
                <w:rFonts w:ascii="Arial" w:cs="Arial" w:eastAsia="Arial" w:hAnsi="Arial"/>
                <w:sz w:val="14"/>
                <w:szCs w:val="14"/>
                <w:color w:val="auto"/>
              </w:rPr>
              <w:t>Compensation related</w:t>
            </w:r>
          </w:p>
        </w:tc>
        <w:tc>
          <w:tcPr>
            <w:tcW w:w="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to share-based</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2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153.0</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8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540" w:type="dxa"/>
            <w:vAlign w:val="bottom"/>
            <w:vMerge w:val="restart"/>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153.0</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153.0</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payments</w:t>
            </w:r>
          </w:p>
        </w:tc>
        <w:tc>
          <w:tcPr>
            <w:tcW w:w="52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gridSpan w:val="2"/>
            <w:vMerge w:val="continue"/>
            <w:shd w:val="clear" w:color="auto" w:fill="DBDBDB"/>
          </w:tcPr>
          <w:p>
            <w:pPr>
              <w:spacing w:after="0"/>
              <w:rPr>
                <w:sz w:val="15"/>
                <w:szCs w:val="15"/>
                <w:color w:val="auto"/>
              </w:rPr>
            </w:pPr>
          </w:p>
        </w:tc>
        <w:tc>
          <w:tcPr>
            <w:tcW w:w="5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6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(1.0)</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ind w:left="34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(1.0)</w:t>
            </w: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(1.0)</w:t>
            </w:r>
          </w:p>
        </w:tc>
        <w:tc>
          <w:tcPr>
            <w:tcW w:w="0" w:type="dxa"/>
            <w:vAlign w:val="bottom"/>
          </w:tcPr>
          <w:p>
            <w:pPr>
              <w:spacing w:after="0"/>
              <w:rPr>
                <w:sz w:val="1"/>
                <w:szCs w:val="1"/>
                <w:color w:val="auto"/>
              </w:rPr>
            </w:pPr>
          </w:p>
        </w:tc>
      </w:tr>
      <w:tr>
        <w:trPr>
          <w:trHeight w:val="142"/>
        </w:trPr>
        <w:tc>
          <w:tcPr>
            <w:tcW w:w="15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June 30,</w:t>
            </w:r>
          </w:p>
        </w:tc>
        <w:tc>
          <w:tcPr>
            <w:tcW w:w="5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22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w:t>
            </w: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168.6</w:t>
            </w:r>
          </w:p>
        </w:tc>
        <w:tc>
          <w:tcPr>
            <w:tcW w:w="3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0.1</w:t>
            </w:r>
          </w:p>
        </w:tc>
        <w:tc>
          <w:tcPr>
            <w:tcW w:w="2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62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170.7</w:t>
            </w:r>
          </w:p>
        </w:tc>
        <w:tc>
          <w:tcPr>
            <w:tcW w:w="1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(172.8)</w:t>
            </w:r>
          </w:p>
        </w:tc>
        <w:tc>
          <w:tcPr>
            <w:tcW w:w="800" w:type="dxa"/>
            <w:vAlign w:val="bottom"/>
            <w:gridSpan w:val="2"/>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$ 17,446.0</w:t>
            </w:r>
          </w:p>
        </w:tc>
        <w:tc>
          <w:tcPr>
            <w:tcW w:w="80" w:type="dxa"/>
            <w:vAlign w:val="bottom"/>
            <w:shd w:val="clear" w:color="auto" w:fill="DBDBDB"/>
          </w:tcPr>
          <w:p>
            <w:pPr>
              <w:spacing w:after="0"/>
              <w:rPr>
                <w:sz w:val="12"/>
                <w:szCs w:val="12"/>
                <w:color w:val="auto"/>
              </w:rPr>
            </w:pP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74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$(2,977.1)</w:t>
            </w:r>
          </w:p>
        </w:tc>
        <w:tc>
          <w:tcPr>
            <w:tcW w:w="20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8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14,466.9</w:t>
            </w:r>
          </w:p>
        </w:tc>
        <w:tc>
          <w:tcPr>
            <w:tcW w:w="24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(6.4)</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$14,460.5</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52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vMerge w:val="continue"/>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300" w:type="dxa"/>
            <w:vAlign w:val="bottom"/>
            <w:gridSpan w:val="2"/>
            <w:vMerge w:val="continue"/>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200" w:type="dxa"/>
            <w:vAlign w:val="bottom"/>
            <w:gridSpan w:val="2"/>
            <w:vMerge w:val="continue"/>
            <w:shd w:val="clear" w:color="auto" w:fill="DBDBDB"/>
          </w:tcPr>
          <w:p>
            <w:pPr>
              <w:spacing w:after="0"/>
              <w:rPr>
                <w:sz w:val="15"/>
                <w:szCs w:val="15"/>
                <w:color w:val="auto"/>
              </w:rPr>
            </w:pPr>
          </w:p>
        </w:tc>
        <w:tc>
          <w:tcPr>
            <w:tcW w:w="620" w:type="dxa"/>
            <w:vAlign w:val="bottom"/>
            <w:vMerge w:val="continue"/>
            <w:shd w:val="clear" w:color="auto" w:fill="DBDBDB"/>
          </w:tcPr>
          <w:p>
            <w:pPr>
              <w:spacing w:after="0"/>
              <w:rPr>
                <w:sz w:val="15"/>
                <w:szCs w:val="15"/>
                <w:color w:val="auto"/>
              </w:rPr>
            </w:pPr>
          </w:p>
        </w:tc>
        <w:tc>
          <w:tcPr>
            <w:tcW w:w="180" w:type="dxa"/>
            <w:vAlign w:val="bottom"/>
            <w:gridSpan w:val="2"/>
            <w:vMerge w:val="continue"/>
            <w:shd w:val="clear" w:color="auto" w:fill="DBDBDB"/>
          </w:tcPr>
          <w:p>
            <w:pPr>
              <w:spacing w:after="0"/>
              <w:rPr>
                <w:sz w:val="15"/>
                <w:szCs w:val="15"/>
                <w:color w:val="auto"/>
              </w:rPr>
            </w:pPr>
          </w:p>
        </w:tc>
        <w:tc>
          <w:tcPr>
            <w:tcW w:w="1000" w:type="dxa"/>
            <w:vAlign w:val="bottom"/>
            <w:vMerge w:val="continue"/>
            <w:shd w:val="clear" w:color="auto" w:fill="DBDBDB"/>
          </w:tcPr>
          <w:p>
            <w:pPr>
              <w:spacing w:after="0"/>
              <w:rPr>
                <w:sz w:val="15"/>
                <w:szCs w:val="15"/>
                <w:color w:val="auto"/>
              </w:rPr>
            </w:pPr>
          </w:p>
        </w:tc>
        <w:tc>
          <w:tcPr>
            <w:tcW w:w="800" w:type="dxa"/>
            <w:vAlign w:val="bottom"/>
            <w:gridSpan w:val="2"/>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40" w:type="dxa"/>
            <w:vAlign w:val="bottom"/>
            <w:vMerge w:val="continue"/>
            <w:shd w:val="clear" w:color="auto" w:fill="DBDBDB"/>
          </w:tcPr>
          <w:p>
            <w:pPr>
              <w:spacing w:after="0"/>
              <w:rPr>
                <w:sz w:val="15"/>
                <w:szCs w:val="15"/>
                <w:color w:val="auto"/>
              </w:rPr>
            </w:pPr>
          </w:p>
        </w:tc>
        <w:tc>
          <w:tcPr>
            <w:tcW w:w="740" w:type="dxa"/>
            <w:vAlign w:val="bottom"/>
            <w:gridSpan w:val="2"/>
            <w:vMerge w:val="continue"/>
            <w:shd w:val="clear" w:color="auto" w:fill="DBDBDB"/>
          </w:tcPr>
          <w:p>
            <w:pPr>
              <w:spacing w:after="0"/>
              <w:rPr>
                <w:sz w:val="15"/>
                <w:szCs w:val="15"/>
                <w:color w:val="auto"/>
              </w:rPr>
            </w:pPr>
          </w:p>
        </w:tc>
        <w:tc>
          <w:tcPr>
            <w:tcW w:w="200" w:type="dxa"/>
            <w:vAlign w:val="bottom"/>
            <w:gridSpan w:val="2"/>
            <w:vMerge w:val="continue"/>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240" w:type="dxa"/>
            <w:vAlign w:val="bottom"/>
            <w:gridSpan w:val="2"/>
            <w:vMerge w:val="continue"/>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(unaudited, in millions)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4"/>
                <w:szCs w:val="14"/>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440" w:type="dxa"/>
            <w:vAlign w:val="bottom"/>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restart"/>
          </w:tcPr>
          <w:p>
            <w:pPr>
              <w:jc w:val="center"/>
              <w:ind w:right="148"/>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rPr>
              <w:t>Biogen Inc.</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line="20" w:lineRule="exact"/>
              <w:rPr>
                <w:sz w:val="1"/>
                <w:szCs w:val="1"/>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44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8"/>
              <w:spacing w:after="0" w:line="148"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9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shareholders’</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Pr>
          <w:p>
            <w:pPr>
              <w:spacing w:after="0"/>
              <w:rPr>
                <w:sz w:val="16"/>
                <w:szCs w:val="16"/>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4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March 31,</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171.3</w:t>
            </w:r>
          </w:p>
        </w:tc>
        <w:tc>
          <w:tcPr>
            <w:tcW w:w="3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119.0</w:t>
            </w:r>
          </w:p>
        </w:tc>
        <w:tc>
          <w:tcPr>
            <w:tcW w:w="3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(115.2)</w:t>
            </w:r>
          </w:p>
        </w:tc>
        <w:tc>
          <w:tcPr>
            <w:tcW w:w="8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$ 14,215.5</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 (2,977.1)</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11,242.3</w:t>
            </w:r>
          </w:p>
        </w:tc>
        <w:tc>
          <w:tcPr>
            <w:tcW w:w="2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(21.6)</w:t>
            </w:r>
          </w:p>
        </w:tc>
        <w:tc>
          <w:tcPr>
            <w:tcW w:w="8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$ 11,220.7</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52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20"/>
                <w:szCs w:val="20"/>
                <w:color w:val="auto"/>
              </w:rPr>
            </w:pPr>
            <w:r>
              <w:rPr>
                <w:rFonts w:ascii="Arial" w:cs="Arial" w:eastAsia="Arial" w:hAnsi="Arial"/>
                <w:sz w:val="14"/>
                <w:szCs w:val="14"/>
                <w:color w:val="auto"/>
              </w:rPr>
              <w:t>Net income</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1,058.0</w:t>
            </w:r>
          </w:p>
        </w:tc>
        <w:tc>
          <w:tcPr>
            <w:tcW w:w="8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1,058.7</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Arial" w:cs="Arial" w:eastAsia="Arial" w:hAnsi="Arial"/>
                <w:sz w:val="14"/>
                <w:szCs w:val="14"/>
                <w:color w:val="auto"/>
              </w:rPr>
              <w:t>Other comprehensive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income (loss), net of</w:t>
            </w: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tax</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Arial" w:cs="Arial" w:eastAsia="Arial" w:hAnsi="Arial"/>
                <w:sz w:val="14"/>
                <w:szCs w:val="14"/>
                <w:color w:val="auto"/>
              </w:rPr>
              <w:t>Capital contribution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from noncontrolling</w:t>
            </w: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interest</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5"/>
        </w:trPr>
        <w:tc>
          <w:tcPr>
            <w:tcW w:w="1440" w:type="dxa"/>
            <w:vAlign w:val="bottom"/>
          </w:tcPr>
          <w:p>
            <w:pPr>
              <w:spacing w:after="0" w:line="155" w:lineRule="exact"/>
              <w:rPr>
                <w:sz w:val="20"/>
                <w:szCs w:val="20"/>
                <w:color w:val="auto"/>
              </w:rPr>
            </w:pPr>
            <w:r>
              <w:rPr>
                <w:rFonts w:ascii="Arial" w:cs="Arial" w:eastAsia="Arial" w:hAnsi="Arial"/>
                <w:sz w:val="14"/>
                <w:szCs w:val="14"/>
                <w:color w:val="auto"/>
              </w:rPr>
              <w:t>Repurchase of</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line="141" w:lineRule="exact"/>
              <w:rPr>
                <w:sz w:val="20"/>
                <w:szCs w:val="20"/>
                <w:color w:val="auto"/>
              </w:rPr>
            </w:pPr>
            <w:r>
              <w:rPr>
                <w:rFonts w:ascii="Arial" w:cs="Arial" w:eastAsia="Arial" w:hAnsi="Arial"/>
                <w:sz w:val="14"/>
                <w:szCs w:val="14"/>
                <w:color w:val="auto"/>
              </w:rPr>
              <w:t>pursuant to the 2020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Share Repurchase</w:t>
            </w: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Program, at cost</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Arial" w:cs="Arial" w:eastAsia="Arial" w:hAnsi="Arial"/>
                <w:sz w:val="14"/>
                <w:szCs w:val="14"/>
                <w:color w:val="auto"/>
              </w:rPr>
              <w:t>Retirement of</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line="149" w:lineRule="exact"/>
              <w:rPr>
                <w:sz w:val="20"/>
                <w:szCs w:val="20"/>
                <w:color w:val="auto"/>
              </w:rPr>
            </w:pPr>
            <w:r>
              <w:rPr>
                <w:rFonts w:ascii="Arial" w:cs="Arial" w:eastAsia="Arial" w:hAnsi="Arial"/>
                <w:sz w:val="14"/>
                <w:szCs w:val="14"/>
                <w:color w:val="auto"/>
              </w:rPr>
              <w:t>pursuant to the 2020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line="141" w:lineRule="exact"/>
              <w:rPr>
                <w:sz w:val="20"/>
                <w:szCs w:val="20"/>
                <w:color w:val="auto"/>
              </w:rPr>
            </w:pPr>
            <w:r>
              <w:rPr>
                <w:rFonts w:ascii="Arial" w:cs="Arial" w:eastAsia="Arial" w:hAnsi="Arial"/>
                <w:sz w:val="14"/>
                <w:szCs w:val="14"/>
                <w:color w:val="auto"/>
              </w:rPr>
              <w:t>Share Repurchase</w:t>
            </w: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(313.6)</w:t>
            </w:r>
          </w:p>
        </w:tc>
        <w:tc>
          <w:tcPr>
            <w:tcW w:w="8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2.4</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Program, at cost</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440" w:type="dxa"/>
            <w:vAlign w:val="bottom"/>
          </w:tcPr>
          <w:p>
            <w:pPr>
              <w:spacing w:after="0"/>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line="141" w:lineRule="exact"/>
              <w:rPr>
                <w:sz w:val="20"/>
                <w:szCs w:val="20"/>
                <w:color w:val="auto"/>
              </w:rPr>
            </w:pPr>
            <w:r>
              <w:rPr>
                <w:rFonts w:ascii="Arial" w:cs="Arial" w:eastAsia="Arial" w:hAnsi="Arial"/>
                <w:sz w:val="14"/>
                <w:szCs w:val="14"/>
                <w:color w:val="auto"/>
              </w:rPr>
              <w:t>stock under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option and stock</w:t>
            </w: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purchase plans</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award plan</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20"/>
                <w:szCs w:val="20"/>
                <w:color w:val="auto"/>
              </w:rPr>
            </w:pPr>
            <w:r>
              <w:rPr>
                <w:rFonts w:ascii="Arial" w:cs="Arial" w:eastAsia="Arial" w:hAnsi="Arial"/>
                <w:sz w:val="14"/>
                <w:szCs w:val="14"/>
                <w:color w:val="auto"/>
              </w:rPr>
              <w:t>Compensation related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to share-based</w:t>
            </w: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payments</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58.0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201"/>
        </w:trPr>
        <w:tc>
          <w:tcPr>
            <w:tcW w:w="1440" w:type="dxa"/>
            <w:vAlign w:val="bottom"/>
          </w:tcPr>
          <w:p>
            <w:pPr>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14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June 30,</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169.0</w:t>
            </w:r>
          </w:p>
        </w:tc>
        <w:tc>
          <w:tcPr>
            <w:tcW w:w="3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(110.4)</w:t>
            </w:r>
          </w:p>
        </w:tc>
        <w:tc>
          <w:tcPr>
            <w:tcW w:w="8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$ 14,959.9</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 (2,977.1)</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11,872.5</w:t>
            </w:r>
          </w:p>
        </w:tc>
        <w:tc>
          <w:tcPr>
            <w:tcW w:w="2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8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$ 11,863.4</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5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(unaudited, in millions)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120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440" w:type="dxa"/>
            <w:vAlign w:val="bottom"/>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restart"/>
          </w:tcPr>
          <w:p>
            <w:pPr>
              <w:jc w:val="center"/>
              <w:ind w:right="148"/>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rPr>
              <w:t>Biogen Inc.</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line="20" w:lineRule="exact"/>
              <w:rPr>
                <w:sz w:val="1"/>
                <w:szCs w:val="1"/>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44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8"/>
              <w:spacing w:after="0" w:line="148"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9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shareholders’</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Pr>
          <w:p>
            <w:pPr>
              <w:spacing w:after="0"/>
              <w:rPr>
                <w:sz w:val="16"/>
                <w:szCs w:val="16"/>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4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December</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170.8</w:t>
            </w:r>
          </w:p>
        </w:tc>
        <w:tc>
          <w:tcPr>
            <w:tcW w:w="2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68.2</w:t>
            </w:r>
          </w:p>
        </w:tc>
        <w:tc>
          <w:tcPr>
            <w:tcW w:w="3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(106.7)</w:t>
            </w:r>
          </w:p>
        </w:tc>
        <w:tc>
          <w:tcPr>
            <w:tcW w:w="8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$ 13,911.7</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 (2,977.1)</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10,896.2</w:t>
            </w:r>
          </w:p>
        </w:tc>
        <w:tc>
          <w:tcPr>
            <w:tcW w:w="2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63.5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$10,959.7</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20"/>
                <w:szCs w:val="20"/>
                <w:color w:val="auto"/>
              </w:rPr>
            </w:pPr>
            <w:r>
              <w:rPr>
                <w:rFonts w:ascii="Arial" w:cs="Arial" w:eastAsia="Arial" w:hAnsi="Arial"/>
                <w:sz w:val="14"/>
                <w:szCs w:val="14"/>
                <w:b w:val="1"/>
                <w:bCs w:val="1"/>
                <w:color w:val="auto"/>
              </w:rPr>
              <w:t>31, 2021</w:t>
            </w:r>
          </w:p>
        </w:tc>
        <w:tc>
          <w:tcPr>
            <w:tcW w:w="52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20"/>
                <w:szCs w:val="20"/>
                <w:color w:val="auto"/>
              </w:rPr>
            </w:pPr>
            <w:r>
              <w:rPr>
                <w:rFonts w:ascii="Arial" w:cs="Arial" w:eastAsia="Arial" w:hAnsi="Arial"/>
                <w:sz w:val="14"/>
                <w:szCs w:val="14"/>
                <w:color w:val="auto"/>
              </w:rPr>
              <w:t>Net income</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1,361.8</w:t>
            </w:r>
          </w:p>
        </w:tc>
        <w:tc>
          <w:tcPr>
            <w:tcW w:w="8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1,277.2</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Arial" w:cs="Arial" w:eastAsia="Arial" w:hAnsi="Arial"/>
                <w:sz w:val="14"/>
                <w:szCs w:val="14"/>
                <w:color w:val="auto"/>
              </w:rPr>
              <w:t>Other comprehensive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income (loss), net of</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tax</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Arial" w:cs="Arial" w:eastAsia="Arial" w:hAnsi="Arial"/>
                <w:sz w:val="14"/>
                <w:szCs w:val="14"/>
                <w:color w:val="auto"/>
              </w:rPr>
              <w:t>Capital contribution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from noncontrolling</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interest</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5"/>
        </w:trPr>
        <w:tc>
          <w:tcPr>
            <w:tcW w:w="1440" w:type="dxa"/>
            <w:vAlign w:val="bottom"/>
          </w:tcPr>
          <w:p>
            <w:pPr>
              <w:spacing w:after="0" w:line="155" w:lineRule="exact"/>
              <w:rPr>
                <w:sz w:val="20"/>
                <w:szCs w:val="20"/>
                <w:color w:val="auto"/>
              </w:rPr>
            </w:pPr>
            <w:r>
              <w:rPr>
                <w:rFonts w:ascii="Arial" w:cs="Arial" w:eastAsia="Arial" w:hAnsi="Arial"/>
                <w:sz w:val="14"/>
                <w:szCs w:val="14"/>
                <w:color w:val="auto"/>
              </w:rPr>
              <w:t>Repurchase of</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line="141" w:lineRule="exact"/>
              <w:rPr>
                <w:sz w:val="20"/>
                <w:szCs w:val="20"/>
                <w:color w:val="auto"/>
              </w:rPr>
            </w:pPr>
            <w:r>
              <w:rPr>
                <w:rFonts w:ascii="Arial" w:cs="Arial" w:eastAsia="Arial" w:hAnsi="Arial"/>
                <w:sz w:val="14"/>
                <w:szCs w:val="14"/>
                <w:color w:val="auto"/>
              </w:rPr>
              <w:t>pursuant to the 2020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Share Repurchase</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Program, at cost</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Arial" w:cs="Arial" w:eastAsia="Arial" w:hAnsi="Arial"/>
                <w:sz w:val="14"/>
                <w:szCs w:val="14"/>
                <w:color w:val="auto"/>
              </w:rPr>
              <w:t>Retirement of</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line="149" w:lineRule="exact"/>
              <w:rPr>
                <w:sz w:val="20"/>
                <w:szCs w:val="20"/>
                <w:color w:val="auto"/>
              </w:rPr>
            </w:pPr>
            <w:r>
              <w:rPr>
                <w:rFonts w:ascii="Arial" w:cs="Arial" w:eastAsia="Arial" w:hAnsi="Arial"/>
                <w:sz w:val="14"/>
                <w:szCs w:val="14"/>
                <w:color w:val="auto"/>
              </w:rPr>
              <w:t>pursuant to the 2020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line="141" w:lineRule="exact"/>
              <w:rPr>
                <w:sz w:val="20"/>
                <w:szCs w:val="20"/>
                <w:color w:val="auto"/>
              </w:rPr>
            </w:pPr>
            <w:r>
              <w:rPr>
                <w:rFonts w:ascii="Arial" w:cs="Arial" w:eastAsia="Arial" w:hAnsi="Arial"/>
                <w:sz w:val="14"/>
                <w:szCs w:val="14"/>
                <w:color w:val="auto"/>
              </w:rPr>
              <w:t>Share Repurchase</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(313.6)</w:t>
            </w:r>
          </w:p>
        </w:tc>
        <w:tc>
          <w:tcPr>
            <w:tcW w:w="8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2.4</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Program, at cost</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440" w:type="dxa"/>
            <w:vAlign w:val="bottom"/>
          </w:tcPr>
          <w:p>
            <w:pPr>
              <w:spacing w:after="0"/>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line="141" w:lineRule="exact"/>
              <w:rPr>
                <w:sz w:val="20"/>
                <w:szCs w:val="20"/>
                <w:color w:val="auto"/>
              </w:rPr>
            </w:pPr>
            <w:r>
              <w:rPr>
                <w:rFonts w:ascii="Arial" w:cs="Arial" w:eastAsia="Arial" w:hAnsi="Arial"/>
                <w:sz w:val="14"/>
                <w:szCs w:val="14"/>
                <w:color w:val="auto"/>
              </w:rPr>
              <w:t>stock under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option and stock</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purchase plans</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award plan</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20"/>
                <w:szCs w:val="20"/>
                <w:color w:val="auto"/>
              </w:rPr>
            </w:pPr>
            <w:r>
              <w:rPr>
                <w:rFonts w:ascii="Arial" w:cs="Arial" w:eastAsia="Arial" w:hAnsi="Arial"/>
                <w:sz w:val="14"/>
                <w:szCs w:val="14"/>
                <w:color w:val="auto"/>
              </w:rPr>
              <w:t>Compensation related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line="143" w:lineRule="exact"/>
              <w:rPr>
                <w:sz w:val="20"/>
                <w:szCs w:val="20"/>
                <w:color w:val="auto"/>
              </w:rPr>
            </w:pPr>
            <w:r>
              <w:rPr>
                <w:rFonts w:ascii="Arial" w:cs="Arial" w:eastAsia="Arial" w:hAnsi="Arial"/>
                <w:sz w:val="14"/>
                <w:szCs w:val="14"/>
                <w:color w:val="auto"/>
              </w:rPr>
              <w:t>to share-based</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payments</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128.4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201"/>
        </w:trPr>
        <w:tc>
          <w:tcPr>
            <w:tcW w:w="1440" w:type="dxa"/>
            <w:vAlign w:val="bottom"/>
          </w:tcPr>
          <w:p>
            <w:pPr>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14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June 30,</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169.0</w:t>
            </w:r>
          </w:p>
        </w:tc>
        <w:tc>
          <w:tcPr>
            <w:tcW w:w="2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(110.4)</w:t>
            </w:r>
          </w:p>
        </w:tc>
        <w:tc>
          <w:tcPr>
            <w:tcW w:w="8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$ 14,959.9</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 (2,977.1)</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11,872.5</w:t>
            </w:r>
          </w:p>
        </w:tc>
        <w:tc>
          <w:tcPr>
            <w:tcW w:w="2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$ 11,863.4</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5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682371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w:t>
      </w:r>
      <w:r>
        <w:rPr>
          <w:sz w:val="20"/>
          <w:szCs w:val="20"/>
          <w:color w:val="auto"/>
        </w:rPr>
        <w:tab/>
      </w:r>
      <w:r>
        <w:rPr>
          <w:rFonts w:ascii="Arial" w:cs="Arial" w:eastAsia="Arial" w:hAnsi="Arial"/>
          <w:sz w:val="21"/>
          <w:szCs w:val="21"/>
          <w:b w:val="1"/>
          <w:bCs w:val="1"/>
          <w:color w:val="0070C0"/>
        </w:rPr>
        <w:t>Summary of Significant Accounting Policies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Overview</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worldwide. We have a broad portfolio of medicines to treat MS, have introduced the first approved treatment for SMA and co-developed two treatments to address a defining pathology of Alzheimer's disease. We are focused on advancing our pipeline in neurology, neuropsychiatry, specialized immunology and rare diseases. We support our drug discovery and development efforts through internal research and development programs and external collaborations.</w:t>
      </w:r>
    </w:p>
    <w:p>
      <w:pPr>
        <w:spacing w:after="0" w:line="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marketed products include TECFIDERA, VUMERITY, AVONEX, PLEGRIDY, TYSABRI and FAMPYRA for the treatment of MS; SPINRAZA for the treatment of SMA; QALSODY for ALS, which was granted accelerated approval by the FDA during the second quarter of 2023; ADUHELM for the treatment of Alzheimer's disease; and FUMADERM for the treatment of severe plaque psoriasis. We also collaborate with Eisai on the commercialization of LEQEMBI for the treatment of Alzheimer's disease, which was granted traditional approval by the FDA in July 2023.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which was granted accelerated approval by the FDA during the fourth quarter of 2022; COLUMVI, a bispecific antibody for the treatment of non-Hodgkin's lymphoma, which was granted accelerated approval by the FDA during the second quarter of 2023; and have the option to add other potential anti-CD20 therapies, pursuant to our collaboration arrangements with Genentech, a wholly-owned member of the Roche Group.</w:t>
      </w:r>
    </w:p>
    <w:p>
      <w:pPr>
        <w:spacing w:after="0" w:line="93"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In addition to continuing to invest in new potential innovation in MS and SMA we are advancing our mid-to-late stage programs including zuranolone for MDD and PPD, BIIB080 for Alzheimer's disease and both litifilimab and dapirolizumab pegol for certain forms of lupus.</w:t>
      </w:r>
    </w:p>
    <w:p>
      <w:pPr>
        <w:spacing w:after="0" w:line="4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also commercialize biosimilars of advanced biologics including BENEPALI, an etanercept biosimilar referencing ENBREL, IMRALDI, an adalimumab biosimilar referencing HUMIRA, and FLIXABI, an infliximab biosimilar referencing REMICADE, in certain countries in Europe, as well as BYOOVIZ, a ranibizumab biosimilar referencing LUCENTIS. We continue to develop potential biosimilar products including BIIB800, a proposed tocilizumab biosimilar referencing ACTEMRA, and SB15, a proposed aflibercept biosimilar referencing EYLEA.</w:t>
      </w:r>
    </w:p>
    <w:p>
      <w:pPr>
        <w:spacing w:after="0" w:line="7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these unaudited condensed consolidated financial statements (condensed consolidated financial statements). 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audited consolidated financial statements included in our 2022 Form 10-K.</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Basis of Presentation</w:t>
      </w:r>
    </w:p>
    <w:p>
      <w:pPr>
        <w:spacing w:after="0" w:line="136"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 xml:space="preserve">In the opinion of management, our condensed consolidated financial statements include all adjustments, consisting of normal recurring accruals, necessary for a fair statement of our financial statements for interim periods in accordance with U.S. GAAP. The information included in this quarterly report on Form 10-Q should be read in conjunction with our audited consolidated financial statements and the accompanying notes included in our 2022 Form 10-K. Our accounting policies are described 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our 2022 Form 10-K and updated, as necessary, in this report. The year-end condensed consolidated balance sheet data</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for comparative purposes was derived from our audited financial statements, but does not include all disclosures required by U.S. GAAP. The results of operations for the three and six months ended June 30, 2023, are not necessarily indicative of the operating results for the full year or for any other subsequent interim period.</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We operate as one operating segment, focused on discovering, developing and delivering worldwide innovative therapies for people living with serious neurological and neurodegenerative diseases as well as related therapeutic adjacencies.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Consolidation</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condensed consolidated financial statements reflect our financial statements, those of our wholly-owned subsidiaries and certain variable interest entities where we are the primary beneficiary. For consolidated entities where we own or are exposed to less than 100.0% of the economics, we record net income (loss) attributable to noncontrolling interests, net of tax in our condensed consolidated statements of income equal to the percentage of the economic or ownership interest retained in such entities by the respective noncontrolling parties. Intercompany balances and transactions are eliminated in consolidation.</w:t>
      </w:r>
    </w:p>
    <w:p>
      <w:pPr>
        <w:spacing w:after="0" w:line="8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Use of Estimates</w:t>
      </w:r>
    </w:p>
    <w:p>
      <w:pPr>
        <w:spacing w:after="0" w:line="12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preparation of our condensed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length of time and full extent to which the COVID-19 pandemic directly or indirectly impacts our business, results of operations and financial condition, including sales, expense, reserves and allowances, the supply chain, manufacturing, clinical trials, research and development costs and employee-related costs, depends on future developments that are highly uncertain, subject to change and are difficult to predict, including the economic impact on local, regional, national and international customers and markets. Additionally, the ongoing geopolitical tensions related to the conflict in Ukraine, and the related sanctions and other penalties imposed, are creating substantial uncertainty in the global economy. The extent and duration of the conflict, sanctions and resulting market disruptions are highly unpredictable. We have made estimates of the impact of the COVID-19 pandemic and the ongoing geopolitical conflict within our condensed consolidated financial statements and there may be changes to those estimates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New Accounting Pronouncements</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we adopt as of the specified effective date. Unless otherwise discussed below, we do not believe that the adoption of recently issued standards have had or may have a material impact on our condensed consolidated financial statements or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Fair Value Measurements</w:t>
      </w:r>
    </w:p>
    <w:p>
      <w:pPr>
        <w:spacing w:after="0" w:line="108" w:lineRule="exact"/>
        <w:rPr>
          <w:sz w:val="20"/>
          <w:szCs w:val="20"/>
          <w:color w:val="auto"/>
        </w:rPr>
      </w:pPr>
    </w:p>
    <w:p>
      <w:pPr>
        <w:jc w:val="both"/>
        <w:ind w:right="60"/>
        <w:spacing w:after="0" w:line="255" w:lineRule="auto"/>
        <w:rPr>
          <w:sz w:val="20"/>
          <w:szCs w:val="20"/>
          <w:color w:val="auto"/>
        </w:rPr>
      </w:pPr>
      <w:r>
        <w:rPr>
          <w:rFonts w:ascii="Arial" w:cs="Arial" w:eastAsia="Arial" w:hAnsi="Arial"/>
          <w:sz w:val="17"/>
          <w:szCs w:val="17"/>
          <w:color w:val="auto"/>
        </w:rPr>
        <w:t xml:space="preserve">In June 2022 the FASB issued ASU No. 2022-03,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(Topic 820): </w:t>
      </w:r>
      <w:r>
        <w:rPr>
          <w:rFonts w:ascii="Arial" w:cs="Arial" w:eastAsia="Arial" w:hAnsi="Arial"/>
          <w:sz w:val="17"/>
          <w:szCs w:val="17"/>
          <w:i w:val="1"/>
          <w:iCs w:val="1"/>
          <w:color w:val="auto"/>
        </w:rPr>
        <w:t>Fair Value Measurement of Equity Securities Subject</w:t>
      </w:r>
      <w:r>
        <w:rPr>
          <w:rFonts w:ascii="Arial" w:cs="Arial" w:eastAsia="Arial" w:hAnsi="Arial"/>
          <w:sz w:val="17"/>
          <w:szCs w:val="17"/>
          <w:color w:val="auto"/>
        </w:rPr>
        <w:t xml:space="preserve"> </w:t>
      </w:r>
      <w:r>
        <w:rPr>
          <w:rFonts w:ascii="Arial" w:cs="Arial" w:eastAsia="Arial" w:hAnsi="Arial"/>
          <w:sz w:val="17"/>
          <w:szCs w:val="17"/>
          <w:i w:val="1"/>
          <w:iCs w:val="1"/>
          <w:color w:val="auto"/>
        </w:rPr>
        <w:t>to Contractual Sale Restrictions</w:t>
      </w:r>
      <w:r>
        <w:rPr>
          <w:rFonts w:ascii="Arial" w:cs="Arial" w:eastAsia="Arial" w:hAnsi="Arial"/>
          <w:sz w:val="17"/>
          <w:szCs w:val="17"/>
          <w:color w:val="auto"/>
        </w:rPr>
        <w:t>. This standard clarifies that a contractual restriction on the sale of an equity security is not considered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 of account of the equity security and, therefore, is not considered in measuring fair value. This standard becomes effective for us on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January 1, 2024. We elected to early adopt this standard on a prospective basis during the third quarter of 2022. Upon adoption, we recorded an immaterial amount in other (income) expense, net in our condensed consolidated statements of income, as a result of removing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impact of the remaining contractual sale restrictions from the fair value measurement of certain shares in Sage.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82371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2:</w:t>
      </w:r>
      <w:r>
        <w:rPr>
          <w:sz w:val="20"/>
          <w:szCs w:val="20"/>
          <w:color w:val="auto"/>
        </w:rPr>
        <w:tab/>
      </w:r>
      <w:r>
        <w:rPr>
          <w:rFonts w:ascii="Arial" w:cs="Arial" w:eastAsia="Arial" w:hAnsi="Arial"/>
          <w:sz w:val="21"/>
          <w:szCs w:val="21"/>
          <w:b w:val="1"/>
          <w:bCs w:val="1"/>
          <w:color w:val="0070C0"/>
        </w:rPr>
        <w:t>Dispositions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Sale of Joint Venture Equity Interest in Samsung Bioepis</w:t>
      </w:r>
    </w:p>
    <w:p>
      <w:pPr>
        <w:spacing w:after="0" w:line="19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April 2022 we completed the sale of our 49.9% equity interest in Samsung Bioepis to Samsung BioLogics in exchange for total consideration of approximately $2.3 billion. Under the terms of this transaction, we received approximately $1.0 billion in cash at closing, with approximately $1.3 billion in cash to be deferred over two payments. The first payment of $812.5 million was received in April 2023 and the second payment of $437.5 million is due at the second anniversary of the closing of this transaction.</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Prior to the sale, the carrying value of our investment in Samsung Bioepis totaled $581.6 million. During the second quarter of 2022 we recognized a pre-tax gain of approximately $1.5 billion related to this transaction, which was recorded in other (income) expense, net in our condensed consolidated statements of income for the three and six months ended June 30, 2022. This pre-tax gain included reclassifications from AOCI to net income of approximately $58.9 million in cumulative translation losses, partially offset by approximately $57.0 million in gains resulting from the termination of our net investment hedge.</w:t>
      </w:r>
    </w:p>
    <w:p>
      <w:pPr>
        <w:spacing w:after="0" w:line="7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elected the fair value option and measured the payments due to us from Samsung BioLogics at fair value. As of June 30, 2023, the estimated fair value of the remaining second payment using a risk-adjusted discount rate of 6.6% was approximately $415.2 million. This payment has been classified as a Level 3 measurement and is reflected in other current assets within our condensed consolidated balance sheets as of June 30, 2023.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2023, we recognized gains of approximately $2.6 million and $13.7 million, respectively, to</w:t>
      </w:r>
    </w:p>
    <w:p>
      <w:pPr>
        <w:spacing w:after="0" w:line="8"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reflect the changes in fair value related to the first payment due to us, which was received in April 2023. Additionally, for the three and six months ended June 30, 2023, we recognized gains of approximately $3.6 million and $9.8 million, respectively, to reflect the changes in fair</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value related to the second payment due to us. These changes were recorded in other (income) expense, net in our condensed consolidated statements of income.</w:t>
      </w:r>
    </w:p>
    <w:p>
      <w:pPr>
        <w:spacing w:after="0" w:line="9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part of this transaction, we are also eligible to receive up to an additional $50.0 million upon the achievement of certain commercial milestones. Our policy for contingent payments of this nature is to recognize the payments in the period the payments become realizable, which is generally the same period in which the payments are earned.</w:t>
      </w:r>
    </w:p>
    <w:p>
      <w:pPr>
        <w:spacing w:after="0" w:line="70"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 in our 2022 Form 10-K.</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823710"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3:</w:t>
      </w:r>
      <w:r>
        <w:rPr>
          <w:sz w:val="20"/>
          <w:szCs w:val="20"/>
          <w:color w:val="auto"/>
        </w:rPr>
        <w:tab/>
      </w:r>
      <w:r>
        <w:rPr>
          <w:rFonts w:ascii="Arial" w:cs="Arial" w:eastAsia="Arial" w:hAnsi="Arial"/>
          <w:sz w:val="21"/>
          <w:szCs w:val="21"/>
          <w:b w:val="1"/>
          <w:bCs w:val="1"/>
          <w:color w:val="0070C0"/>
        </w:rPr>
        <w:t>Restructuring</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2023 Cost Saving Initiatives</w:t>
      </w:r>
    </w:p>
    <w:p>
      <w:pPr>
        <w:spacing w:after="0" w:line="190"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In 2023 we initiated additional cost saving measures as part of our Fit for Growth initiative to reduce operating costs, while improving efficiency and effectiveness.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cost saving initiatives are summarized as follows: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68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charges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charges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rPr>
              <w:t>For the Three Months Ended June 30, 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rPr>
              <w:t>For the Six Months Ended June 30, 2023</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11.5</w:t>
            </w:r>
          </w:p>
        </w:tc>
        <w:tc>
          <w:tcPr>
            <w:tcW w:w="100" w:type="dxa"/>
            <w:vAlign w:val="bottom"/>
          </w:tcPr>
          <w:p>
            <w:pPr>
              <w:spacing w:after="0"/>
              <w:rPr>
                <w:sz w:val="16"/>
                <w:szCs w:val="16"/>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26DCE"/>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11.5</w:t>
            </w:r>
          </w:p>
        </w:tc>
        <w:tc>
          <w:tcPr>
            <w:tcW w:w="100" w:type="dxa"/>
            <w:vAlign w:val="bottom"/>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11.5</w:t>
            </w:r>
          </w:p>
        </w:tc>
        <w:tc>
          <w:tcPr>
            <w:tcW w:w="100" w:type="dxa"/>
            <w:vAlign w:val="bottom"/>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11.5</w:t>
            </w:r>
          </w:p>
        </w:tc>
        <w:tc>
          <w:tcPr>
            <w:tcW w:w="0" w:type="dxa"/>
            <w:vAlign w:val="bottom"/>
          </w:tcPr>
          <w:p>
            <w:pPr>
              <w:spacing w:after="0"/>
              <w:rPr>
                <w:sz w:val="1"/>
                <w:szCs w:val="1"/>
                <w:color w:val="auto"/>
              </w:rPr>
            </w:pPr>
          </w:p>
        </w:tc>
      </w:tr>
      <w:tr>
        <w:trPr>
          <w:trHeight w:val="203"/>
        </w:trPr>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0.5</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0.5</w:t>
            </w:r>
          </w:p>
        </w:tc>
        <w:tc>
          <w:tcPr>
            <w:tcW w:w="10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0.5</w:t>
            </w:r>
          </w:p>
        </w:tc>
        <w:tc>
          <w:tcPr>
            <w:tcW w:w="10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0.5</w:t>
            </w:r>
          </w:p>
        </w:tc>
        <w:tc>
          <w:tcPr>
            <w:tcW w:w="0" w:type="dxa"/>
            <w:vAlign w:val="bottom"/>
          </w:tcPr>
          <w:p>
            <w:pPr>
              <w:spacing w:after="0"/>
              <w:rPr>
                <w:sz w:val="1"/>
                <w:szCs w:val="1"/>
                <w:color w:val="auto"/>
              </w:rPr>
            </w:pPr>
          </w:p>
        </w:tc>
      </w:tr>
      <w:tr>
        <w:trPr>
          <w:trHeight w:val="195"/>
        </w:trPr>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17.8</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16.5</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34.3</w:t>
            </w: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24.9</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16.5</w:t>
            </w:r>
          </w:p>
        </w:tc>
        <w:tc>
          <w:tcPr>
            <w:tcW w:w="10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41.4</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17.8</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28.5</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0070C0"/>
                <w:w w:val="76"/>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46.3</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24.9</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28.5</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53.4</w:t>
            </w:r>
          </w:p>
        </w:tc>
        <w:tc>
          <w:tcPr>
            <w:tcW w:w="0" w:type="dxa"/>
            <w:vAlign w:val="bottom"/>
          </w:tcPr>
          <w:p>
            <w:pPr>
              <w:spacing w:after="0"/>
              <w:rPr>
                <w:sz w:val="1"/>
                <w:szCs w:val="1"/>
                <w:color w:val="auto"/>
              </w:rPr>
            </w:pPr>
          </w:p>
        </w:tc>
      </w:tr>
      <w:tr>
        <w:trPr>
          <w:trHeight w:val="20"/>
        </w:trPr>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2800" w:space="720"/>
            <w:col w:w="7720"/>
          </w:cols>
          <w:pgMar w:left="320" w:top="126" w:right="339" w:bottom="1440" w:gutter="0" w:footer="0" w:header="0"/>
          <w:type w:val="continuous"/>
        </w:sectPr>
      </w:pPr>
    </w:p>
    <w:p>
      <w:pPr>
        <w:ind w:right="160"/>
        <w:spacing w:after="0" w:line="282"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2022 Cost Saving Initiatives</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2021 and May 2022 we announced our plans to implement a series of cost-reduction measures during 2022. These savings are being achieved through a number of initiatives, including reductions to our workforce, the substantial elimination of our commercial ADUHELM infrastructure, deprioritization of certain research and development programs, the consolidation of certain real estate locations and operating efficiencies across our selling, general and administrative and research and development functions. Charges related to our 2022 cost saving initiatives were substantially incurred during 2022 with remaining payments expected to be made through 2026.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2022 cost saving initiatives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280" w:type="dxa"/>
            <w:vAlign w:val="bottom"/>
            <w:tcBorders>
              <w:bottom w:val="single" w:sz="8" w:color="auto"/>
              <w:right w:val="single" w:sz="8" w:color="DBDBDB"/>
            </w:tcBorders>
            <w:shd w:val="clear" w:color="auto" w:fill="DBDBDB"/>
          </w:tcPr>
          <w:p>
            <w:pPr>
              <w:jc w:val="right"/>
              <w:ind w:right="48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8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0.1</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070C0"/>
              </w:rPr>
              <w:t>0.1</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0070C0"/>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For the Six Months Ended June 30,</w:t>
            </w: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right w:val="single" w:sz="8" w:color="DBDBDB"/>
            </w:tcBorders>
            <w:shd w:val="clear" w:color="auto" w:fill="DBDBDB"/>
          </w:tcPr>
          <w:p>
            <w:pPr>
              <w:jc w:val="right"/>
              <w:ind w:right="48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4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5"/>
                <w:szCs w:val="15"/>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8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2.6</w:t>
            </w:r>
          </w:p>
        </w:tc>
        <w:tc>
          <w:tcPr>
            <w:tcW w:w="100" w:type="dxa"/>
            <w:vAlign w:val="bottom"/>
          </w:tcPr>
          <w:p>
            <w:pPr>
              <w:spacing w:after="0"/>
              <w:rPr>
                <w:sz w:val="15"/>
                <w:szCs w:val="15"/>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ind w:left="80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070C0"/>
              </w:rPr>
              <w:t>2.6</w:t>
            </w:r>
          </w:p>
        </w:tc>
        <w:tc>
          <w:tcPr>
            <w:tcW w:w="100" w:type="dxa"/>
            <w:vAlign w:val="bottom"/>
          </w:tcPr>
          <w:p>
            <w:pPr>
              <w:spacing w:after="0"/>
              <w:rPr>
                <w:sz w:val="18"/>
                <w:szCs w:val="18"/>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4"/>
                <w:szCs w:val="14"/>
                <w:color w:val="0070C0"/>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Charges and spending related to our 2023 and 2022 workforce reductions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Workforce Reductions</w:t>
            </w:r>
          </w:p>
        </w:tc>
        <w:tc>
          <w:tcPr>
            <w:tcW w:w="1040" w:type="dxa"/>
            <w:vAlign w:val="bottom"/>
            <w:tcBorders>
              <w:bottom w:val="single" w:sz="8" w:color="auto"/>
            </w:tcBorders>
          </w:tcPr>
          <w:p>
            <w:pPr>
              <w:spacing w:after="0"/>
              <w:rPr>
                <w:sz w:val="17"/>
                <w:szCs w:val="17"/>
                <w:color w:val="auto"/>
              </w:rPr>
            </w:pPr>
          </w:p>
        </w:tc>
      </w:tr>
      <w:tr>
        <w:trPr>
          <w:trHeight w:val="185"/>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668"/>
              <w:spacing w:after="0"/>
              <w:rPr>
                <w:sz w:val="20"/>
                <w:szCs w:val="20"/>
                <w:color w:val="auto"/>
              </w:rPr>
            </w:pPr>
            <w:r>
              <w:rPr>
                <w:rFonts w:ascii="Arial" w:cs="Arial" w:eastAsia="Arial" w:hAnsi="Arial"/>
                <w:sz w:val="14"/>
                <w:szCs w:val="14"/>
                <w:b w:val="1"/>
                <w:bCs w:val="1"/>
                <w:color w:val="0070C0"/>
              </w:rPr>
              <w:t>2023</w:t>
            </w: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w w:val="96"/>
              </w:rPr>
              <w:t>2022</w:t>
            </w:r>
          </w:p>
        </w:tc>
      </w:tr>
      <w:tr>
        <w:trPr>
          <w:trHeight w:val="183"/>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December 31</w:t>
            </w:r>
          </w:p>
        </w:tc>
        <w:tc>
          <w:tcPr>
            <w:tcW w:w="4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26DCE"/>
                <w:w w:val="76"/>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35.9</w:t>
            </w:r>
          </w:p>
        </w:tc>
        <w:tc>
          <w:tcPr>
            <w:tcW w:w="8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64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7.1</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03"/>
        </w:trPr>
        <w:tc>
          <w:tcPr>
            <w:tcW w:w="764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(15.6)</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01"/>
        </w:trPr>
        <w:tc>
          <w:tcPr>
            <w:tcW w:w="764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0.6</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March 31</w:t>
            </w:r>
          </w:p>
        </w:tc>
        <w:tc>
          <w:tcPr>
            <w:tcW w:w="4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28.0</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03"/>
        </w:trPr>
        <w:tc>
          <w:tcPr>
            <w:tcW w:w="764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17.8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03"/>
        </w:trPr>
        <w:tc>
          <w:tcPr>
            <w:tcW w:w="764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(13.4)</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01"/>
        </w:trPr>
        <w:tc>
          <w:tcPr>
            <w:tcW w:w="764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(0.1)</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June 30</w:t>
            </w:r>
          </w:p>
        </w:tc>
        <w:tc>
          <w:tcPr>
            <w:tcW w:w="4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70C0"/>
                <w:w w:val="76"/>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32.3</w:t>
            </w:r>
          </w:p>
        </w:tc>
        <w:tc>
          <w:tcPr>
            <w:tcW w:w="8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52.2</w:t>
            </w:r>
          </w:p>
        </w:tc>
      </w:tr>
      <w:tr>
        <w:trPr>
          <w:trHeight w:val="20"/>
        </w:trPr>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82371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4:</w:t>
      </w:r>
      <w:r>
        <w:rPr>
          <w:sz w:val="20"/>
          <w:szCs w:val="20"/>
          <w:color w:val="auto"/>
        </w:rPr>
        <w:tab/>
      </w:r>
      <w:r>
        <w:rPr>
          <w:rFonts w:ascii="Arial" w:cs="Arial" w:eastAsia="Arial" w:hAnsi="Arial"/>
          <w:sz w:val="21"/>
          <w:szCs w:val="21"/>
          <w:b w:val="1"/>
          <w:bCs w:val="1"/>
          <w:color w:val="0070C0"/>
        </w:rPr>
        <w:t>Revenue</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Product Revenue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is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For the Three Months Ended June 30,</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tcBorders>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920" w:type="dxa"/>
            <w:vAlign w:val="bottom"/>
            <w:tcBorders>
              <w:bottom w:val="single" w:sz="8" w:color="auto"/>
            </w:tcBorders>
            <w:shd w:val="clear" w:color="auto" w:fill="DDDDDD"/>
          </w:tcPr>
          <w:p>
            <w:pPr>
              <w:jc w:val="center"/>
              <w:ind w:right="88"/>
              <w:spacing w:after="0"/>
              <w:rPr>
                <w:sz w:val="20"/>
                <w:szCs w:val="20"/>
                <w:color w:val="auto"/>
              </w:rPr>
            </w:pPr>
            <w:r>
              <w:rPr>
                <w:rFonts w:ascii="Arial" w:cs="Arial" w:eastAsia="Arial" w:hAnsi="Arial"/>
                <w:sz w:val="14"/>
                <w:szCs w:val="14"/>
                <w:b w:val="1"/>
                <w:bCs w:val="1"/>
                <w:color w:val="257ACB"/>
              </w:rPr>
              <w:t>2023</w:t>
            </w:r>
          </w:p>
        </w:tc>
        <w:tc>
          <w:tcPr>
            <w:tcW w:w="4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92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3"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United</w:t>
            </w:r>
          </w:p>
        </w:tc>
        <w:tc>
          <w:tcPr>
            <w:tcW w:w="220" w:type="dxa"/>
            <w:vAlign w:val="bottom"/>
          </w:tcPr>
          <w:p>
            <w:pPr>
              <w:spacing w:after="0"/>
              <w:rPr>
                <w:sz w:val="12"/>
                <w:szCs w:val="12"/>
                <w:color w:val="auto"/>
              </w:rPr>
            </w:pPr>
          </w:p>
        </w:tc>
        <w:tc>
          <w:tcPr>
            <w:tcW w:w="96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Rest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560" w:type="dxa"/>
            <w:vAlign w:val="bottom"/>
            <w:tcBorders>
              <w:bottom w:val="single" w:sz="8" w:color="auto"/>
            </w:tcBorders>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18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66.5</w:t>
            </w:r>
          </w:p>
        </w:tc>
        <w:tc>
          <w:tcPr>
            <w:tcW w:w="34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187.7</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254.2</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277.2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397.9</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130.3</w:t>
            </w:r>
          </w:p>
        </w:tc>
        <w:tc>
          <w:tcPr>
            <w:tcW w:w="2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15.9</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146.2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40" w:type="dxa"/>
            <w:vAlign w:val="bottom"/>
            <w:gridSpan w:val="2"/>
          </w:tcPr>
          <w:p>
            <w:pPr>
              <w:ind w:left="220"/>
              <w:spacing w:after="0"/>
              <w:rPr>
                <w:sz w:val="20"/>
                <w:szCs w:val="20"/>
                <w:color w:val="auto"/>
              </w:rPr>
            </w:pPr>
            <w:r>
              <w:rPr>
                <w:rFonts w:ascii="Arial" w:cs="Arial" w:eastAsia="Arial" w:hAnsi="Arial"/>
                <w:sz w:val="14"/>
                <w:szCs w:val="14"/>
                <w:color w:val="auto"/>
              </w:rPr>
              <w:t>Total Fumarate</w:t>
            </w:r>
          </w:p>
        </w:tc>
        <w:tc>
          <w:tcPr>
            <w:tcW w:w="1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196.8</w:t>
            </w:r>
          </w:p>
        </w:tc>
        <w:tc>
          <w:tcPr>
            <w:tcW w:w="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203.6</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400.4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534.7</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145.9</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74.4</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220.3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258.7</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34.1</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48.0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82.1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40" w:type="dxa"/>
            <w:vAlign w:val="bottom"/>
            <w:gridSpan w:val="2"/>
          </w:tcPr>
          <w:p>
            <w:pPr>
              <w:ind w:left="220"/>
              <w:spacing w:after="0"/>
              <w:rPr>
                <w:sz w:val="20"/>
                <w:szCs w:val="20"/>
                <w:color w:val="auto"/>
              </w:rPr>
            </w:pPr>
            <w:r>
              <w:rPr>
                <w:rFonts w:ascii="Arial" w:cs="Arial" w:eastAsia="Arial" w:hAnsi="Arial"/>
                <w:sz w:val="14"/>
                <w:szCs w:val="14"/>
                <w:color w:val="auto"/>
              </w:rPr>
              <w:t>Total Interferon</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180.0</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122.4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302.4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350.2</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259.9</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223.2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483.1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516.2</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84"/>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Subtotal: MS</w:t>
            </w:r>
          </w:p>
        </w:tc>
        <w:tc>
          <w:tcPr>
            <w:tcW w:w="180" w:type="dxa"/>
            <w:vAlign w:val="bottom"/>
            <w:tcBorders>
              <w:top w:val="single" w:sz="8" w:color="auto"/>
            </w:tcBorders>
            <w:shd w:val="clear" w:color="auto" w:fill="DBDBDB"/>
          </w:tcPr>
          <w:p>
            <w:pPr>
              <w:spacing w:after="0"/>
              <w:rPr>
                <w:sz w:val="16"/>
                <w:szCs w:val="16"/>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636.7</w:t>
            </w:r>
          </w:p>
        </w:tc>
        <w:tc>
          <w:tcPr>
            <w:tcW w:w="2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572.6</w:t>
            </w:r>
          </w:p>
        </w:tc>
        <w:tc>
          <w:tcPr>
            <w:tcW w:w="4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60" w:type="dxa"/>
            <w:vAlign w:val="bottom"/>
            <w:tcBorders>
              <w:top w:val="single" w:sz="8" w:color="auto"/>
            </w:tcBorders>
            <w:shd w:val="clear" w:color="auto" w:fill="DBDBDB"/>
          </w:tcPr>
          <w:p>
            <w:pPr>
              <w:spacing w:after="0"/>
              <w:rPr>
                <w:sz w:val="16"/>
                <w:szCs w:val="16"/>
                <w:color w:val="auto"/>
              </w:rPr>
            </w:pPr>
          </w:p>
        </w:tc>
        <w:tc>
          <w:tcPr>
            <w:tcW w:w="92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1,209.3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753.7</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672.9</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1,426.6</w:t>
            </w:r>
          </w:p>
        </w:tc>
        <w:tc>
          <w:tcPr>
            <w:tcW w:w="0" w:type="dxa"/>
            <w:vAlign w:val="bottom"/>
          </w:tcPr>
          <w:p>
            <w:pPr>
              <w:spacing w:after="0"/>
              <w:rPr>
                <w:sz w:val="1"/>
                <w:szCs w:val="1"/>
                <w:color w:val="auto"/>
              </w:rPr>
            </w:pPr>
          </w:p>
        </w:tc>
      </w:tr>
      <w:tr>
        <w:trPr>
          <w:trHeight w:val="256"/>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155.8</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281.3</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437.1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431.1</w:t>
            </w:r>
          </w:p>
        </w:tc>
        <w:tc>
          <w:tcPr>
            <w:tcW w:w="0" w:type="dxa"/>
            <w:vAlign w:val="bottom"/>
          </w:tcPr>
          <w:p>
            <w:pPr>
              <w:spacing w:after="0"/>
              <w:rPr>
                <w:sz w:val="1"/>
                <w:szCs w:val="1"/>
                <w:color w:val="auto"/>
              </w:rPr>
            </w:pPr>
          </w:p>
        </w:tc>
      </w:tr>
      <w:tr>
        <w:trPr>
          <w:trHeight w:val="184"/>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Subtotal: SMA</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155.8</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281.3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437.1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291.3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431.1</w:t>
            </w:r>
          </w:p>
        </w:tc>
        <w:tc>
          <w:tcPr>
            <w:tcW w:w="0" w:type="dxa"/>
            <w:vAlign w:val="bottom"/>
          </w:tcPr>
          <w:p>
            <w:pPr>
              <w:spacing w:after="0"/>
              <w:rPr>
                <w:sz w:val="1"/>
                <w:szCs w:val="1"/>
                <w:color w:val="auto"/>
              </w:rPr>
            </w:pPr>
          </w:p>
        </w:tc>
      </w:tr>
      <w:tr>
        <w:trPr>
          <w:trHeight w:val="257"/>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109.2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109.2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58.8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640" w:type="dxa"/>
            <w:vAlign w:val="bottom"/>
            <w:gridSpan w:val="2"/>
          </w:tcPr>
          <w:p>
            <w:pPr>
              <w:ind w:left="100"/>
              <w:spacing w:after="0" w:line="201" w:lineRule="exact"/>
              <w:rPr>
                <w:sz w:val="20"/>
                <w:szCs w:val="20"/>
                <w:color w:val="auto"/>
              </w:rPr>
            </w:pPr>
            <w:r>
              <w:rPr>
                <w:rFonts w:ascii="Arial" w:cs="Arial" w:eastAsia="Arial" w:hAnsi="Arial"/>
                <w:sz w:val="14"/>
                <w:szCs w:val="14"/>
                <w:color w:val="auto"/>
              </w:rPr>
              <w:t>BYOOVIZ</w:t>
            </w:r>
            <w:r>
              <w:rPr>
                <w:rFonts w:ascii="Arial" w:cs="Arial" w:eastAsia="Arial" w:hAnsi="Arial"/>
                <w:sz w:val="18"/>
                <w:szCs w:val="18"/>
                <w:color w:val="auto"/>
                <w:vertAlign w:val="superscript"/>
              </w:rPr>
              <w:t>(1)</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7.0</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7.0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4"/>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188.1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195.1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193.9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262"/>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(2)</w:t>
            </w:r>
          </w:p>
        </w:tc>
        <w:tc>
          <w:tcPr>
            <w:tcW w:w="18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w:t>
            </w:r>
          </w:p>
        </w:tc>
        <w:tc>
          <w:tcPr>
            <w:tcW w:w="20" w:type="dxa"/>
            <w:vAlign w:val="bottom"/>
            <w:tcBorders>
              <w:bottom w:val="single" w:sz="8" w:color="auto"/>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w:t>
            </w:r>
          </w:p>
        </w:tc>
        <w:tc>
          <w:tcPr>
            <w:tcW w:w="40" w:type="dxa"/>
            <w:vAlign w:val="bottom"/>
            <w:tcBorders>
              <w:bottom w:val="single" w:sz="8" w:color="auto"/>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color w:val="auto"/>
              </w:rPr>
              <w:t>Total product revenue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801.0</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1,044.8</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1,845.8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894.1</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1,160.8</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2,054.9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BYOOVIZ became commercially available in the U.S. during the third quarter of 2022 and commercially available in international markets in 2023.</w:t>
      </w:r>
    </w:p>
    <w:p>
      <w:pPr>
        <w:spacing w:after="0" w:line="21" w:lineRule="exact"/>
        <w:rPr>
          <w:rFonts w:ascii="Arial" w:cs="Arial" w:eastAsia="Arial" w:hAnsi="Arial"/>
          <w:sz w:val="9"/>
          <w:szCs w:val="9"/>
          <w:color w:val="auto"/>
        </w:rPr>
      </w:pPr>
    </w:p>
    <w:p>
      <w:pPr>
        <w:ind w:left="160" w:hanging="152"/>
        <w:spacing w:after="0" w:line="234"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ADUHELM and QALSODY, which became commercially available in the U.S. during the second quarter of 2023.</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jc w:val="center"/>
              <w:ind w:right="128"/>
              <w:spacing w:after="0"/>
              <w:rPr>
                <w:sz w:val="20"/>
                <w:szCs w:val="20"/>
                <w:color w:val="auto"/>
              </w:rPr>
            </w:pPr>
            <w:r>
              <w:rPr>
                <w:rFonts w:ascii="Arial" w:cs="Arial" w:eastAsia="Arial" w:hAnsi="Arial"/>
                <w:sz w:val="14"/>
                <w:szCs w:val="14"/>
                <w:b w:val="1"/>
                <w:bCs w:val="1"/>
                <w:color w:val="257ACB"/>
              </w:rPr>
              <w:t>2023</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68"/>
              <w:spacing w:after="0" w:line="143"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88"/>
              <w:spacing w:after="0" w:line="143" w:lineRule="exact"/>
              <w:rPr>
                <w:sz w:val="20"/>
                <w:szCs w:val="20"/>
                <w:color w:val="auto"/>
              </w:rPr>
            </w:pPr>
            <w:r>
              <w:rPr>
                <w:rFonts w:ascii="Arial" w:cs="Arial" w:eastAsia="Arial" w:hAnsi="Arial"/>
                <w:sz w:val="14"/>
                <w:szCs w:val="14"/>
                <w:b w:val="1"/>
                <w:bCs w:val="1"/>
                <w:color w:val="auto"/>
              </w:rPr>
              <w:t>United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Rest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2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141.2</w:t>
            </w:r>
          </w:p>
        </w:tc>
        <w:tc>
          <w:tcPr>
            <w:tcW w:w="34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387.5</w:t>
            </w:r>
          </w:p>
        </w:tc>
        <w:tc>
          <w:tcPr>
            <w:tcW w:w="400" w:type="dxa"/>
            <w:vAlign w:val="bottom"/>
            <w:gridSpan w:val="3"/>
            <w:shd w:val="clear" w:color="auto" w:fill="DBDBDB"/>
          </w:tcPr>
          <w:p>
            <w:pPr>
              <w:ind w:left="16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528.7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237.8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570.0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807.8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2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223.8</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30.6</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254.4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Fumarate</w:t>
            </w:r>
          </w:p>
        </w:tc>
        <w:tc>
          <w:tcPr>
            <w:tcW w:w="20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365.0</w:t>
            </w:r>
          </w:p>
        </w:tc>
        <w:tc>
          <w:tcPr>
            <w:tcW w:w="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418.1</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783.1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492.9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1,072.6</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2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248.5</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392.7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488.3</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2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91.3</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155.3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Interferon</w:t>
            </w:r>
          </w:p>
        </w:tc>
        <w:tc>
          <w:tcPr>
            <w:tcW w:w="20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312.5</w:t>
            </w:r>
          </w:p>
        </w:tc>
        <w:tc>
          <w:tcPr>
            <w:tcW w:w="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235.5</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548.0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393.5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659.8</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2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505.3</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450.6</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955.9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576.4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1,037.0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FAMPYRA</w:t>
            </w:r>
          </w:p>
        </w:tc>
        <w:tc>
          <w:tcPr>
            <w:tcW w:w="2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47.5</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47.5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84"/>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MS</w:t>
            </w:r>
          </w:p>
        </w:tc>
        <w:tc>
          <w:tcPr>
            <w:tcW w:w="2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1,182.8</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1,151.7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2,334.5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1,462.8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1,358.3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25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20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2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302.5</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577.9</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880.4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18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SMA</w:t>
            </w:r>
          </w:p>
        </w:tc>
        <w:tc>
          <w:tcPr>
            <w:tcW w:w="20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302.5</w:t>
            </w: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577.9</w:t>
            </w: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880.4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244"/>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2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218.2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218.2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230.5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113.2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2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40.5</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9"/>
                <w:szCs w:val="9"/>
                <w:color w:val="auto"/>
              </w:rPr>
              <w:t>(1)</w:t>
            </w:r>
          </w:p>
        </w:tc>
        <w:tc>
          <w:tcPr>
            <w:tcW w:w="20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15.2</w:t>
            </w:r>
          </w:p>
        </w:tc>
        <w:tc>
          <w:tcPr>
            <w:tcW w:w="2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15.6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8"/>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2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15.2</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372.3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387.5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388.7</w:t>
            </w:r>
          </w:p>
        </w:tc>
        <w:tc>
          <w:tcPr>
            <w:tcW w:w="0" w:type="dxa"/>
            <w:vAlign w:val="bottom"/>
          </w:tcPr>
          <w:p>
            <w:pPr>
              <w:spacing w:after="0"/>
              <w:rPr>
                <w:sz w:val="1"/>
                <w:szCs w:val="1"/>
                <w:color w:val="auto"/>
              </w:rPr>
            </w:pPr>
          </w:p>
        </w:tc>
      </w:tr>
      <w:tr>
        <w:trPr>
          <w:trHeight w:val="257"/>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(2)</w:t>
            </w:r>
          </w:p>
        </w:tc>
        <w:tc>
          <w:tcPr>
            <w:tcW w:w="20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w:t>
            </w:r>
          </w:p>
        </w:tc>
        <w:tc>
          <w:tcPr>
            <w:tcW w:w="20" w:type="dxa"/>
            <w:vAlign w:val="bottom"/>
            <w:tcBorders>
              <w:bottom w:val="single" w:sz="8" w:color="auto"/>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4.8</w:t>
            </w:r>
          </w:p>
        </w:tc>
        <w:tc>
          <w:tcPr>
            <w:tcW w:w="40" w:type="dxa"/>
            <w:vAlign w:val="bottom"/>
            <w:tcBorders>
              <w:bottom w:val="single" w:sz="8" w:color="auto"/>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6.7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Total product revenue</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1,502.4</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2,106.7</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3,609.1</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1,769.3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2,351.9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4,121.2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BYOOVIZ became commercially available in the U.S. during the third quarter of 2022 and commercially available in international markets in 2023.</w:t>
      </w:r>
    </w:p>
    <w:p>
      <w:pPr>
        <w:spacing w:after="0" w:line="1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Other includes FUMADERM, ADUHELM and QALSODY, which became commercially available in the U.S. during the second quarter of 2023.</w:t>
      </w:r>
    </w:p>
    <w:p>
      <w:pPr>
        <w:spacing w:after="0" w:line="10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 recognized revenue from two wholesalers accounting for 27.0% and 9.3% of gross product revenue for the three months ended June 30, 2023, and 27.2% and 8.4% of gross product revenue for the six months ended June 30, 2023.</w:t>
      </w:r>
    </w:p>
    <w:p>
      <w:pPr>
        <w:spacing w:after="0" w:line="6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We recognized revenue from two wholesalers accounting for 27.4% and 11.2% of gross product revenue for the three months ended June 30, 2022, and 26.8% and 10.8% of gross product revenue for the six months ended June 30,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Discounts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Returns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Balance, December 31, 2022</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ACB"/>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153.8</w:t>
            </w:r>
          </w:p>
        </w:tc>
        <w:tc>
          <w:tcPr>
            <w:tcW w:w="30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857.7</w:t>
            </w:r>
          </w:p>
        </w:tc>
        <w:tc>
          <w:tcPr>
            <w:tcW w:w="3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23.5</w:t>
            </w:r>
          </w:p>
        </w:tc>
        <w:tc>
          <w:tcPr>
            <w:tcW w:w="42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1,035.0</w:t>
            </w:r>
          </w:p>
        </w:tc>
        <w:tc>
          <w:tcPr>
            <w:tcW w:w="0" w:type="dxa"/>
            <w:vAlign w:val="bottom"/>
          </w:tcPr>
          <w:p>
            <w:pPr>
              <w:spacing w:after="0"/>
              <w:rPr>
                <w:sz w:val="1"/>
                <w:szCs w:val="1"/>
                <w:color w:val="auto"/>
              </w:rPr>
            </w:pPr>
          </w:p>
        </w:tc>
      </w:tr>
      <w:tr>
        <w:trPr>
          <w:trHeight w:val="195"/>
        </w:trPr>
        <w:tc>
          <w:tcPr>
            <w:tcW w:w="5420" w:type="dxa"/>
            <w:vAlign w:val="bottom"/>
            <w:gridSpan w:val="2"/>
          </w:tcPr>
          <w:p>
            <w:pPr>
              <w:ind w:left="140"/>
              <w:spacing w:after="0"/>
              <w:rPr>
                <w:sz w:val="20"/>
                <w:szCs w:val="20"/>
                <w:color w:val="auto"/>
              </w:rPr>
            </w:pPr>
            <w:r>
              <w:rPr>
                <w:rFonts w:ascii="Arial" w:cs="Arial" w:eastAsia="Arial" w:hAnsi="Arial"/>
                <w:sz w:val="14"/>
                <w:szCs w:val="14"/>
                <w:color w:val="auto"/>
              </w:rPr>
              <w:t>Current provisions relating to sales in current year</w:t>
            </w:r>
          </w:p>
        </w:tc>
        <w:tc>
          <w:tcPr>
            <w:tcW w:w="220" w:type="dxa"/>
            <w:vAlign w:val="bottom"/>
            <w:shd w:val="clear" w:color="auto" w:fill="DBDBDB"/>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381.8</w:t>
            </w: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1,324.7</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1,714.3</w:t>
            </w:r>
          </w:p>
        </w:tc>
        <w:tc>
          <w:tcPr>
            <w:tcW w:w="0" w:type="dxa"/>
            <w:vAlign w:val="bottom"/>
          </w:tcPr>
          <w:p>
            <w:pPr>
              <w:spacing w:after="0"/>
              <w:rPr>
                <w:sz w:val="1"/>
                <w:szCs w:val="1"/>
                <w:color w:val="auto"/>
              </w:rPr>
            </w:pPr>
          </w:p>
        </w:tc>
      </w:tr>
      <w:tr>
        <w:trPr>
          <w:trHeight w:val="191"/>
        </w:trPr>
        <w:tc>
          <w:tcPr>
            <w:tcW w:w="5420" w:type="dxa"/>
            <w:vAlign w:val="bottom"/>
            <w:gridSpan w:val="2"/>
          </w:tcPr>
          <w:p>
            <w:pPr>
              <w:ind w:left="140"/>
              <w:spacing w:after="0"/>
              <w:rPr>
                <w:sz w:val="20"/>
                <w:szCs w:val="20"/>
                <w:color w:val="auto"/>
              </w:rPr>
            </w:pPr>
            <w:r>
              <w:rPr>
                <w:rFonts w:ascii="Arial" w:cs="Arial" w:eastAsia="Arial" w:hAnsi="Arial"/>
                <w:sz w:val="14"/>
                <w:szCs w:val="14"/>
                <w:color w:val="auto"/>
              </w:rPr>
              <w:t>Adjustments relating to prior years</w:t>
            </w:r>
          </w:p>
        </w:tc>
        <w:tc>
          <w:tcPr>
            <w:tcW w:w="220" w:type="dxa"/>
            <w:vAlign w:val="bottom"/>
            <w:shd w:val="clear" w:color="auto" w:fill="DBDBDB"/>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(19.6)</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(12.6)</w:t>
            </w:r>
          </w:p>
        </w:tc>
        <w:tc>
          <w:tcPr>
            <w:tcW w:w="0" w:type="dxa"/>
            <w:vAlign w:val="bottom"/>
          </w:tcPr>
          <w:p>
            <w:pPr>
              <w:spacing w:after="0"/>
              <w:rPr>
                <w:sz w:val="1"/>
                <w:szCs w:val="1"/>
                <w:color w:val="auto"/>
              </w:rPr>
            </w:pPr>
          </w:p>
        </w:tc>
      </w:tr>
      <w:tr>
        <w:trPr>
          <w:trHeight w:val="203"/>
        </w:trPr>
        <w:tc>
          <w:tcPr>
            <w:tcW w:w="542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current year</w:t>
            </w:r>
          </w:p>
        </w:tc>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(257.5)</w:t>
            </w: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(757.4)</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(1,016.7)</w:t>
            </w:r>
          </w:p>
        </w:tc>
        <w:tc>
          <w:tcPr>
            <w:tcW w:w="0" w:type="dxa"/>
            <w:vAlign w:val="bottom"/>
          </w:tcPr>
          <w:p>
            <w:pPr>
              <w:spacing w:after="0"/>
              <w:rPr>
                <w:sz w:val="1"/>
                <w:szCs w:val="1"/>
                <w:color w:val="auto"/>
              </w:rPr>
            </w:pPr>
          </w:p>
        </w:tc>
      </w:tr>
      <w:tr>
        <w:trPr>
          <w:trHeight w:val="201"/>
        </w:trPr>
        <w:tc>
          <w:tcPr>
            <w:tcW w:w="542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prior years</w:t>
            </w:r>
          </w:p>
        </w:tc>
        <w:tc>
          <w:tcPr>
            <w:tcW w:w="22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(113.7)</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(477.7)</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(14.1)</w:t>
            </w: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(605.5)</w:t>
            </w:r>
          </w:p>
        </w:tc>
        <w:tc>
          <w:tcPr>
            <w:tcW w:w="0" w:type="dxa"/>
            <w:vAlign w:val="bottom"/>
          </w:tcPr>
          <w:p>
            <w:pPr>
              <w:spacing w:after="0"/>
              <w:rPr>
                <w:sz w:val="1"/>
                <w:szCs w:val="1"/>
                <w:color w:val="auto"/>
              </w:rPr>
            </w:pPr>
          </w:p>
        </w:tc>
      </w:tr>
      <w:tr>
        <w:trPr>
          <w:trHeight w:val="216"/>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Balance, June 30, 2023</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165.2</w:t>
            </w: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927.7</w:t>
            </w: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21.6</w:t>
            </w:r>
          </w:p>
        </w:tc>
        <w:tc>
          <w:tcPr>
            <w:tcW w:w="420" w:type="dxa"/>
            <w:vAlign w:val="bottom"/>
            <w:gridSpan w:val="2"/>
            <w:shd w:val="clear" w:color="auto" w:fill="DBDBDB"/>
          </w:tcPr>
          <w:p>
            <w:pPr>
              <w:jc w:val="right"/>
              <w:ind w:right="200"/>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1,114.5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total reserves above, which are included in our condensed consolidated balance sheets,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520" w:type="dxa"/>
            <w:vAlign w:val="bottom"/>
            <w:tcBorders>
              <w:bottom w:val="single" w:sz="8" w:color="auto"/>
            </w:tcBorders>
            <w:shd w:val="clear" w:color="auto" w:fill="DDDDDD"/>
          </w:tcPr>
          <w:p>
            <w:pPr>
              <w:jc w:val="right"/>
              <w:ind w:right="88"/>
              <w:spacing w:after="0"/>
              <w:rPr>
                <w:sz w:val="20"/>
                <w:szCs w:val="20"/>
                <w:color w:val="auto"/>
              </w:rPr>
            </w:pPr>
            <w:r>
              <w:rPr>
                <w:rFonts w:ascii="Arial" w:cs="Arial" w:eastAsia="Arial" w:hAnsi="Arial"/>
                <w:sz w:val="14"/>
                <w:szCs w:val="14"/>
                <w:b w:val="1"/>
                <w:bCs w:val="1"/>
                <w:color w:val="257ACB"/>
              </w:rPr>
              <w:t>As of June 30, 2023</w:t>
            </w:r>
          </w:p>
        </w:tc>
        <w:tc>
          <w:tcPr>
            <w:tcW w:w="100" w:type="dxa"/>
            <w:vAlign w:val="bottom"/>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149.8</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143.4</w:t>
            </w:r>
          </w:p>
        </w:tc>
      </w:tr>
      <w:tr>
        <w:trPr>
          <w:trHeight w:val="20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14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964.7</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891.6</w:t>
            </w:r>
          </w:p>
        </w:tc>
      </w:tr>
      <w:tr>
        <w:trPr>
          <w:trHeight w:val="208"/>
        </w:trPr>
        <w:tc>
          <w:tcPr>
            <w:tcW w:w="7720" w:type="dxa"/>
            <w:vAlign w:val="bottom"/>
            <w:gridSpan w:val="2"/>
          </w:tcPr>
          <w:p>
            <w:pPr>
              <w:ind w:left="240"/>
              <w:spacing w:after="0"/>
              <w:rPr>
                <w:sz w:val="20"/>
                <w:szCs w:val="20"/>
                <w:color w:val="auto"/>
              </w:rPr>
            </w:pPr>
            <w:r>
              <w:rPr>
                <w:rFonts w:ascii="Arial" w:cs="Arial" w:eastAsia="Arial" w:hAnsi="Arial"/>
                <w:sz w:val="14"/>
                <w:szCs w:val="14"/>
                <w:color w:val="auto"/>
              </w:rPr>
              <w:t>Total revenue-related reserves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1,114.5</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1,035.0</w:t>
            </w: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from LEQEMBI Collaboration</w:t>
      </w:r>
    </w:p>
    <w:p>
      <w:pPr>
        <w:spacing w:after="0" w:line="13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July 2023 the FDA granted traditional approval of LEQEMBI. Prior to receiving traditional approval, LEQEMBI had been granted accelerated approval by the FDA in January 2023, at which time it became commercially available in the U.S. Upon commercialization of LEQEMBI, we began recognizing our portion of the profit share on a net basis as a separate component of total revenue within revenue from LEQEMBI collaboration in our condensed consolidated income statements, as we are not the principal.</w:t>
      </w:r>
    </w:p>
    <w:p>
      <w:pPr>
        <w:spacing w:after="0" w:line="8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For the three and six months ended June 30, 2023, we recognized reductions to revenue of approximately $20.7 million and $39.6 million, respectively, reflecting our net profit-share of the LEQEMBI Collaboration results in the U.S.</w:t>
      </w:r>
    </w:p>
    <w:p>
      <w:pPr>
        <w:spacing w:after="0" w:line="6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these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from Anti-CD20 Therapeutic Programs</w:t>
      </w:r>
    </w:p>
    <w:p>
      <w:pPr>
        <w:spacing w:after="0" w:line="12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Revenue from anti-CD20 therapeutic programs is summarized in the table below. For the purposes of this footnote, we refer to RITUXAN and RITUXAN HYCELA collectively as RITUXAN.</w:t>
      </w:r>
    </w:p>
    <w:tbl>
      <w:tblPr>
        <w:tblLayout w:type="fixed"/>
        <w:tblInd w:w="0" w:type="dxa"/>
        <w:tblCellMar>
          <w:top w:w="0" w:type="dxa"/>
          <w:left w:w="0" w:type="dxa"/>
          <w:bottom w:w="0" w:type="dxa"/>
          <w:right w:w="0" w:type="dxa"/>
        </w:tblCellMar>
      </w:tblPr>
      <w:tr>
        <w:trPr>
          <w:trHeight w:val="150"/>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5"/>
          </w:tcPr>
          <w:p>
            <w:pPr>
              <w:ind w:left="40"/>
              <w:spacing w:after="0" w:line="150" w:lineRule="exact"/>
              <w:rPr>
                <w:sz w:val="20"/>
                <w:szCs w:val="20"/>
                <w:color w:val="auto"/>
              </w:rPr>
            </w:pPr>
            <w:r>
              <w:rPr>
                <w:rFonts w:ascii="Arial" w:cs="Arial" w:eastAsia="Arial" w:hAnsi="Arial"/>
                <w:sz w:val="14"/>
                <w:szCs w:val="14"/>
                <w:b w:val="1"/>
                <w:bCs w:val="1"/>
                <w:color w:val="auto"/>
              </w:rPr>
              <w:t>For the Three Months Ended</w:t>
            </w:r>
          </w:p>
        </w:tc>
        <w:tc>
          <w:tcPr>
            <w:tcW w:w="2300" w:type="dxa"/>
            <w:vAlign w:val="bottom"/>
            <w:gridSpan w:val="5"/>
          </w:tcPr>
          <w:p>
            <w:pPr>
              <w:jc w:val="right"/>
              <w:ind w:right="8"/>
              <w:spacing w:after="0" w:line="150" w:lineRule="exact"/>
              <w:rPr>
                <w:sz w:val="20"/>
                <w:szCs w:val="20"/>
                <w:color w:val="auto"/>
              </w:rPr>
            </w:pPr>
            <w:r>
              <w:rPr>
                <w:rFonts w:ascii="Arial" w:cs="Arial" w:eastAsia="Arial" w:hAnsi="Arial"/>
                <w:sz w:val="14"/>
                <w:szCs w:val="14"/>
                <w:b w:val="1"/>
                <w:bCs w:val="1"/>
                <w:color w:val="auto"/>
              </w:rPr>
              <w:t>For the Six Months Ended June</w:t>
            </w:r>
          </w:p>
        </w:tc>
      </w:tr>
      <w:tr>
        <w:trPr>
          <w:trHeight w:val="200"/>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71"/>
              </w:rPr>
              <w:t>30,</w:t>
            </w:r>
          </w:p>
        </w:tc>
        <w:tc>
          <w:tcPr>
            <w:tcW w:w="860" w:type="dxa"/>
            <w:vAlign w:val="bottom"/>
            <w:tcBorders>
              <w:bottom w:val="single" w:sz="8" w:color="auto"/>
            </w:tcBorders>
          </w:tcPr>
          <w:p>
            <w:pPr>
              <w:spacing w:after="0"/>
              <w:rPr>
                <w:sz w:val="17"/>
                <w:szCs w:val="17"/>
                <w:color w:val="auto"/>
              </w:rPr>
            </w:pPr>
          </w:p>
        </w:tc>
      </w:tr>
      <w:tr>
        <w:trPr>
          <w:trHeight w:val="18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right w:val="single" w:sz="8" w:color="DDDDDD"/>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4"/>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325.5</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291.8</w:t>
            </w:r>
          </w:p>
        </w:tc>
        <w:tc>
          <w:tcPr>
            <w:tcW w:w="80" w:type="dxa"/>
            <w:vAlign w:val="bottom"/>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8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609.1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544.1</w:t>
            </w:r>
          </w:p>
        </w:tc>
      </w:tr>
      <w:tr>
        <w:trPr>
          <w:trHeight w:val="223"/>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18"/>
                <w:szCs w:val="18"/>
                <w:color w:val="auto"/>
                <w:vertAlign w:val="superscript"/>
              </w:rPr>
              <w:t>(1)</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139.9</w:t>
            </w:r>
          </w:p>
        </w:tc>
        <w:tc>
          <w:tcPr>
            <w:tcW w:w="80" w:type="dxa"/>
            <w:vAlign w:val="bottom"/>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216.1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283.1</w:t>
            </w:r>
          </w:p>
        </w:tc>
      </w:tr>
      <w:tr>
        <w:trPr>
          <w:trHeight w:val="194"/>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7.7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203"/>
        </w:trPr>
        <w:tc>
          <w:tcPr>
            <w:tcW w:w="6520" w:type="dxa"/>
            <w:vAlign w:val="bottom"/>
            <w:gridSpan w:val="2"/>
          </w:tcPr>
          <w:p>
            <w:pPr>
              <w:ind w:left="220"/>
              <w:spacing w:after="0"/>
              <w:rPr>
                <w:sz w:val="20"/>
                <w:szCs w:val="20"/>
                <w:color w:val="auto"/>
              </w:rPr>
            </w:pPr>
            <w:r>
              <w:rPr>
                <w:rFonts w:ascii="Arial" w:cs="Arial" w:eastAsia="Arial" w:hAnsi="Arial"/>
                <w:sz w:val="14"/>
                <w:szCs w:val="14"/>
                <w:color w:val="auto"/>
              </w:rPr>
              <w:t>Total revenue from anti-CD20 therapeutic programs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433.4</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436.3</w:t>
            </w:r>
          </w:p>
        </w:tc>
        <w:tc>
          <w:tcPr>
            <w:tcW w:w="80" w:type="dxa"/>
            <w:vAlign w:val="bottom"/>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8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832.9</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835.7</w:t>
            </w: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61"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LUNSUMIO became commercially available in the U.S. during the first quarter of 2023.</w:t>
      </w:r>
    </w:p>
    <w:p>
      <w:pPr>
        <w:spacing w:after="0" w:line="10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2022 Form 10-K.</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Contract Manufacturing, Royalty and Other Revenue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in the table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 June</w:t>
            </w:r>
          </w:p>
        </w:tc>
        <w:tc>
          <w:tcPr>
            <w:tcW w:w="100" w:type="dxa"/>
            <w:vAlign w:val="bottom"/>
          </w:tcPr>
          <w:p>
            <w:pPr>
              <w:spacing w:after="0"/>
              <w:rPr>
                <w:sz w:val="14"/>
                <w:szCs w:val="14"/>
                <w:color w:val="auto"/>
              </w:rPr>
            </w:pPr>
          </w:p>
        </w:tc>
        <w:tc>
          <w:tcPr>
            <w:tcW w:w="22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For the Six Months Ended June</w:t>
            </w:r>
          </w:p>
        </w:tc>
      </w:tr>
      <w:tr>
        <w:trPr>
          <w:trHeight w:val="189"/>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r>
      <w:tr>
        <w:trPr>
          <w:trHeight w:val="18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880" w:type="dxa"/>
            <w:vAlign w:val="bottom"/>
            <w:tcBorders>
              <w:bottom w:val="single" w:sz="8" w:color="auto"/>
              <w:right w:val="single" w:sz="8" w:color="DDDDDD"/>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040" w:type="dxa"/>
            <w:vAlign w:val="bottom"/>
            <w:tcBorders>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4"/>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260" w:type="dxa"/>
            <w:vAlign w:val="bottom"/>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183.1</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490.0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128.7</w:t>
            </w:r>
          </w:p>
        </w:tc>
      </w:tr>
      <w:tr>
        <w:trPr>
          <w:trHeight w:val="214"/>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26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14.4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26.6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r>
      <w:tr>
        <w:trPr>
          <w:trHeight w:val="203"/>
        </w:trPr>
        <w:tc>
          <w:tcPr>
            <w:tcW w:w="636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260" w:type="dxa"/>
            <w:vAlign w:val="bottom"/>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197.5</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516.6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164.0</w:t>
            </w: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Contract Manufacturing Revenue</w:t>
      </w:r>
    </w:p>
    <w:p>
      <w:pPr>
        <w:spacing w:after="0" w:line="15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During the first quarter of 2023 we began recognizing contract manufacturing revenue for LEQEMBI, upon accelerated approval of LEQEMBI in the U.S. Prior to accelerated approval, contract manufacturing amounts related to LEQEMBI were recognized in research and development within our condensed consolidated income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Royalty and Other Revenue</w:t>
      </w:r>
    </w:p>
    <w:p>
      <w:pPr>
        <w:spacing w:after="0" w:line="15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Royalty and other revenue primarily reflects the royalties we receive from net sales on products related to patents that we have out-licensed, as well as royalty revenue on biosimilar products from our license arrangements with Samsung Bioepis.</w:t>
      </w:r>
    </w:p>
    <w:p>
      <w:pPr>
        <w:spacing w:after="0" w:line="7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For additional information on our license arrangements with Samsung Bioepis,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to these condensed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28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5:</w:t>
            </w:r>
          </w:p>
        </w:tc>
        <w:tc>
          <w:tcPr>
            <w:tcW w:w="550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Inventory</w:t>
            </w:r>
          </w:p>
        </w:tc>
        <w:tc>
          <w:tcPr>
            <w:tcW w:w="240" w:type="dxa"/>
            <w:vAlign w:val="bottom"/>
            <w:tcBorders>
              <w:bottom w:val="single" w:sz="8" w:color="0070C0"/>
            </w:tcBorders>
          </w:tcPr>
          <w:p>
            <w:pPr>
              <w:spacing w:after="0"/>
              <w:rPr>
                <w:sz w:val="24"/>
                <w:szCs w:val="24"/>
                <w:color w:val="auto"/>
              </w:rPr>
            </w:pPr>
          </w:p>
        </w:tc>
        <w:tc>
          <w:tcPr>
            <w:tcW w:w="1920" w:type="dxa"/>
            <w:vAlign w:val="bottom"/>
            <w:tcBorders>
              <w:bottom w:val="single" w:sz="8" w:color="0070C0"/>
            </w:tcBorders>
          </w:tcPr>
          <w:p>
            <w:pPr>
              <w:spacing w:after="0"/>
              <w:rPr>
                <w:sz w:val="24"/>
                <w:szCs w:val="24"/>
                <w:color w:val="auto"/>
              </w:rPr>
            </w:pPr>
          </w:p>
        </w:tc>
        <w:tc>
          <w:tcPr>
            <w:tcW w:w="120" w:type="dxa"/>
            <w:vAlign w:val="bottom"/>
            <w:tcBorders>
              <w:bottom w:val="single" w:sz="8" w:color="0070C0"/>
            </w:tcBorders>
          </w:tcPr>
          <w:p>
            <w:pPr>
              <w:spacing w:after="0"/>
              <w:rPr>
                <w:sz w:val="24"/>
                <w:szCs w:val="24"/>
                <w:color w:val="auto"/>
              </w:rPr>
            </w:pPr>
          </w:p>
        </w:tc>
        <w:tc>
          <w:tcPr>
            <w:tcW w:w="160" w:type="dxa"/>
            <w:vAlign w:val="bottom"/>
            <w:tcBorders>
              <w:bottom w:val="single" w:sz="8" w:color="0070C0"/>
            </w:tcBorders>
          </w:tcPr>
          <w:p>
            <w:pPr>
              <w:spacing w:after="0"/>
              <w:rPr>
                <w:sz w:val="24"/>
                <w:szCs w:val="24"/>
                <w:color w:val="auto"/>
              </w:rPr>
            </w:pPr>
          </w:p>
        </w:tc>
        <w:tc>
          <w:tcPr>
            <w:tcW w:w="1540" w:type="dxa"/>
            <w:vAlign w:val="bottom"/>
            <w:tcBorders>
              <w:bottom w:val="single" w:sz="8" w:color="0070C0"/>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780" w:type="dxa"/>
            <w:vAlign w:val="bottom"/>
            <w:gridSpan w:val="3"/>
          </w:tcPr>
          <w:p>
            <w:pPr>
              <w:spacing w:after="0"/>
              <w:rPr>
                <w:sz w:val="20"/>
                <w:szCs w:val="20"/>
                <w:color w:val="auto"/>
              </w:rPr>
            </w:pPr>
            <w:r>
              <w:rPr>
                <w:rFonts w:ascii="Arial" w:cs="Arial" w:eastAsia="Arial" w:hAnsi="Arial"/>
                <w:sz w:val="18"/>
                <w:szCs w:val="18"/>
                <w:color w:val="auto"/>
              </w:rPr>
              <w:t>The components of inventory are summarized as follows:</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line="20" w:lineRule="exact"/>
              <w:rPr>
                <w:sz w:val="1"/>
                <w:szCs w:val="1"/>
                <w:color w:val="auto"/>
              </w:rPr>
            </w:pPr>
          </w:p>
        </w:tc>
      </w:tr>
      <w:tr>
        <w:trPr>
          <w:trHeight w:val="202"/>
        </w:trPr>
        <w:tc>
          <w:tcPr>
            <w:tcW w:w="1280" w:type="dxa"/>
            <w:vAlign w:val="bottom"/>
            <w:tcBorders>
              <w:bottom w:val="single" w:sz="8" w:color="auto"/>
            </w:tcBorders>
            <w:vMerge w:val="continue"/>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DDDDD"/>
          </w:tcPr>
          <w:p>
            <w:pPr>
              <w:spacing w:after="0"/>
              <w:rPr>
                <w:sz w:val="17"/>
                <w:szCs w:val="17"/>
                <w:color w:val="auto"/>
              </w:rPr>
            </w:pPr>
          </w:p>
        </w:tc>
        <w:tc>
          <w:tcPr>
            <w:tcW w:w="192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As of June 30, 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8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w w:val="76"/>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452.8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413.2</w:t>
            </w: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751.9</w:t>
            </w:r>
          </w:p>
        </w:tc>
        <w:tc>
          <w:tcPr>
            <w:tcW w:w="0" w:type="dxa"/>
            <w:vAlign w:val="bottom"/>
          </w:tcPr>
          <w:p>
            <w:pPr>
              <w:spacing w:after="0"/>
              <w:rPr>
                <w:sz w:val="1"/>
                <w:szCs w:val="1"/>
                <w:color w:val="auto"/>
              </w:rPr>
            </w:pPr>
          </w:p>
        </w:tc>
      </w:tr>
      <w:tr>
        <w:trPr>
          <w:trHeight w:val="201"/>
        </w:trPr>
        <w:tc>
          <w:tcPr>
            <w:tcW w:w="1280" w:type="dxa"/>
            <w:vAlign w:val="bottom"/>
          </w:tcPr>
          <w:p>
            <w:pPr>
              <w:ind w:left="20"/>
              <w:spacing w:after="0"/>
              <w:rPr>
                <w:sz w:val="20"/>
                <w:szCs w:val="20"/>
                <w:color w:val="auto"/>
              </w:rPr>
            </w:pPr>
            <w:r>
              <w:rPr>
                <w:rFonts w:ascii="Arial" w:cs="Arial" w:eastAsia="Arial" w:hAnsi="Arial"/>
                <w:sz w:val="14"/>
                <w:szCs w:val="14"/>
                <w:color w:val="auto"/>
              </w:rPr>
              <w:t>Finished goods</w:t>
            </w: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194.8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37"/>
        </w:trPr>
        <w:tc>
          <w:tcPr>
            <w:tcW w:w="128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w w:val="76"/>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1,399.3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1,365.5</w:t>
            </w:r>
          </w:p>
        </w:tc>
        <w:tc>
          <w:tcPr>
            <w:tcW w:w="0" w:type="dxa"/>
            <w:vAlign w:val="bottom"/>
          </w:tcPr>
          <w:p>
            <w:pPr>
              <w:spacing w:after="0"/>
              <w:rPr>
                <w:sz w:val="1"/>
                <w:szCs w:val="1"/>
                <w:color w:val="auto"/>
              </w:rPr>
            </w:pPr>
          </w:p>
        </w:tc>
      </w:tr>
      <w:tr>
        <w:trPr>
          <w:trHeight w:val="426"/>
        </w:trPr>
        <w:tc>
          <w:tcPr>
            <w:tcW w:w="6780" w:type="dxa"/>
            <w:vAlign w:val="bottom"/>
            <w:gridSpan w:val="3"/>
          </w:tcPr>
          <w:p>
            <w:pPr>
              <w:ind w:left="20"/>
              <w:spacing w:after="0"/>
              <w:rPr>
                <w:sz w:val="20"/>
                <w:szCs w:val="20"/>
                <w:color w:val="auto"/>
              </w:rPr>
            </w:pPr>
            <w:r>
              <w:rPr>
                <w:rFonts w:ascii="Arial" w:cs="Arial" w:eastAsia="Arial" w:hAnsi="Arial"/>
                <w:sz w:val="14"/>
                <w:szCs w:val="14"/>
                <w:i w:val="1"/>
                <w:iCs w:val="1"/>
                <w:color w:val="auto"/>
              </w:rPr>
              <w:t>Balance Sheet Classification:</w:t>
            </w:r>
          </w:p>
        </w:tc>
        <w:tc>
          <w:tcPr>
            <w:tcW w:w="240" w:type="dxa"/>
            <w:vAlign w:val="bottom"/>
            <w:tcBorders>
              <w:top w:val="single" w:sz="8" w:color="auto"/>
            </w:tcBorders>
            <w:shd w:val="clear" w:color="auto" w:fill="DBDBDB"/>
          </w:tcPr>
          <w:p>
            <w:pPr>
              <w:spacing w:after="0"/>
              <w:rPr>
                <w:sz w:val="24"/>
                <w:szCs w:val="24"/>
                <w:color w:val="auto"/>
              </w:rPr>
            </w:pPr>
          </w:p>
        </w:tc>
        <w:tc>
          <w:tcPr>
            <w:tcW w:w="1920" w:type="dxa"/>
            <w:vAlign w:val="bottom"/>
            <w:tcBorders>
              <w:top w:val="single" w:sz="8" w:color="auto"/>
            </w:tcBorders>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tcPr>
          <w:p>
            <w:pPr>
              <w:ind w:left="20"/>
              <w:spacing w:after="0"/>
              <w:rPr>
                <w:sz w:val="20"/>
                <w:szCs w:val="20"/>
                <w:color w:val="auto"/>
              </w:rPr>
            </w:pPr>
            <w:r>
              <w:rPr>
                <w:rFonts w:ascii="Arial" w:cs="Arial" w:eastAsia="Arial" w:hAnsi="Arial"/>
                <w:sz w:val="14"/>
                <w:szCs w:val="14"/>
                <w:color w:val="auto"/>
              </w:rPr>
              <w:t>Inventory</w:t>
            </w: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w w:val="76"/>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1,333.5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1,344.4</w:t>
            </w:r>
          </w:p>
        </w:tc>
        <w:tc>
          <w:tcPr>
            <w:tcW w:w="0" w:type="dxa"/>
            <w:vAlign w:val="bottom"/>
          </w:tcPr>
          <w:p>
            <w:pPr>
              <w:spacing w:after="0"/>
              <w:rPr>
                <w:sz w:val="1"/>
                <w:szCs w:val="1"/>
                <w:color w:val="auto"/>
              </w:rPr>
            </w:pPr>
          </w:p>
        </w:tc>
      </w:tr>
      <w:tr>
        <w:trPr>
          <w:trHeight w:val="208"/>
        </w:trPr>
        <w:tc>
          <w:tcPr>
            <w:tcW w:w="6780" w:type="dxa"/>
            <w:vAlign w:val="bottom"/>
            <w:gridSpan w:val="3"/>
          </w:tcPr>
          <w:p>
            <w:pPr>
              <w:ind w:left="20"/>
              <w:spacing w:after="0"/>
              <w:rPr>
                <w:sz w:val="20"/>
                <w:szCs w:val="20"/>
                <w:color w:val="auto"/>
              </w:rPr>
            </w:pPr>
            <w:r>
              <w:rPr>
                <w:rFonts w:ascii="Arial" w:cs="Arial" w:eastAsia="Arial" w:hAnsi="Arial"/>
                <w:sz w:val="14"/>
                <w:szCs w:val="14"/>
                <w:color w:val="auto"/>
              </w:rPr>
              <w:t>Investments and other assets</w:t>
            </w:r>
          </w:p>
        </w:tc>
        <w:tc>
          <w:tcPr>
            <w:tcW w:w="240" w:type="dxa"/>
            <w:vAlign w:val="bottom"/>
            <w:tcBorders>
              <w:bottom w:val="single" w:sz="8" w:color="auto"/>
            </w:tcBorders>
            <w:shd w:val="clear" w:color="auto" w:fill="DBDBDB"/>
          </w:tcPr>
          <w:p>
            <w:pPr>
              <w:spacing w:after="0"/>
              <w:rPr>
                <w:sz w:val="18"/>
                <w:szCs w:val="18"/>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65.8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w w:val="76"/>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1,399.3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1,365.5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During the first quarter of 2022 we wrote-off approximately $ 275.0 million of inventory related to ADUHELM, as a result of the final NCD, which was recognized in cost of sales within our condensed consolidated statements of income for the six months ended June 30, 2022. We recognized approximately $136.0 million related to Eisai's 45.0% share of these charges in collaboration profit sharing/(loss reimbursement) within our condensed consolidated statements of income for the six months ended June 30, 2022. As of June 30, 2023 and December 31, 2022, the carrying value of our ADUHELM inventory was immaterial.</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682371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383"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6:</w:t>
      </w:r>
      <w:r>
        <w:rPr>
          <w:sz w:val="20"/>
          <w:szCs w:val="20"/>
          <w:color w:val="auto"/>
        </w:rPr>
        <w:tab/>
      </w:r>
      <w:r>
        <w:rPr>
          <w:rFonts w:ascii="Arial" w:cs="Arial" w:eastAsia="Arial" w:hAnsi="Arial"/>
          <w:sz w:val="21"/>
          <w:szCs w:val="21"/>
          <w:b w:val="1"/>
          <w:bCs w:val="1"/>
          <w:color w:val="0070C0"/>
        </w:rPr>
        <w:t>Intangible Assets and Goodwill</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gridSpan w:val="4"/>
            <w:shd w:val="clear" w:color="auto" w:fill="DDDDDD"/>
          </w:tcPr>
          <w:p>
            <w:pPr>
              <w:jc w:val="center"/>
              <w:spacing w:after="0"/>
              <w:rPr>
                <w:sz w:val="20"/>
                <w:szCs w:val="20"/>
                <w:color w:val="auto"/>
              </w:rPr>
            </w:pPr>
            <w:r>
              <w:rPr>
                <w:rFonts w:ascii="Arial" w:cs="Arial" w:eastAsia="Arial" w:hAnsi="Arial"/>
                <w:sz w:val="14"/>
                <w:szCs w:val="14"/>
                <w:b w:val="1"/>
                <w:bCs w:val="1"/>
                <w:color w:val="257ACB"/>
              </w:rPr>
              <w:t>As of June 30, 2023</w:t>
            </w:r>
          </w:p>
        </w:tc>
        <w:tc>
          <w:tcPr>
            <w:tcW w:w="22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center"/>
              <w:ind w:left="428"/>
              <w:spacing w:after="0"/>
              <w:rPr>
                <w:sz w:val="20"/>
                <w:szCs w:val="20"/>
                <w:color w:val="auto"/>
              </w:rPr>
            </w:pPr>
            <w:r>
              <w:rPr>
                <w:rFonts w:ascii="Arial" w:cs="Arial" w:eastAsia="Arial" w:hAnsi="Arial"/>
                <w:sz w:val="14"/>
                <w:szCs w:val="14"/>
                <w:b w:val="1"/>
                <w:bCs w:val="1"/>
                <w:color w:val="auto"/>
              </w:rPr>
              <w:t>As of December 31, 2022</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17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Estimated Life</w:t>
            </w:r>
          </w:p>
        </w:tc>
        <w:tc>
          <w:tcPr>
            <w:tcW w:w="1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40" w:type="dxa"/>
            <w:vAlign w:val="bottom"/>
          </w:tcPr>
          <w:p>
            <w:pPr>
              <w:ind w:left="20"/>
              <w:spacing w:after="0"/>
              <w:rPr>
                <w:sz w:val="20"/>
                <w:szCs w:val="20"/>
                <w:color w:val="auto"/>
              </w:rPr>
            </w:pPr>
            <w:r>
              <w:rPr>
                <w:rFonts w:ascii="Arial" w:cs="Arial" w:eastAsia="Arial" w:hAnsi="Arial"/>
                <w:sz w:val="14"/>
                <w:szCs w:val="14"/>
                <w:color w:val="auto"/>
              </w:rPr>
              <w:t>Completed technology</w:t>
            </w:r>
          </w:p>
        </w:tc>
        <w:tc>
          <w:tcPr>
            <w:tcW w:w="80" w:type="dxa"/>
            <w:vAlign w:val="bottom"/>
          </w:tcPr>
          <w:p>
            <w:pPr>
              <w:spacing w:after="0"/>
              <w:rPr>
                <w:sz w:val="16"/>
                <w:szCs w:val="16"/>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4"/>
                <w:szCs w:val="14"/>
                <w:color w:val="auto"/>
              </w:rPr>
              <w:t>4-28 years</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7,444.7</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(5,732.3)</w:t>
            </w: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w w:val="76"/>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1,712.4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7,415.3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(5,629.2)</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1,786.1</w:t>
            </w:r>
          </w:p>
        </w:tc>
        <w:tc>
          <w:tcPr>
            <w:tcW w:w="0" w:type="dxa"/>
            <w:vAlign w:val="bottom"/>
          </w:tcPr>
          <w:p>
            <w:pPr>
              <w:spacing w:after="0"/>
              <w:rPr>
                <w:sz w:val="1"/>
                <w:szCs w:val="1"/>
                <w:color w:val="auto"/>
              </w:rPr>
            </w:pPr>
          </w:p>
        </w:tc>
      </w:tr>
      <w:tr>
        <w:trPr>
          <w:trHeight w:val="208"/>
        </w:trPr>
        <w:tc>
          <w:tcPr>
            <w:tcW w:w="2540" w:type="dxa"/>
            <w:vAlign w:val="bottom"/>
          </w:tcPr>
          <w:p>
            <w:pPr>
              <w:ind w:left="20"/>
              <w:spacing w:after="0"/>
              <w:rPr>
                <w:sz w:val="20"/>
                <w:szCs w:val="20"/>
                <w:color w:val="auto"/>
              </w:rPr>
            </w:pPr>
            <w:r>
              <w:rPr>
                <w:rFonts w:ascii="Arial" w:cs="Arial" w:eastAsia="Arial" w:hAnsi="Arial"/>
                <w:sz w:val="14"/>
                <w:szCs w:val="14"/>
                <w:color w:val="auto"/>
              </w:rPr>
              <w:t>Trademarks and trade names</w:t>
            </w:r>
          </w:p>
        </w:tc>
        <w:tc>
          <w:tcPr>
            <w:tcW w:w="8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4"/>
                <w:szCs w:val="14"/>
                <w:color w:val="auto"/>
              </w:rPr>
              <w:t>Indefinite</w:t>
            </w:r>
          </w:p>
        </w:tc>
        <w:tc>
          <w:tcPr>
            <w:tcW w:w="20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8"/>
        </w:trPr>
        <w:tc>
          <w:tcPr>
            <w:tcW w:w="2540" w:type="dxa"/>
            <w:vAlign w:val="bottom"/>
          </w:tcPr>
          <w:p>
            <w:pPr>
              <w:ind w:left="140"/>
              <w:spacing w:after="0"/>
              <w:rPr>
                <w:sz w:val="20"/>
                <w:szCs w:val="20"/>
                <w:color w:val="auto"/>
              </w:rPr>
            </w:pPr>
            <w:r>
              <w:rPr>
                <w:rFonts w:ascii="Arial" w:cs="Arial" w:eastAsia="Arial" w:hAnsi="Arial"/>
                <w:sz w:val="14"/>
                <w:szCs w:val="14"/>
                <w:color w:val="auto"/>
              </w:rPr>
              <w:t>Total intangible assets</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7,508.7</w:t>
            </w:r>
          </w:p>
        </w:tc>
        <w:tc>
          <w:tcPr>
            <w:tcW w:w="20" w:type="dxa"/>
            <w:vAlign w:val="bottom"/>
            <w:shd w:val="clear" w:color="auto" w:fill="DBDBDB"/>
          </w:tcPr>
          <w:p>
            <w:pPr>
              <w:spacing w:after="0"/>
              <w:rPr>
                <w:sz w:val="18"/>
                <w:szCs w:val="18"/>
                <w:color w:val="auto"/>
              </w:rPr>
            </w:pP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(5,732.3)</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w w:val="76"/>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1,776.4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7,479.3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(5,629.2)</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1,850.1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Amortization and Impairments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2023, amortization and impairment of acquired intangible assets totaled $52.9 million and</w:t>
      </w:r>
    </w:p>
    <w:p>
      <w:pPr>
        <w:spacing w:after="0" w:line="2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$103.1 million, respectively, compared to $67.5 million and $134.4 million, respectively, in the prior year comparative periods. The decreases were primarily due to lower rates of amortization for acquired intangible assets. For the three and six months ended June 30, 2023 and 2022, we had no impairment charges.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Completed Technology</w:t>
      </w:r>
    </w:p>
    <w:p>
      <w:pPr>
        <w:spacing w:after="0" w:line="123"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Completed technology primarily relates to our other marketed products and programs acquired through asset acquisitions, licenses and business combinations.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color w:val="0000FF"/>
        </w:rPr>
        <w:t>Table of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20" w:type="dxa"/>
            <w:vAlign w:val="bottom"/>
            <w:tcBorders>
              <w:top w:val="single" w:sz="8" w:color="0000FF"/>
            </w:tcBorders>
          </w:tcPr>
          <w:p>
            <w:pPr>
              <w:spacing w:after="0"/>
              <w:rPr>
                <w:sz w:val="17"/>
                <w:szCs w:val="17"/>
                <w:color w:val="auto"/>
              </w:rPr>
            </w:pPr>
          </w:p>
        </w:tc>
        <w:tc>
          <w:tcPr>
            <w:tcW w:w="7840" w:type="dxa"/>
            <w:vAlign w:val="bottom"/>
            <w:gridSpan w:val="2"/>
          </w:tcPr>
          <w:p>
            <w:pPr>
              <w:jc w:val="center"/>
              <w:ind w:left="870"/>
              <w:spacing w:after="0" w:line="201" w:lineRule="exact"/>
              <w:rPr>
                <w:sz w:val="20"/>
                <w:szCs w:val="20"/>
                <w:color w:val="auto"/>
              </w:rPr>
            </w:pPr>
            <w:r>
              <w:rPr>
                <w:rFonts w:ascii="Arial" w:cs="Arial" w:eastAsia="Arial" w:hAnsi="Arial"/>
                <w:sz w:val="18"/>
                <w:szCs w:val="18"/>
                <w:b w:val="1"/>
                <w:bCs w:val="1"/>
                <w:color w:val="00587F"/>
                <w:w w:val="99"/>
              </w:rPr>
              <w:t>BIOGEN INC. AND SUBSIDIARIES</w:t>
            </w: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84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00587F"/>
                <w:w w:val="98"/>
              </w:rPr>
              <w:t>NOTES TO CONDENSED CONSOLIDATED FINANCIAL STATEMENTS</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784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00587F"/>
                <w:w w:val="99"/>
              </w:rPr>
              <w:t>(unaudited, continued)</w:t>
            </w: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8"/>
        </w:trPr>
        <w:tc>
          <w:tcPr>
            <w:tcW w:w="9060" w:type="dxa"/>
            <w:vAlign w:val="bottom"/>
            <w:gridSpan w:val="3"/>
          </w:tcPr>
          <w:p>
            <w:pPr>
              <w:spacing w:after="0"/>
              <w:rPr>
                <w:sz w:val="20"/>
                <w:szCs w:val="20"/>
                <w:color w:val="auto"/>
              </w:rPr>
            </w:pPr>
            <w:r>
              <w:rPr>
                <w:rFonts w:ascii="Arial" w:cs="Arial" w:eastAsia="Arial" w:hAnsi="Arial"/>
                <w:sz w:val="18"/>
                <w:szCs w:val="18"/>
                <w:i w:val="1"/>
                <w:iCs w:val="1"/>
                <w:color w:val="0070C0"/>
              </w:rPr>
              <w:t>Estimated Future Amortization of Intangible Assets</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940" w:type="dxa"/>
            <w:vAlign w:val="bottom"/>
            <w:tcBorders>
              <w:bottom w:val="single" w:sz="8" w:color="auto"/>
            </w:tcBorders>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190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As of June 30, 2023</w:t>
            </w:r>
          </w:p>
        </w:tc>
        <w:tc>
          <w:tcPr>
            <w:tcW w:w="0" w:type="dxa"/>
            <w:vAlign w:val="bottom"/>
          </w:tcPr>
          <w:p>
            <w:pPr>
              <w:spacing w:after="0"/>
              <w:rPr>
                <w:sz w:val="1"/>
                <w:szCs w:val="1"/>
                <w:color w:val="auto"/>
              </w:rPr>
            </w:pPr>
          </w:p>
        </w:tc>
      </w:tr>
      <w:tr>
        <w:trPr>
          <w:trHeight w:val="183"/>
        </w:trPr>
        <w:tc>
          <w:tcPr>
            <w:tcW w:w="9060" w:type="dxa"/>
            <w:vAlign w:val="bottom"/>
            <w:gridSpan w:val="3"/>
          </w:tcPr>
          <w:p>
            <w:pPr>
              <w:ind w:left="20"/>
              <w:spacing w:after="0"/>
              <w:rPr>
                <w:sz w:val="20"/>
                <w:szCs w:val="20"/>
                <w:color w:val="auto"/>
              </w:rPr>
            </w:pPr>
            <w:r>
              <w:rPr>
                <w:rFonts w:ascii="Arial" w:cs="Arial" w:eastAsia="Arial" w:hAnsi="Arial"/>
                <w:sz w:val="14"/>
                <w:szCs w:val="14"/>
                <w:color w:val="auto"/>
              </w:rPr>
              <w:t>2023 (remaining six months)</w:t>
            </w:r>
          </w:p>
        </w:tc>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w w:val="76"/>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110.0</w:t>
            </w:r>
          </w:p>
        </w:tc>
        <w:tc>
          <w:tcPr>
            <w:tcW w:w="0" w:type="dxa"/>
            <w:vAlign w:val="bottom"/>
          </w:tcPr>
          <w:p>
            <w:pPr>
              <w:spacing w:after="0"/>
              <w:rPr>
                <w:sz w:val="1"/>
                <w:szCs w:val="1"/>
                <w:color w:val="auto"/>
              </w:rPr>
            </w:pPr>
          </w:p>
        </w:tc>
      </w:tr>
      <w:tr>
        <w:trPr>
          <w:trHeight w:val="190"/>
        </w:trPr>
        <w:tc>
          <w:tcPr>
            <w:tcW w:w="1220" w:type="dxa"/>
            <w:vAlign w:val="bottom"/>
          </w:tcPr>
          <w:p>
            <w:pPr>
              <w:ind w:left="20"/>
              <w:spacing w:after="0"/>
              <w:rPr>
                <w:sz w:val="20"/>
                <w:szCs w:val="20"/>
                <w:color w:val="auto"/>
              </w:rPr>
            </w:pPr>
            <w:r>
              <w:rPr>
                <w:rFonts w:ascii="Arial" w:cs="Arial" w:eastAsia="Arial" w:hAnsi="Arial"/>
                <w:sz w:val="14"/>
                <w:szCs w:val="14"/>
                <w:color w:val="auto"/>
              </w:rPr>
              <w:t>2024</w:t>
            </w:r>
          </w:p>
        </w:tc>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200.0</w:t>
            </w:r>
          </w:p>
        </w:tc>
        <w:tc>
          <w:tcPr>
            <w:tcW w:w="0" w:type="dxa"/>
            <w:vAlign w:val="bottom"/>
          </w:tcPr>
          <w:p>
            <w:pPr>
              <w:spacing w:after="0"/>
              <w:rPr>
                <w:sz w:val="1"/>
                <w:szCs w:val="1"/>
                <w:color w:val="auto"/>
              </w:rPr>
            </w:pPr>
          </w:p>
        </w:tc>
      </w:tr>
      <w:tr>
        <w:trPr>
          <w:trHeight w:val="203"/>
        </w:trPr>
        <w:tc>
          <w:tcPr>
            <w:tcW w:w="1220" w:type="dxa"/>
            <w:vAlign w:val="bottom"/>
          </w:tcPr>
          <w:p>
            <w:pPr>
              <w:ind w:left="20"/>
              <w:spacing w:after="0"/>
              <w:rPr>
                <w:sz w:val="20"/>
                <w:szCs w:val="20"/>
                <w:color w:val="auto"/>
              </w:rPr>
            </w:pPr>
            <w:r>
              <w:rPr>
                <w:rFonts w:ascii="Arial" w:cs="Arial" w:eastAsia="Arial" w:hAnsi="Arial"/>
                <w:sz w:val="14"/>
                <w:szCs w:val="14"/>
                <w:color w:val="auto"/>
              </w:rPr>
              <w:t>2025</w:t>
            </w:r>
          </w:p>
        </w:tc>
        <w:tc>
          <w:tcPr>
            <w:tcW w:w="7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190.0</w:t>
            </w:r>
          </w:p>
        </w:tc>
        <w:tc>
          <w:tcPr>
            <w:tcW w:w="0" w:type="dxa"/>
            <w:vAlign w:val="bottom"/>
          </w:tcPr>
          <w:p>
            <w:pPr>
              <w:spacing w:after="0"/>
              <w:rPr>
                <w:sz w:val="1"/>
                <w:szCs w:val="1"/>
                <w:color w:val="auto"/>
              </w:rPr>
            </w:pPr>
          </w:p>
        </w:tc>
      </w:tr>
      <w:tr>
        <w:trPr>
          <w:trHeight w:val="203"/>
        </w:trPr>
        <w:tc>
          <w:tcPr>
            <w:tcW w:w="1220" w:type="dxa"/>
            <w:vAlign w:val="bottom"/>
          </w:tcPr>
          <w:p>
            <w:pPr>
              <w:ind w:left="20"/>
              <w:spacing w:after="0"/>
              <w:rPr>
                <w:sz w:val="20"/>
                <w:szCs w:val="20"/>
                <w:color w:val="auto"/>
              </w:rPr>
            </w:pPr>
            <w:r>
              <w:rPr>
                <w:rFonts w:ascii="Arial" w:cs="Arial" w:eastAsia="Arial" w:hAnsi="Arial"/>
                <w:sz w:val="14"/>
                <w:szCs w:val="14"/>
                <w:color w:val="auto"/>
              </w:rPr>
              <w:t>2026</w:t>
            </w:r>
          </w:p>
        </w:tc>
        <w:tc>
          <w:tcPr>
            <w:tcW w:w="7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175.0</w:t>
            </w: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rPr>
                <w:sz w:val="20"/>
                <w:szCs w:val="20"/>
                <w:color w:val="auto"/>
              </w:rPr>
            </w:pPr>
            <w:r>
              <w:rPr>
                <w:rFonts w:ascii="Arial" w:cs="Arial" w:eastAsia="Arial" w:hAnsi="Arial"/>
                <w:sz w:val="14"/>
                <w:szCs w:val="14"/>
                <w:color w:val="auto"/>
              </w:rPr>
              <w:t>2027</w:t>
            </w:r>
          </w:p>
        </w:tc>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170.0</w:t>
            </w:r>
          </w:p>
        </w:tc>
        <w:tc>
          <w:tcPr>
            <w:tcW w:w="0" w:type="dxa"/>
            <w:vAlign w:val="bottom"/>
          </w:tcPr>
          <w:p>
            <w:pPr>
              <w:spacing w:after="0"/>
              <w:rPr>
                <w:sz w:val="1"/>
                <w:szCs w:val="1"/>
                <w:color w:val="auto"/>
              </w:rPr>
            </w:pPr>
          </w:p>
        </w:tc>
      </w:tr>
      <w:tr>
        <w:trPr>
          <w:trHeight w:val="215"/>
        </w:trPr>
        <w:tc>
          <w:tcPr>
            <w:tcW w:w="1220" w:type="dxa"/>
            <w:vAlign w:val="bottom"/>
          </w:tcPr>
          <w:p>
            <w:pPr>
              <w:ind w:left="20"/>
              <w:spacing w:after="0"/>
              <w:rPr>
                <w:sz w:val="20"/>
                <w:szCs w:val="20"/>
                <w:color w:val="auto"/>
              </w:rPr>
            </w:pPr>
            <w:r>
              <w:rPr>
                <w:rFonts w:ascii="Arial" w:cs="Arial" w:eastAsia="Arial" w:hAnsi="Arial"/>
                <w:sz w:val="14"/>
                <w:szCs w:val="14"/>
                <w:color w:val="auto"/>
              </w:rPr>
              <w:t>2028</w:t>
            </w:r>
          </w:p>
        </w:tc>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165.0</w:t>
            </w:r>
          </w:p>
        </w:tc>
        <w:tc>
          <w:tcPr>
            <w:tcW w:w="0" w:type="dxa"/>
            <w:vAlign w:val="bottom"/>
          </w:tcPr>
          <w:p>
            <w:pPr>
              <w:spacing w:after="0"/>
              <w:rPr>
                <w:sz w:val="1"/>
                <w:szCs w:val="1"/>
                <w:color w:val="auto"/>
              </w:rPr>
            </w:pPr>
          </w:p>
        </w:tc>
      </w:tr>
      <w:tr>
        <w:trPr>
          <w:trHeight w:val="466"/>
        </w:trPr>
        <w:tc>
          <w:tcPr>
            <w:tcW w:w="9060" w:type="dxa"/>
            <w:vAlign w:val="bottom"/>
            <w:gridSpan w:val="3"/>
          </w:tcPr>
          <w:p>
            <w:pPr>
              <w:spacing w:after="0"/>
              <w:rPr>
                <w:sz w:val="20"/>
                <w:szCs w:val="20"/>
                <w:color w:val="auto"/>
              </w:rPr>
            </w:pPr>
            <w:r>
              <w:rPr>
                <w:rFonts w:ascii="Arial" w:cs="Arial" w:eastAsia="Arial" w:hAnsi="Arial"/>
                <w:sz w:val="20"/>
                <w:szCs w:val="20"/>
                <w:b w:val="1"/>
                <w:bCs w:val="1"/>
                <w:color w:val="2573BA"/>
              </w:rPr>
              <w:t>Goodwill</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60" w:type="dxa"/>
            <w:vAlign w:val="bottom"/>
            <w:gridSpan w:val="3"/>
          </w:tcPr>
          <w:p>
            <w:pPr>
              <w:spacing w:after="0"/>
              <w:rPr>
                <w:sz w:val="20"/>
                <w:szCs w:val="20"/>
                <w:color w:val="auto"/>
              </w:rPr>
            </w:pPr>
            <w:r>
              <w:rPr>
                <w:rFonts w:ascii="Arial" w:cs="Arial" w:eastAsia="Arial" w:hAnsi="Arial"/>
                <w:sz w:val="18"/>
                <w:szCs w:val="18"/>
                <w:color w:val="auto"/>
              </w:rPr>
              <w:t>The following table provides a roll forward of the changes in our goodwill balance:</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940" w:type="dxa"/>
            <w:vAlign w:val="bottom"/>
            <w:tcBorders>
              <w:bottom w:val="single" w:sz="8" w:color="auto"/>
            </w:tcBorders>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190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As of June 30, 2023</w:t>
            </w:r>
          </w:p>
        </w:tc>
        <w:tc>
          <w:tcPr>
            <w:tcW w:w="0" w:type="dxa"/>
            <w:vAlign w:val="bottom"/>
          </w:tcPr>
          <w:p>
            <w:pPr>
              <w:spacing w:after="0"/>
              <w:rPr>
                <w:sz w:val="1"/>
                <w:szCs w:val="1"/>
                <w:color w:val="auto"/>
              </w:rPr>
            </w:pPr>
          </w:p>
        </w:tc>
      </w:tr>
      <w:tr>
        <w:trPr>
          <w:trHeight w:val="183"/>
        </w:trPr>
        <w:tc>
          <w:tcPr>
            <w:tcW w:w="9060" w:type="dxa"/>
            <w:vAlign w:val="bottom"/>
            <w:gridSpan w:val="3"/>
          </w:tcPr>
          <w:p>
            <w:pPr>
              <w:ind w:left="20"/>
              <w:spacing w:after="0"/>
              <w:rPr>
                <w:sz w:val="20"/>
                <w:szCs w:val="20"/>
                <w:color w:val="auto"/>
              </w:rPr>
            </w:pPr>
            <w:r>
              <w:rPr>
                <w:rFonts w:ascii="Arial" w:cs="Arial" w:eastAsia="Arial" w:hAnsi="Arial"/>
                <w:sz w:val="14"/>
                <w:szCs w:val="14"/>
                <w:color w:val="auto"/>
              </w:rPr>
              <w:t>Goodwill, December 31, 2022</w:t>
            </w:r>
          </w:p>
        </w:tc>
        <w:tc>
          <w:tcPr>
            <w:tcW w:w="28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ACB"/>
                <w:w w:val="76"/>
              </w:rPr>
              <w:t>$</w:t>
            </w: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5,749.0</w:t>
            </w:r>
          </w:p>
        </w:tc>
        <w:tc>
          <w:tcPr>
            <w:tcW w:w="0" w:type="dxa"/>
            <w:vAlign w:val="bottom"/>
          </w:tcPr>
          <w:p>
            <w:pPr>
              <w:spacing w:after="0"/>
              <w:rPr>
                <w:sz w:val="1"/>
                <w:szCs w:val="1"/>
                <w:color w:val="auto"/>
              </w:rPr>
            </w:pPr>
          </w:p>
        </w:tc>
      </w:tr>
      <w:tr>
        <w:trPr>
          <w:trHeight w:val="203"/>
        </w:trPr>
        <w:tc>
          <w:tcPr>
            <w:tcW w:w="9060" w:type="dxa"/>
            <w:vAlign w:val="bottom"/>
            <w:gridSpan w:val="3"/>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4.7</w:t>
            </w:r>
          </w:p>
        </w:tc>
        <w:tc>
          <w:tcPr>
            <w:tcW w:w="0" w:type="dxa"/>
            <w:vAlign w:val="bottom"/>
          </w:tcPr>
          <w:p>
            <w:pPr>
              <w:spacing w:after="0"/>
              <w:rPr>
                <w:sz w:val="1"/>
                <w:szCs w:val="1"/>
                <w:color w:val="auto"/>
              </w:rPr>
            </w:pPr>
          </w:p>
        </w:tc>
      </w:tr>
      <w:tr>
        <w:trPr>
          <w:trHeight w:val="221"/>
        </w:trPr>
        <w:tc>
          <w:tcPr>
            <w:tcW w:w="9060" w:type="dxa"/>
            <w:vAlign w:val="bottom"/>
            <w:gridSpan w:val="3"/>
          </w:tcPr>
          <w:p>
            <w:pPr>
              <w:ind w:left="20"/>
              <w:spacing w:after="0"/>
              <w:rPr>
                <w:sz w:val="20"/>
                <w:szCs w:val="20"/>
                <w:color w:val="auto"/>
              </w:rPr>
            </w:pPr>
            <w:r>
              <w:rPr>
                <w:rFonts w:ascii="Arial" w:cs="Arial" w:eastAsia="Arial" w:hAnsi="Arial"/>
                <w:sz w:val="14"/>
                <w:szCs w:val="14"/>
                <w:color w:val="auto"/>
              </w:rPr>
              <w:t>Goodwill, June 30, 2023</w:t>
            </w:r>
          </w:p>
        </w:tc>
        <w:tc>
          <w:tcPr>
            <w:tcW w:w="28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ACB"/>
                <w:w w:val="76"/>
              </w:rPr>
              <w:t>$</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5,753.7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As of June 30, 2023, we had no accumulated impairment losses related to goodwill. Other includes adjustments related to foreign currency exchange rate fluctuations.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82371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7:</w:t>
      </w:r>
      <w:r>
        <w:rPr>
          <w:sz w:val="20"/>
          <w:szCs w:val="20"/>
          <w:color w:val="auto"/>
        </w:rPr>
        <w:tab/>
      </w:r>
      <w:r>
        <w:rPr>
          <w:rFonts w:ascii="Arial" w:cs="Arial" w:eastAsia="Arial" w:hAnsi="Arial"/>
          <w:sz w:val="21"/>
          <w:szCs w:val="21"/>
          <w:b w:val="1"/>
          <w:bCs w:val="1"/>
          <w:color w:val="0070C0"/>
        </w:rPr>
        <w:t>Fair Value Measurements</w:t>
      </w:r>
    </w:p>
    <w:p>
      <w:pPr>
        <w:spacing w:after="0" w:line="226"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on a Recurring Basis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3160" w:type="dxa"/>
            <w:vAlign w:val="bottom"/>
            <w:tcBorders>
              <w:bottom w:val="single" w:sz="8" w:color="auto"/>
            </w:tcBorders>
            <w:gridSpan w:val="5"/>
            <w:shd w:val="clear" w:color="auto" w:fill="DDDDDD"/>
          </w:tcPr>
          <w:p>
            <w:pPr>
              <w:jc w:val="right"/>
              <w:ind w:right="888"/>
              <w:spacing w:after="0"/>
              <w:rPr>
                <w:sz w:val="20"/>
                <w:szCs w:val="20"/>
                <w:color w:val="auto"/>
              </w:rPr>
            </w:pPr>
            <w:r>
              <w:rPr>
                <w:rFonts w:ascii="Arial" w:cs="Arial" w:eastAsia="Arial" w:hAnsi="Arial"/>
                <w:sz w:val="14"/>
                <w:szCs w:val="14"/>
                <w:b w:val="1"/>
                <w:bCs w:val="1"/>
                <w:color w:val="257ACB"/>
              </w:rPr>
              <w:t>As of June 30, 2023</w:t>
            </w:r>
          </w:p>
        </w:tc>
        <w:tc>
          <w:tcPr>
            <w:tcW w:w="12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4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Quoted Prices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in Active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464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10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2,262.4</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2,262.4</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1"/>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1,831.0</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1,831.0</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2,650.3</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2,650.3</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1"/>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187.2</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187.2</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90"/>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717.0</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717.0</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40" w:type="dxa"/>
            <w:vAlign w:val="bottom"/>
            <w:gridSpan w:val="2"/>
          </w:tcPr>
          <w:p>
            <w:pPr>
              <w:ind w:left="360"/>
              <w:spacing w:after="0" w:line="201" w:lineRule="exact"/>
              <w:rPr>
                <w:sz w:val="20"/>
                <w:szCs w:val="20"/>
                <w:color w:val="auto"/>
              </w:rPr>
            </w:pPr>
            <w:r>
              <w:rPr>
                <w:rFonts w:ascii="Arial" w:cs="Arial" w:eastAsia="Arial" w:hAnsi="Arial"/>
                <w:sz w:val="14"/>
                <w:szCs w:val="14"/>
                <w:color w:val="auto"/>
              </w:rPr>
              <w:t>Receivable from Samsung BioLogics</w:t>
            </w:r>
            <w:r>
              <w:rPr>
                <w:rFonts w:ascii="Arial" w:cs="Arial" w:eastAsia="Arial" w:hAnsi="Arial"/>
                <w:sz w:val="18"/>
                <w:szCs w:val="18"/>
                <w:color w:val="auto"/>
                <w:vertAlign w:val="superscript"/>
              </w:rPr>
              <w:t>(1)</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415.2</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415.2</w:t>
            </w:r>
          </w:p>
        </w:tc>
        <w:tc>
          <w:tcPr>
            <w:tcW w:w="0" w:type="dxa"/>
            <w:vAlign w:val="bottom"/>
          </w:tcPr>
          <w:p>
            <w:pPr>
              <w:spacing w:after="0"/>
              <w:rPr>
                <w:sz w:val="1"/>
                <w:szCs w:val="1"/>
                <w:color w:val="auto"/>
              </w:rPr>
            </w:pPr>
          </w:p>
        </w:tc>
      </w:tr>
      <w:tr>
        <w:trPr>
          <w:trHeight w:val="190"/>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20.5</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Plan assets for deferred compensation</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40.8</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40.8</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640" w:type="dxa"/>
            <w:vAlign w:val="bottom"/>
            <w:gridSpan w:val="2"/>
          </w:tcPr>
          <w:p>
            <w:pPr>
              <w:ind w:left="340"/>
              <w:spacing w:after="0"/>
              <w:rPr>
                <w:sz w:val="20"/>
                <w:szCs w:val="20"/>
                <w:color w:val="auto"/>
              </w:rPr>
            </w:pPr>
            <w:r>
              <w:rPr>
                <w:rFonts w:ascii="Arial" w:cs="Arial" w:eastAsia="Arial" w:hAnsi="Arial"/>
                <w:sz w:val="14"/>
                <w:szCs w:val="14"/>
                <w:color w:val="auto"/>
              </w:rPr>
              <w:t>Derivative contracts</w:t>
            </w:r>
          </w:p>
        </w:tc>
        <w:tc>
          <w:tcPr>
            <w:tcW w:w="10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1.3</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4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36"/>
        </w:trPr>
        <w:tc>
          <w:tcPr>
            <w:tcW w:w="464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8,125.7</w:t>
            </w:r>
          </w:p>
        </w:tc>
        <w:tc>
          <w:tcPr>
            <w:tcW w:w="12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717.0</w:t>
            </w:r>
          </w:p>
        </w:tc>
        <w:tc>
          <w:tcPr>
            <w:tcW w:w="40" w:type="dxa"/>
            <w:vAlign w:val="bottom"/>
            <w:tcBorders>
              <w:bottom w:val="single" w:sz="8" w:color="auto"/>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6,993.5</w:t>
            </w:r>
          </w:p>
        </w:tc>
        <w:tc>
          <w:tcPr>
            <w:tcW w:w="12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4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415.2</w:t>
            </w:r>
          </w:p>
        </w:tc>
        <w:tc>
          <w:tcPr>
            <w:tcW w:w="0" w:type="dxa"/>
            <w:vAlign w:val="bottom"/>
          </w:tcPr>
          <w:p>
            <w:pPr>
              <w:spacing w:after="0"/>
              <w:rPr>
                <w:sz w:val="1"/>
                <w:szCs w:val="1"/>
                <w:color w:val="auto"/>
              </w:rPr>
            </w:pPr>
          </w:p>
        </w:tc>
      </w:tr>
      <w:tr>
        <w:trPr>
          <w:trHeight w:val="155"/>
        </w:trPr>
        <w:tc>
          <w:tcPr>
            <w:tcW w:w="4640" w:type="dxa"/>
            <w:vAlign w:val="bottom"/>
            <w:gridSpan w:val="2"/>
          </w:tcPr>
          <w:p>
            <w:pPr>
              <w:ind w:left="20"/>
              <w:spacing w:after="0" w:line="155" w:lineRule="exact"/>
              <w:rPr>
                <w:sz w:val="20"/>
                <w:szCs w:val="20"/>
                <w:color w:val="auto"/>
              </w:rPr>
            </w:pPr>
            <w:r>
              <w:rPr>
                <w:rFonts w:ascii="Arial" w:cs="Arial" w:eastAsia="Arial" w:hAnsi="Arial"/>
                <w:sz w:val="14"/>
                <w:szCs w:val="14"/>
                <w:i w:val="1"/>
                <w:iCs w:val="1"/>
                <w:color w:val="auto"/>
              </w:rPr>
              <w:t>Liabilities:</w:t>
            </w:r>
          </w:p>
        </w:tc>
        <w:tc>
          <w:tcPr>
            <w:tcW w:w="100" w:type="dxa"/>
            <w:vAlign w:val="bottom"/>
            <w:shd w:val="clear" w:color="auto" w:fill="DBDBDB"/>
          </w:tcPr>
          <w:p>
            <w:pPr>
              <w:spacing w:after="0"/>
              <w:rPr>
                <w:sz w:val="13"/>
                <w:szCs w:val="13"/>
                <w:color w:val="auto"/>
              </w:rPr>
            </w:pPr>
          </w:p>
        </w:tc>
        <w:tc>
          <w:tcPr>
            <w:tcW w:w="14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4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29.1</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29.1</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4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13"/>
        </w:trPr>
        <w:tc>
          <w:tcPr>
            <w:tcW w:w="464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29.1</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29.1</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4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53" w:lineRule="exact"/>
        <w:rPr>
          <w:sz w:val="20"/>
          <w:szCs w:val="20"/>
          <w:color w:val="auto"/>
        </w:rPr>
      </w:pPr>
    </w:p>
    <w:p>
      <w:pPr>
        <w:jc w:val="both"/>
        <w:ind w:right="100" w:firstLine="8"/>
        <w:spacing w:after="0" w:line="266" w:lineRule="auto"/>
        <w:tabs>
          <w:tab w:leader="none" w:pos="154"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 xml:space="preserve">Represents the fair value of the current payment due from Samsung BioLogics as a result of the sale of our 49.9% equity interest in Samsung Bioepis to Samsung BioLogics during the second quarter of 2022, for which we elected the fair value option. For additional information on the sale of our equity interest in Samsung Bioepis, please read </w:t>
      </w:r>
      <w:r>
        <w:rPr>
          <w:rFonts w:ascii="Arial" w:cs="Arial" w:eastAsia="Arial" w:hAnsi="Arial"/>
          <w:sz w:val="13"/>
          <w:szCs w:val="13"/>
          <w:i w:val="1"/>
          <w:iCs w:val="1"/>
          <w:color w:val="auto"/>
        </w:rPr>
        <w:t>Note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2, Dispositions, </w:t>
      </w:r>
      <w:r>
        <w:rPr>
          <w:rFonts w:ascii="Arial" w:cs="Arial" w:eastAsia="Arial" w:hAnsi="Arial"/>
          <w:sz w:val="13"/>
          <w:szCs w:val="13"/>
          <w:color w:val="auto"/>
        </w:rPr>
        <w:t>to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Fair Value Measurements on a Recurring Basis</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28"/>
              <w:spacing w:after="0" w:line="143" w:lineRule="exact"/>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8"/>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9"/>
              </w:rPr>
              <w:t>in Active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28"/>
              <w:spacing w:after="0" w:line="148" w:lineRule="exact"/>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8"/>
              <w:spacing w:after="0" w:line="148"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2,847.6</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2,847.6</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1,231.6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1,231.6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810.3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810.3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791.1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791.1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Receivable from Samsung BioLogics</w:t>
            </w:r>
            <w:r>
              <w:rPr>
                <w:rFonts w:ascii="Arial" w:cs="Arial" w:eastAsia="Arial" w:hAnsi="Arial"/>
                <w:sz w:val="18"/>
                <w:szCs w:val="18"/>
                <w:color w:val="auto"/>
                <w:vertAlign w:val="superscript"/>
              </w:rPr>
              <w:t>(1)</w:t>
            </w:r>
          </w:p>
        </w:tc>
        <w:tc>
          <w:tcPr>
            <w:tcW w:w="36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798.8</w:t>
            </w:r>
          </w:p>
        </w:tc>
        <w:tc>
          <w:tcPr>
            <w:tcW w:w="0" w:type="dxa"/>
            <w:vAlign w:val="bottom"/>
          </w:tcPr>
          <w:p>
            <w:pPr>
              <w:spacing w:after="0"/>
              <w:rPr>
                <w:sz w:val="1"/>
                <w:szCs w:val="1"/>
                <w:color w:val="auto"/>
              </w:rPr>
            </w:pPr>
          </w:p>
        </w:tc>
      </w:tr>
      <w:tr>
        <w:trPr>
          <w:trHeight w:val="182"/>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Plan assets for deferred compensation</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640" w:type="dxa"/>
            <w:vAlign w:val="bottom"/>
            <w:gridSpan w:val="2"/>
          </w:tcPr>
          <w:p>
            <w:pPr>
              <w:ind w:left="340"/>
              <w:spacing w:after="0"/>
              <w:rPr>
                <w:sz w:val="20"/>
                <w:szCs w:val="20"/>
                <w:color w:val="auto"/>
              </w:rPr>
            </w:pPr>
            <w:r>
              <w:rPr>
                <w:rFonts w:ascii="Arial" w:cs="Arial" w:eastAsia="Arial" w:hAnsi="Arial"/>
                <w:sz w:val="14"/>
                <w:szCs w:val="14"/>
                <w:color w:val="auto"/>
              </w:rPr>
              <w:t>Receivable from Samsung BioLogics</w:t>
            </w:r>
            <w:r>
              <w:rPr>
                <w:rFonts w:ascii="Arial" w:cs="Arial" w:eastAsia="Arial" w:hAnsi="Arial"/>
                <w:sz w:val="9"/>
                <w:szCs w:val="9"/>
                <w:color w:val="auto"/>
              </w:rPr>
              <w:t>(1)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405.4</w:t>
            </w:r>
          </w:p>
        </w:tc>
        <w:tc>
          <w:tcPr>
            <w:tcW w:w="0" w:type="dxa"/>
            <w:vAlign w:val="bottom"/>
          </w:tcPr>
          <w:p>
            <w:pPr>
              <w:spacing w:after="0"/>
              <w:rPr>
                <w:sz w:val="1"/>
                <w:szCs w:val="1"/>
                <w:color w:val="auto"/>
              </w:rPr>
            </w:pPr>
          </w:p>
        </w:tc>
      </w:tr>
      <w:tr>
        <w:trPr>
          <w:trHeight w:val="188"/>
        </w:trPr>
        <w:tc>
          <w:tcPr>
            <w:tcW w:w="464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7,117.9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791.1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5,122.6</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1,204.2</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6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64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64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26.0</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53" w:lineRule="exact"/>
        <w:rPr>
          <w:sz w:val="20"/>
          <w:szCs w:val="20"/>
          <w:color w:val="auto"/>
        </w:rPr>
      </w:pPr>
    </w:p>
    <w:p>
      <w:pPr>
        <w:ind w:right="280" w:firstLine="8"/>
        <w:spacing w:after="0" w:line="257" w:lineRule="auto"/>
        <w:tabs>
          <w:tab w:leader="none" w:pos="154"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 xml:space="preserve">Represents the fair value of the current and non-current payments due from Samsung BioLogics as a result of the sale of our 49.9% equity interest in Samsung Bioepis to Samsung BioLogics during the second quarter of 2022, for which we elected the fair value option. For additional information on the sale of our equity interest in Samsung Bioepis, please read </w:t>
      </w:r>
      <w:r>
        <w:rPr>
          <w:rFonts w:ascii="Arial" w:cs="Arial" w:eastAsia="Arial" w:hAnsi="Arial"/>
          <w:sz w:val="13"/>
          <w:szCs w:val="13"/>
          <w:i w:val="1"/>
          <w:iCs w:val="1"/>
          <w:color w:val="auto"/>
        </w:rPr>
        <w:t>Note 2, Dispositions,</w:t>
      </w:r>
      <w:r>
        <w:rPr>
          <w:rFonts w:ascii="Arial" w:cs="Arial" w:eastAsia="Arial" w:hAnsi="Arial"/>
          <w:sz w:val="13"/>
          <w:szCs w:val="13"/>
          <w:color w:val="auto"/>
        </w:rPr>
        <w:t xml:space="preserve"> to these condensed consolidated financial statements.</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fair value of Level 2 instruments classified as cash equivalents and marketable debt securities was determined through third-party pricing services. During the third quarter of 2022 we elected to early adopt ASU 2022-03 on a prospective basis, which resulted in removing the impact of contractual sale restrictions from the fair value measurement of our remaining Sage common stock subject to certain holding period restrictions. As of December 31, 2022, our entire investment in the common stock of Sage was classified as a Level 1 measurement. Prior to the adoption of this standard, the fair value of Level 2 instruments classified as marketable equity securities represented a portion of our investment in the common stock of Sage and was valued using an option pricing valuation model.</w:t>
      </w:r>
    </w:p>
    <w:p>
      <w:pPr>
        <w:spacing w:after="0" w:line="8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Our investments in the common stock of Sangamo and Denali had holding period restrictions that expired during 2022. As of December 31, 2022, the fair values of our investments in Sangamo and Denali common stock were classified as Level 1 measurements.</w:t>
      </w:r>
    </w:p>
    <w:p>
      <w:pPr>
        <w:spacing w:after="0" w:line="66" w:lineRule="exact"/>
        <w:rPr>
          <w:sz w:val="20"/>
          <w:szCs w:val="20"/>
          <w:color w:val="auto"/>
        </w:rPr>
      </w:pPr>
    </w:p>
    <w:p>
      <w:pPr>
        <w:jc w:val="both"/>
        <w:ind w:right="260"/>
        <w:spacing w:after="0" w:line="258" w:lineRule="auto"/>
        <w:rPr>
          <w:sz w:val="20"/>
          <w:szCs w:val="20"/>
          <w:color w:val="auto"/>
        </w:rPr>
      </w:pPr>
      <w:r>
        <w:rPr>
          <w:rFonts w:ascii="Arial" w:cs="Arial" w:eastAsia="Arial" w:hAnsi="Arial"/>
          <w:sz w:val="18"/>
          <w:szCs w:val="18"/>
          <w:color w:val="auto"/>
        </w:rPr>
        <w:t>Although the contractual holding period restrictions on our investments in Denali, Sage and Sangamo have expired, our ability to liquidate these investments may be limited by the size of our interest, the volume of market related activity, our concentrated level of ownership and potential restrictions resulting from our status as a collaborator. Therefore, we may realize significantly less than the current value of such investments.</w:t>
      </w:r>
    </w:p>
    <w:p>
      <w:pPr>
        <w:spacing w:after="0" w:line="76" w:lineRule="exact"/>
        <w:rPr>
          <w:sz w:val="20"/>
          <w:szCs w:val="20"/>
          <w:color w:val="auto"/>
        </w:rPr>
      </w:pPr>
    </w:p>
    <w:p>
      <w:pPr>
        <w:jc w:val="both"/>
        <w:ind w:right="260"/>
        <w:spacing w:after="0" w:line="282" w:lineRule="auto"/>
        <w:rPr>
          <w:sz w:val="20"/>
          <w:szCs w:val="20"/>
          <w:color w:val="auto"/>
        </w:rPr>
      </w:pPr>
      <w:r>
        <w:rPr>
          <w:rFonts w:ascii="Arial" w:cs="Arial" w:eastAsia="Arial" w:hAnsi="Arial"/>
          <w:sz w:val="18"/>
          <w:szCs w:val="18"/>
          <w:color w:val="auto"/>
        </w:rPr>
        <w:t xml:space="preserve">For additional information on our investments in Denali, Sangamo and Sage common stock,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 in our 2022 Form 10-K.</w:t>
      </w:r>
    </w:p>
    <w:p>
      <w:pPr>
        <w:spacing w:after="0" w:line="6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There have been no material impairments of our assets measured and carried at fair value as of June 30, 2023 and December 31, 2022. In addition, there have been no changes to our valuation techniques as of June 30, 2023 and December 31,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w:t>
      </w:r>
      <w:r>
        <w:rPr>
          <w:rFonts w:ascii="Arial" w:cs="Arial" w:eastAsia="Arial" w:hAnsi="Arial"/>
          <w:sz w:val="18"/>
          <w:szCs w:val="18"/>
          <w:i w:val="1"/>
          <w:iCs w:val="1"/>
          <w:color w:val="auto"/>
        </w:rPr>
        <w:t>Note 1, Summary of Significant Accounting Policies - Fair Value Measurements,</w:t>
      </w:r>
      <w:r>
        <w:rPr>
          <w:rFonts w:ascii="Arial" w:cs="Arial" w:eastAsia="Arial" w:hAnsi="Arial"/>
          <w:sz w:val="18"/>
          <w:szCs w:val="18"/>
          <w:color w:val="auto"/>
        </w:rPr>
        <w:t xml:space="preserve"> to our consolidated financial statements included in our 2022 Form 10-K.</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Level 3 Assets and Liabilities Held at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into or out of Level 3 as of June 30, 2023 and December 31,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Consideration Obligations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our acquisition of Convergence, we agreed to make additional payments based upon the achievement of certain milestone events. The following table provides a roll forward of the fair value of our contingent consideration obligations, which were classified as Level 3 measurements:</w:t>
      </w:r>
    </w:p>
    <w:tbl>
      <w:tblPr>
        <w:tblLayout w:type="fixed"/>
        <w:tblInd w:w="0" w:type="dxa"/>
        <w:tblCellMar>
          <w:top w:w="0" w:type="dxa"/>
          <w:left w:w="0" w:type="dxa"/>
          <w:bottom w:w="0" w:type="dxa"/>
          <w:right w:w="0" w:type="dxa"/>
        </w:tblCellMar>
      </w:tblPr>
      <w:tr>
        <w:trPr>
          <w:trHeight w:val="156"/>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jc w:val="right"/>
              <w:ind w:right="108"/>
              <w:spacing w:after="0" w:line="156" w:lineRule="exact"/>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3"/>
                <w:szCs w:val="13"/>
                <w:color w:val="auto"/>
              </w:rPr>
            </w:pPr>
          </w:p>
        </w:tc>
        <w:tc>
          <w:tcPr>
            <w:tcW w:w="22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For the Six Months Ended June</w:t>
            </w:r>
          </w:p>
        </w:tc>
        <w:tc>
          <w:tcPr>
            <w:tcW w:w="0" w:type="dxa"/>
            <w:vAlign w:val="bottom"/>
          </w:tcPr>
          <w:p>
            <w:pPr>
              <w:spacing w:after="0"/>
              <w:rPr>
                <w:sz w:val="1"/>
                <w:szCs w:val="1"/>
                <w:color w:val="auto"/>
              </w:rPr>
            </w:pPr>
          </w:p>
        </w:tc>
      </w:tr>
      <w:tr>
        <w:trPr>
          <w:trHeight w:val="201"/>
        </w:trPr>
        <w:tc>
          <w:tcPr>
            <w:tcW w:w="64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30, 2022</w:t>
            </w:r>
          </w:p>
        </w:tc>
        <w:tc>
          <w:tcPr>
            <w:tcW w:w="0" w:type="dxa"/>
            <w:vAlign w:val="bottom"/>
          </w:tcPr>
          <w:p>
            <w:pPr>
              <w:spacing w:after="0"/>
              <w:rPr>
                <w:sz w:val="1"/>
                <w:szCs w:val="1"/>
                <w:color w:val="auto"/>
              </w:rPr>
            </w:pPr>
          </w:p>
        </w:tc>
      </w:tr>
      <w:tr>
        <w:trPr>
          <w:trHeight w:val="185"/>
        </w:trPr>
        <w:tc>
          <w:tcPr>
            <w:tcW w:w="6480" w:type="dxa"/>
            <w:vAlign w:val="bottom"/>
          </w:tcPr>
          <w:p>
            <w:pPr>
              <w:ind w:left="20"/>
              <w:spacing w:after="0"/>
              <w:rPr>
                <w:sz w:val="20"/>
                <w:szCs w:val="20"/>
                <w:color w:val="auto"/>
              </w:rPr>
            </w:pPr>
            <w:r>
              <w:rPr>
                <w:rFonts w:ascii="Arial" w:cs="Arial" w:eastAsia="Arial" w:hAnsi="Arial"/>
                <w:sz w:val="14"/>
                <w:szCs w:val="14"/>
                <w:color w:val="auto"/>
              </w:rPr>
              <w:t>Fair value, beginning of period</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160" w:type="dxa"/>
            <w:vAlign w:val="bottom"/>
          </w:tcPr>
          <w:p>
            <w:pPr>
              <w:jc w:val="right"/>
              <w:spacing w:after="0"/>
              <w:rPr>
                <w:sz w:val="20"/>
                <w:szCs w:val="20"/>
                <w:color w:val="auto"/>
              </w:rPr>
            </w:pPr>
            <w:r>
              <w:rPr>
                <w:rFonts w:ascii="Arial" w:cs="Arial" w:eastAsia="Arial" w:hAnsi="Arial"/>
                <w:sz w:val="14"/>
                <w:szCs w:val="14"/>
                <w:color w:val="auto"/>
              </w:rPr>
              <w:t>202.0</w:t>
            </w:r>
          </w:p>
        </w:tc>
        <w:tc>
          <w:tcPr>
            <w:tcW w:w="58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188"/>
        </w:trPr>
        <w:tc>
          <w:tcPr>
            <w:tcW w:w="6480" w:type="dxa"/>
            <w:vAlign w:val="bottom"/>
          </w:tcPr>
          <w:p>
            <w:pPr>
              <w:ind w:left="140"/>
              <w:spacing w:after="0"/>
              <w:rPr>
                <w:sz w:val="20"/>
                <w:szCs w:val="20"/>
                <w:color w:val="auto"/>
              </w:rPr>
            </w:pPr>
            <w:r>
              <w:rPr>
                <w:rFonts w:ascii="Arial" w:cs="Arial" w:eastAsia="Arial" w:hAnsi="Arial"/>
                <w:sz w:val="14"/>
                <w:szCs w:val="14"/>
                <w:color w:val="auto"/>
              </w:rPr>
              <w:t>Changes in fair value</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rPr>
                <w:sz w:val="20"/>
                <w:szCs w:val="20"/>
                <w:color w:val="auto"/>
              </w:rPr>
            </w:pPr>
            <w:r>
              <w:rPr>
                <w:rFonts w:ascii="Arial" w:cs="Arial" w:eastAsia="Arial" w:hAnsi="Arial"/>
                <w:sz w:val="14"/>
                <w:szCs w:val="14"/>
                <w:color w:val="auto"/>
              </w:rPr>
              <w:t>Fair value, end of period</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160" w:type="dxa"/>
            <w:vAlign w:val="bottom"/>
          </w:tcPr>
          <w:p>
            <w:pPr>
              <w:jc w:val="right"/>
              <w:spacing w:after="0"/>
              <w:rPr>
                <w:sz w:val="20"/>
                <w:szCs w:val="20"/>
                <w:color w:val="auto"/>
              </w:rPr>
            </w:pPr>
            <w:r>
              <w:rPr>
                <w:rFonts w:ascii="Arial" w:cs="Arial" w:eastAsia="Arial" w:hAnsi="Arial"/>
                <w:sz w:val="14"/>
                <w:szCs w:val="14"/>
                <w:color w:val="auto"/>
              </w:rPr>
              <w:t>197.5</w:t>
            </w:r>
          </w:p>
        </w:tc>
        <w:tc>
          <w:tcPr>
            <w:tcW w:w="58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Changes in the fair value of our contingent consideration obligations are recorded in (gain) loss on fair value remeasurement of contingent consideration in our condensed consolidated statements of income.</w:t>
      </w:r>
    </w:p>
    <w:p>
      <w:pPr>
        <w:spacing w:after="0" w:line="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fourth quarter of 2022 we discontinued further development efforts related to vixotrigine for the potential treatment of TGN and DPN, resulting in a reduction of our contingent consideration obligations of approximately $195.4 million, reducing the fair value of vixotrigine to zero.</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and six months ended June 30, 2022, the changes in fair value of our contingent consideration obligations were primarily due to increases in the discount rates used to revalue these obligations and delays in the expected timing of the achievement of certain remaining developmental milestones related to our vixotrigine programs.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Financial Instruments Not Carried at Fair Value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Financial Instruments</w:t>
      </w:r>
    </w:p>
    <w:p>
      <w:pPr>
        <w:spacing w:after="0" w:line="12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Due to the short-term nature of certain financial instruments, the carrying value reflected in our condensed consolidated balance sheets for current accounts receivable, due from anti-CD20 therapeutic programs, other current assets, accounts payable and accrued expense and other, approximates fair value.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Debt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fair and carrying values of our debt instruments, which are Level 2 liabilities,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auto"/>
            </w:tcBorders>
            <w:gridSpan w:val="6"/>
            <w:shd w:val="clear" w:color="auto" w:fill="DDDDDD"/>
          </w:tcPr>
          <w:p>
            <w:pPr>
              <w:jc w:val="right"/>
              <w:ind w:right="808"/>
              <w:spacing w:after="0"/>
              <w:rPr>
                <w:sz w:val="20"/>
                <w:szCs w:val="20"/>
                <w:color w:val="auto"/>
              </w:rPr>
            </w:pPr>
            <w:r>
              <w:rPr>
                <w:rFonts w:ascii="Arial" w:cs="Arial" w:eastAsia="Arial" w:hAnsi="Arial"/>
                <w:sz w:val="14"/>
                <w:szCs w:val="14"/>
                <w:b w:val="1"/>
                <w:bCs w:val="1"/>
                <w:color w:val="257ACB"/>
              </w:rPr>
              <w:t>As of June 30, 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42"/>
        </w:trPr>
        <w:tc>
          <w:tcPr>
            <w:tcW w:w="4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Fair</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68"/>
              <w:spacing w:after="0" w:line="14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548"/>
              <w:spacing w:after="0" w:line="14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88"/>
              <w:spacing w:after="0" w:line="14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4"/>
        </w:trPr>
        <w:tc>
          <w:tcPr>
            <w:tcW w:w="540" w:type="dxa"/>
            <w:vAlign w:val="bottom"/>
          </w:tcPr>
          <w:p>
            <w:pPr>
              <w:ind w:left="20"/>
              <w:spacing w:after="0"/>
              <w:rPr>
                <w:sz w:val="20"/>
                <w:szCs w:val="20"/>
                <w:color w:val="auto"/>
              </w:rPr>
            </w:pPr>
            <w:r>
              <w:rPr>
                <w:rFonts w:ascii="Arial" w:cs="Arial" w:eastAsia="Arial" w:hAnsi="Arial"/>
                <w:sz w:val="14"/>
                <w:szCs w:val="14"/>
                <w:color w:val="auto"/>
              </w:rPr>
              <w:t>4.050%</w:t>
            </w: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2025</w:t>
            </w:r>
          </w:p>
        </w:tc>
        <w:tc>
          <w:tcPr>
            <w:tcW w:w="96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1,693.2</w:t>
            </w:r>
          </w:p>
        </w:tc>
        <w:tc>
          <w:tcPr>
            <w:tcW w:w="400" w:type="dxa"/>
            <w:vAlign w:val="bottom"/>
            <w:gridSpan w:val="3"/>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1,745.7</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1,699.9</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1,744.7</w:t>
            </w:r>
          </w:p>
        </w:tc>
        <w:tc>
          <w:tcPr>
            <w:tcW w:w="0" w:type="dxa"/>
            <w:vAlign w:val="bottom"/>
          </w:tcPr>
          <w:p>
            <w:pPr>
              <w:spacing w:after="0"/>
              <w:rPr>
                <w:sz w:val="1"/>
                <w:szCs w:val="1"/>
                <w:color w:val="auto"/>
              </w:rPr>
            </w:pPr>
          </w:p>
        </w:tc>
      </w:tr>
      <w:tr>
        <w:trPr>
          <w:trHeight w:val="203"/>
        </w:trPr>
        <w:tc>
          <w:tcPr>
            <w:tcW w:w="540" w:type="dxa"/>
            <w:vAlign w:val="bottom"/>
          </w:tcPr>
          <w:p>
            <w:pPr>
              <w:ind w:left="20"/>
              <w:spacing w:after="0"/>
              <w:rPr>
                <w:sz w:val="20"/>
                <w:szCs w:val="20"/>
                <w:color w:val="auto"/>
              </w:rPr>
            </w:pPr>
            <w:r>
              <w:rPr>
                <w:rFonts w:ascii="Arial" w:cs="Arial" w:eastAsia="Arial" w:hAnsi="Arial"/>
                <w:sz w:val="14"/>
                <w:szCs w:val="14"/>
                <w:color w:val="auto"/>
              </w:rPr>
              <w:t>2.250%</w:t>
            </w: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96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1,248.0</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1,493.4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1,492.9</w:t>
            </w:r>
          </w:p>
        </w:tc>
        <w:tc>
          <w:tcPr>
            <w:tcW w:w="0" w:type="dxa"/>
            <w:vAlign w:val="bottom"/>
          </w:tcPr>
          <w:p>
            <w:pPr>
              <w:spacing w:after="0"/>
              <w:rPr>
                <w:sz w:val="1"/>
                <w:szCs w:val="1"/>
                <w:color w:val="auto"/>
              </w:rPr>
            </w:pPr>
          </w:p>
        </w:tc>
      </w:tr>
      <w:tr>
        <w:trPr>
          <w:trHeight w:val="201"/>
        </w:trPr>
        <w:tc>
          <w:tcPr>
            <w:tcW w:w="540" w:type="dxa"/>
            <w:vAlign w:val="bottom"/>
          </w:tcPr>
          <w:p>
            <w:pPr>
              <w:ind w:left="20"/>
              <w:spacing w:after="0"/>
              <w:rPr>
                <w:sz w:val="20"/>
                <w:szCs w:val="20"/>
                <w:color w:val="auto"/>
              </w:rPr>
            </w:pPr>
            <w:r>
              <w:rPr>
                <w:rFonts w:ascii="Arial" w:cs="Arial" w:eastAsia="Arial" w:hAnsi="Arial"/>
                <w:sz w:val="14"/>
                <w:szCs w:val="14"/>
                <w:color w:val="auto"/>
              </w:rPr>
              <w:t>5.200%</w:t>
            </w: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2045</w:t>
            </w:r>
          </w:p>
        </w:tc>
        <w:tc>
          <w:tcPr>
            <w:tcW w:w="96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1,083.8</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1,100.4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1,100.3</w:t>
            </w:r>
          </w:p>
        </w:tc>
        <w:tc>
          <w:tcPr>
            <w:tcW w:w="0" w:type="dxa"/>
            <w:vAlign w:val="bottom"/>
          </w:tcPr>
          <w:p>
            <w:pPr>
              <w:spacing w:after="0"/>
              <w:rPr>
                <w:sz w:val="1"/>
                <w:szCs w:val="1"/>
                <w:color w:val="auto"/>
              </w:rPr>
            </w:pPr>
          </w:p>
        </w:tc>
      </w:tr>
      <w:tr>
        <w:trPr>
          <w:trHeight w:val="191"/>
        </w:trPr>
        <w:tc>
          <w:tcPr>
            <w:tcW w:w="540" w:type="dxa"/>
            <w:vAlign w:val="bottom"/>
          </w:tcPr>
          <w:p>
            <w:pPr>
              <w:ind w:left="20"/>
              <w:spacing w:after="0"/>
              <w:rPr>
                <w:sz w:val="20"/>
                <w:szCs w:val="20"/>
                <w:color w:val="auto"/>
              </w:rPr>
            </w:pPr>
            <w:r>
              <w:rPr>
                <w:rFonts w:ascii="Arial" w:cs="Arial" w:eastAsia="Arial" w:hAnsi="Arial"/>
                <w:sz w:val="14"/>
                <w:szCs w:val="14"/>
                <w:color w:val="auto"/>
              </w:rPr>
              <w:t>3.150%</w:t>
            </w: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96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1,022.8</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1,474.1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1,473.8</w:t>
            </w:r>
          </w:p>
        </w:tc>
        <w:tc>
          <w:tcPr>
            <w:tcW w:w="0" w:type="dxa"/>
            <w:vAlign w:val="bottom"/>
          </w:tcPr>
          <w:p>
            <w:pPr>
              <w:spacing w:after="0"/>
              <w:rPr>
                <w:sz w:val="1"/>
                <w:szCs w:val="1"/>
                <w:color w:val="auto"/>
              </w:rPr>
            </w:pPr>
          </w:p>
        </w:tc>
      </w:tr>
      <w:tr>
        <w:trPr>
          <w:trHeight w:val="208"/>
        </w:trPr>
        <w:tc>
          <w:tcPr>
            <w:tcW w:w="540" w:type="dxa"/>
            <w:vAlign w:val="bottom"/>
          </w:tcPr>
          <w:p>
            <w:pPr>
              <w:ind w:left="20"/>
              <w:spacing w:after="0"/>
              <w:rPr>
                <w:sz w:val="20"/>
                <w:szCs w:val="20"/>
                <w:color w:val="auto"/>
              </w:rPr>
            </w:pPr>
            <w:r>
              <w:rPr>
                <w:rFonts w:ascii="Arial" w:cs="Arial" w:eastAsia="Arial" w:hAnsi="Arial"/>
                <w:sz w:val="14"/>
                <w:szCs w:val="14"/>
                <w:color w:val="auto"/>
              </w:rPr>
              <w:t>3.250%</w:t>
            </w: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Senior Notes due February 15, 2051</w:t>
            </w:r>
          </w:p>
        </w:tc>
        <w:tc>
          <w:tcPr>
            <w:tcW w:w="96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486.7</w:t>
            </w:r>
          </w:p>
        </w:tc>
        <w:tc>
          <w:tcPr>
            <w:tcW w:w="2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471.0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469.3</w:t>
            </w:r>
          </w:p>
        </w:tc>
        <w:tc>
          <w:tcPr>
            <w:tcW w:w="0" w:type="dxa"/>
            <w:vAlign w:val="bottom"/>
          </w:tcPr>
          <w:p>
            <w:pPr>
              <w:spacing w:after="0"/>
              <w:rPr>
                <w:sz w:val="1"/>
                <w:szCs w:val="1"/>
                <w:color w:val="auto"/>
              </w:rPr>
            </w:pPr>
          </w:p>
        </w:tc>
      </w:tr>
      <w:tr>
        <w:trPr>
          <w:trHeight w:val="208"/>
        </w:trPr>
        <w:tc>
          <w:tcPr>
            <w:tcW w:w="540" w:type="dxa"/>
            <w:vAlign w:val="bottom"/>
          </w:tcPr>
          <w:p>
            <w:pPr>
              <w:ind w:left="140"/>
              <w:spacing w:after="0"/>
              <w:rPr>
                <w:sz w:val="20"/>
                <w:szCs w:val="20"/>
                <w:color w:val="auto"/>
              </w:rPr>
            </w:pPr>
            <w:r>
              <w:rPr>
                <w:rFonts w:ascii="Arial" w:cs="Arial" w:eastAsia="Arial" w:hAnsi="Arial"/>
                <w:sz w:val="14"/>
                <w:szCs w:val="14"/>
                <w:color w:val="auto"/>
              </w:rPr>
              <w:t>Total</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5,534.5</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6,284.6</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5,410.2</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6,281.0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The changes in the fair values of our Senior Notes as of June 30, 2023, compared to December 31, 2022, are primarily related to decreases in U.S. treasury yields and credit spreads used to value our Senior Notes since December 31, 2022. For additional information related to our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xml:space="preserve"> to our consolidated financial statements included in our 2022 Form 10-K.</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823710"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8:</w:t>
      </w:r>
      <w:r>
        <w:rPr>
          <w:sz w:val="20"/>
          <w:szCs w:val="20"/>
          <w:color w:val="auto"/>
        </w:rPr>
        <w:tab/>
      </w:r>
      <w:r>
        <w:rPr>
          <w:rFonts w:ascii="Arial" w:cs="Arial" w:eastAsia="Arial" w:hAnsi="Arial"/>
          <w:sz w:val="21"/>
          <w:szCs w:val="21"/>
          <w:b w:val="1"/>
          <w:bCs w:val="1"/>
          <w:color w:val="0070C0"/>
        </w:rPr>
        <w:t>Financial Instruments</w:t>
      </w:r>
    </w:p>
    <w:p>
      <w:pPr>
        <w:spacing w:after="0" w:line="226"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92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As of June 30, 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348.4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177.2</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260" w:type="dxa"/>
            <w:vAlign w:val="bottom"/>
            <w:shd w:val="clear" w:color="auto" w:fill="DBDBDB"/>
          </w:tcPr>
          <w:p>
            <w:pPr>
              <w:spacing w:after="0"/>
              <w:rPr>
                <w:sz w:val="17"/>
                <w:szCs w:val="17"/>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189"/>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260" w:type="dxa"/>
            <w:vAlign w:val="bottom"/>
            <w:shd w:val="clear" w:color="auto" w:fill="DBDBDB"/>
          </w:tcPr>
          <w:p>
            <w:pPr>
              <w:spacing w:after="0"/>
              <w:rPr>
                <w:sz w:val="16"/>
                <w:szCs w:val="16"/>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1,655.4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2,581.5</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Short-term certificates of deposit</w:t>
            </w:r>
          </w:p>
        </w:tc>
        <w:tc>
          <w:tcPr>
            <w:tcW w:w="260" w:type="dxa"/>
            <w:vAlign w:val="bottom"/>
            <w:shd w:val="clear" w:color="auto" w:fill="DBDBDB"/>
          </w:tcPr>
          <w:p>
            <w:pPr>
              <w:spacing w:after="0"/>
              <w:rPr>
                <w:sz w:val="17"/>
                <w:szCs w:val="17"/>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260" w:type="dxa"/>
            <w:vAlign w:val="bottom"/>
            <w:tcBorders>
              <w:bottom w:val="single" w:sz="8" w:color="auto"/>
            </w:tcBorders>
            <w:shd w:val="clear" w:color="auto" w:fill="DBDBDB"/>
          </w:tcPr>
          <w:p>
            <w:pPr>
              <w:spacing w:after="0"/>
              <w:rPr>
                <w:sz w:val="17"/>
                <w:szCs w:val="17"/>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2,262.4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2,847.6</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The carrying values of our commercial paper, including accrued interest, overnight reverse repurchase agreements, money market funds, short-term certificates of deposit and short-term debt securities approximate fair value due to their short-term maturities.</w:t>
      </w:r>
    </w:p>
    <w:p>
      <w:pPr>
        <w:spacing w:after="0" w:line="66"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Our marketable equity securities gains (losses) are recorded in other (income) expense, net in our condensed consolidated statements of income. The following tables summarize our marketable debt and equity securities, classified as available-for-sale: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380" w:type="dxa"/>
            <w:vAlign w:val="bottom"/>
            <w:tcBorders>
              <w:bottom w:val="single" w:sz="8" w:color="auto"/>
            </w:tcBorders>
            <w:shd w:val="clear" w:color="auto" w:fill="DDDDDD"/>
          </w:tcPr>
          <w:p>
            <w:pPr>
              <w:spacing w:after="0"/>
              <w:rPr>
                <w:sz w:val="16"/>
                <w:szCs w:val="16"/>
                <w:color w:val="auto"/>
              </w:rPr>
            </w:pP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3060" w:type="dxa"/>
            <w:vAlign w:val="bottom"/>
            <w:tcBorders>
              <w:bottom w:val="single" w:sz="8" w:color="auto"/>
            </w:tcBorders>
            <w:gridSpan w:val="5"/>
            <w:shd w:val="clear" w:color="auto" w:fill="DDDDDD"/>
          </w:tcPr>
          <w:p>
            <w:pPr>
              <w:jc w:val="right"/>
              <w:ind w:right="868"/>
              <w:spacing w:after="0"/>
              <w:rPr>
                <w:sz w:val="20"/>
                <w:szCs w:val="20"/>
                <w:color w:val="auto"/>
              </w:rPr>
            </w:pPr>
            <w:r>
              <w:rPr>
                <w:rFonts w:ascii="Arial" w:cs="Arial" w:eastAsia="Arial" w:hAnsi="Arial"/>
                <w:sz w:val="14"/>
                <w:szCs w:val="14"/>
                <w:b w:val="1"/>
                <w:bCs w:val="1"/>
                <w:color w:val="257ACB"/>
              </w:rPr>
              <w:t>As of June 30, 2023</w:t>
            </w:r>
          </w:p>
        </w:tc>
        <w:tc>
          <w:tcPr>
            <w:tcW w:w="100" w:type="dxa"/>
            <w:vAlign w:val="bottom"/>
            <w:tcBorders>
              <w:bottom w:val="single" w:sz="8" w:color="auto"/>
            </w:tcBorders>
            <w:shd w:val="clear" w:color="auto" w:fill="DDDDDD"/>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1180" w:type="dxa"/>
            <w:vAlign w:val="bottom"/>
            <w:tcBorders>
              <w:bottom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Amortized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148"/>
              <w:spacing w:after="0" w:line="143"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120" w:type="dxa"/>
            <w:vAlign w:val="bottom"/>
            <w:shd w:val="clear" w:color="auto" w:fill="DDDDDD"/>
          </w:tcPr>
          <w:p>
            <w:pPr>
              <w:spacing w:after="0"/>
              <w:rPr>
                <w:sz w:val="16"/>
                <w:szCs w:val="16"/>
                <w:color w:val="auto"/>
              </w:rPr>
            </w:pPr>
          </w:p>
        </w:tc>
        <w:tc>
          <w:tcPr>
            <w:tcW w:w="13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1,363.9</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8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w:t>
            </w:r>
          </w:p>
        </w:tc>
        <w:tc>
          <w:tcPr>
            <w:tcW w:w="4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1,360.0</w:t>
            </w:r>
          </w:p>
        </w:tc>
        <w:tc>
          <w:tcPr>
            <w:tcW w:w="0" w:type="dxa"/>
            <w:vAlign w:val="bottom"/>
          </w:tcPr>
          <w:p>
            <w:pPr>
              <w:spacing w:after="0"/>
              <w:rPr>
                <w:sz w:val="1"/>
                <w:szCs w:val="1"/>
                <w:color w:val="auto"/>
              </w:rPr>
            </w:pPr>
          </w:p>
        </w:tc>
      </w:tr>
      <w:tr>
        <w:trPr>
          <w:trHeight w:val="190"/>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shd w:val="clear" w:color="auto" w:fill="DBDBDB"/>
          </w:tcPr>
          <w:p>
            <w:pPr>
              <w:spacing w:after="0"/>
              <w:rPr>
                <w:sz w:val="16"/>
                <w:szCs w:val="16"/>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475.2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0.3</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471.0</w:t>
            </w:r>
          </w:p>
        </w:tc>
        <w:tc>
          <w:tcPr>
            <w:tcW w:w="0" w:type="dxa"/>
            <w:vAlign w:val="bottom"/>
          </w:tcPr>
          <w:p>
            <w:pPr>
              <w:spacing w:after="0"/>
              <w:rPr>
                <w:sz w:val="1"/>
                <w:szCs w:val="1"/>
                <w:color w:val="auto"/>
              </w:rPr>
            </w:pPr>
          </w:p>
        </w:tc>
      </w:tr>
      <w:tr>
        <w:trPr>
          <w:trHeight w:val="201"/>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shd w:val="clear" w:color="auto" w:fill="DBDBDB"/>
          </w:tcPr>
          <w:p>
            <w:pPr>
              <w:spacing w:after="0"/>
              <w:rPr>
                <w:sz w:val="16"/>
                <w:szCs w:val="16"/>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2,104.3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0.4</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2,100.5</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555.3</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549.8</w:t>
            </w:r>
          </w:p>
        </w:tc>
        <w:tc>
          <w:tcPr>
            <w:tcW w:w="0" w:type="dxa"/>
            <w:vAlign w:val="bottom"/>
          </w:tcPr>
          <w:p>
            <w:pPr>
              <w:spacing w:after="0"/>
              <w:rPr>
                <w:sz w:val="1"/>
                <w:szCs w:val="1"/>
                <w:color w:val="auto"/>
              </w:rPr>
            </w:pPr>
          </w:p>
        </w:tc>
      </w:tr>
      <w:tr>
        <w:trPr>
          <w:trHeight w:val="201"/>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shd w:val="clear" w:color="auto" w:fill="DBDBDB"/>
          </w:tcPr>
          <w:p>
            <w:pPr>
              <w:spacing w:after="0"/>
              <w:rPr>
                <w:sz w:val="16"/>
                <w:szCs w:val="16"/>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14"/>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188.1</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0.2</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187.2</w:t>
            </w:r>
          </w:p>
        </w:tc>
        <w:tc>
          <w:tcPr>
            <w:tcW w:w="0" w:type="dxa"/>
            <w:vAlign w:val="bottom"/>
          </w:tcPr>
          <w:p>
            <w:pPr>
              <w:spacing w:after="0"/>
              <w:rPr>
                <w:sz w:val="1"/>
                <w:szCs w:val="1"/>
                <w:color w:val="auto"/>
              </w:rPr>
            </w:pPr>
          </w:p>
        </w:tc>
      </w:tr>
      <w:tr>
        <w:trPr>
          <w:trHeight w:val="223"/>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4,686.8</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8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(19.4)</w:t>
            </w:r>
          </w:p>
        </w:tc>
        <w:tc>
          <w:tcPr>
            <w:tcW w:w="4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4,668.5</w:t>
            </w:r>
          </w:p>
        </w:tc>
        <w:tc>
          <w:tcPr>
            <w:tcW w:w="0" w:type="dxa"/>
            <w:vAlign w:val="bottom"/>
          </w:tcPr>
          <w:p>
            <w:pPr>
              <w:spacing w:after="0"/>
              <w:rPr>
                <w:sz w:val="1"/>
                <w:szCs w:val="1"/>
                <w:color w:val="auto"/>
              </w:rPr>
            </w:pPr>
          </w:p>
        </w:tc>
      </w:tr>
      <w:tr>
        <w:trPr>
          <w:trHeight w:val="437"/>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120" w:type="dxa"/>
            <w:vAlign w:val="bottom"/>
            <w:tcBorders>
              <w:top w:val="single" w:sz="8" w:color="auto"/>
            </w:tcBorders>
            <w:shd w:val="clear" w:color="auto" w:fill="DBDBDB"/>
          </w:tcPr>
          <w:p>
            <w:pPr>
              <w:spacing w:after="0"/>
              <w:rPr>
                <w:sz w:val="24"/>
                <w:szCs w:val="24"/>
                <w:color w:val="auto"/>
              </w:rPr>
            </w:pPr>
          </w:p>
        </w:tc>
        <w:tc>
          <w:tcPr>
            <w:tcW w:w="1380" w:type="dxa"/>
            <w:vAlign w:val="bottom"/>
            <w:tcBorders>
              <w:top w:val="single" w:sz="8" w:color="auto"/>
            </w:tcBorders>
            <w:shd w:val="clear" w:color="auto" w:fill="DBDBDB"/>
          </w:tcPr>
          <w:p>
            <w:pPr>
              <w:spacing w:after="0"/>
              <w:rPr>
                <w:sz w:val="24"/>
                <w:szCs w:val="24"/>
                <w:color w:val="auto"/>
              </w:rPr>
            </w:pPr>
          </w:p>
        </w:tc>
        <w:tc>
          <w:tcPr>
            <w:tcW w:w="4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auto"/>
            </w:tcBorders>
            <w:shd w:val="clear" w:color="auto" w:fill="DBDBDB"/>
          </w:tcPr>
          <w:p>
            <w:pPr>
              <w:spacing w:after="0"/>
              <w:rPr>
                <w:sz w:val="24"/>
                <w:szCs w:val="24"/>
                <w:color w:val="auto"/>
              </w:rPr>
            </w:pPr>
          </w:p>
        </w:tc>
        <w:tc>
          <w:tcPr>
            <w:tcW w:w="1080" w:type="dxa"/>
            <w:vAlign w:val="bottom"/>
            <w:tcBorders>
              <w:top w:val="single" w:sz="8" w:color="auto"/>
            </w:tcBorders>
            <w:shd w:val="clear" w:color="auto" w:fill="DBDBDB"/>
          </w:tcPr>
          <w:p>
            <w:pPr>
              <w:spacing w:after="0"/>
              <w:rPr>
                <w:sz w:val="24"/>
                <w:szCs w:val="24"/>
                <w:color w:val="auto"/>
              </w:rPr>
            </w:pPr>
          </w:p>
        </w:tc>
        <w:tc>
          <w:tcPr>
            <w:tcW w:w="34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auto"/>
            </w:tcBorders>
            <w:shd w:val="clear" w:color="auto" w:fill="DBDBDB"/>
          </w:tcPr>
          <w:p>
            <w:pPr>
              <w:spacing w:after="0"/>
              <w:rPr>
                <w:sz w:val="24"/>
                <w:szCs w:val="24"/>
                <w:color w:val="auto"/>
              </w:rPr>
            </w:pPr>
          </w:p>
        </w:tc>
        <w:tc>
          <w:tcPr>
            <w:tcW w:w="142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340" w:type="dxa"/>
            <w:vAlign w:val="bottom"/>
            <w:tcBorders>
              <w:top w:val="single" w:sz="8" w:color="auto"/>
            </w:tcBorders>
            <w:shd w:val="clear" w:color="auto" w:fill="DBDBDB"/>
          </w:tcPr>
          <w:p>
            <w:pPr>
              <w:spacing w:after="0"/>
              <w:rPr>
                <w:sz w:val="24"/>
                <w:szCs w:val="24"/>
                <w:color w:val="auto"/>
              </w:rPr>
            </w:pPr>
          </w:p>
        </w:tc>
        <w:tc>
          <w:tcPr>
            <w:tcW w:w="1180" w:type="dxa"/>
            <w:vAlign w:val="bottom"/>
            <w:tcBorders>
              <w:top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1,001.1</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8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(284.1)</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717.0</w:t>
            </w:r>
          </w:p>
        </w:tc>
        <w:tc>
          <w:tcPr>
            <w:tcW w:w="0" w:type="dxa"/>
            <w:vAlign w:val="bottom"/>
          </w:tcPr>
          <w:p>
            <w:pPr>
              <w:spacing w:after="0"/>
              <w:rPr>
                <w:sz w:val="1"/>
                <w:szCs w:val="1"/>
                <w:color w:val="auto"/>
              </w:rPr>
            </w:pPr>
          </w:p>
        </w:tc>
      </w:tr>
      <w:tr>
        <w:trPr>
          <w:trHeight w:val="203"/>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1,001.1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8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(284.1)</w:t>
            </w:r>
          </w:p>
        </w:tc>
        <w:tc>
          <w:tcPr>
            <w:tcW w:w="4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717.0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5"/>
          </w:tcPr>
          <w:p>
            <w:pPr>
              <w:jc w:val="right"/>
              <w:ind w:right="688"/>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200" w:type="dxa"/>
            <w:vAlign w:val="bottom"/>
          </w:tcPr>
          <w:p>
            <w:pPr>
              <w:jc w:val="center"/>
              <w:ind w:left="268"/>
              <w:spacing w:after="0" w:line="143"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8"/>
              <w:spacing w:after="0" w:line="14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6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Gains</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2"/>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936.2</w:t>
            </w:r>
          </w:p>
        </w:tc>
        <w:tc>
          <w:tcPr>
            <w:tcW w:w="1300" w:type="dxa"/>
            <w:vAlign w:val="bottom"/>
            <w:gridSpan w:val="2"/>
          </w:tcPr>
          <w:p>
            <w:pPr>
              <w:jc w:val="right"/>
              <w:ind w:right="10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(4.9)</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931.3</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305.3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547.1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271.4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268.1</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96"/>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2,199.1</w:t>
            </w:r>
          </w:p>
        </w:tc>
        <w:tc>
          <w:tcPr>
            <w:tcW w:w="1300" w:type="dxa"/>
            <w:vAlign w:val="bottom"/>
            <w:gridSpan w:val="2"/>
          </w:tcPr>
          <w:p>
            <w:pPr>
              <w:jc w:val="right"/>
              <w:ind w:right="10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(20.2)</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2,179.2</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4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1,133.8</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196"/>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1,133.8</w:t>
            </w:r>
          </w:p>
        </w:tc>
        <w:tc>
          <w:tcPr>
            <w:tcW w:w="1300" w:type="dxa"/>
            <w:vAlign w:val="bottom"/>
            <w:gridSpan w:val="2"/>
          </w:tcPr>
          <w:p>
            <w:pPr>
              <w:jc w:val="right"/>
              <w:ind w:right="10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(342.7)</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Summary of Contractual Maturities: Available-for-Sale Debt Securities</w:t>
      </w:r>
    </w:p>
    <w:p>
      <w:pPr>
        <w:spacing w:after="0" w:line="136" w:lineRule="exact"/>
        <w:rPr>
          <w:sz w:val="20"/>
          <w:szCs w:val="20"/>
          <w:color w:val="auto"/>
        </w:rPr>
      </w:pPr>
    </w:p>
    <w:p>
      <w:pPr>
        <w:ind w:right="460"/>
        <w:spacing w:after="0" w:line="273" w:lineRule="auto"/>
        <w:rPr>
          <w:sz w:val="20"/>
          <w:szCs w:val="20"/>
          <w:color w:val="auto"/>
        </w:rPr>
      </w:pPr>
      <w:r>
        <w:rPr>
          <w:rFonts w:ascii="Arial" w:cs="Arial" w:eastAsia="Arial" w:hAnsi="Arial"/>
          <w:sz w:val="18"/>
          <w:szCs w:val="18"/>
          <w:color w:val="auto"/>
        </w:rPr>
        <w:t>The estimated fair value and amortized cost of our marketable debt securities classified as available-for-sale by contractual maturity are summarized as follows:</w:t>
      </w:r>
    </w:p>
    <w:p>
      <w:pPr>
        <w:sectPr>
          <w:pgSz w:w="11900" w:h="16838" w:orient="portrait"/>
          <w:cols w:equalWidth="0" w:num="1">
            <w:col w:w="11240"/>
          </w:cols>
          <w:pgMar w:left="320" w:top="126" w:right="339" w:bottom="1440" w:gutter="0" w:footer="0" w:header="0"/>
        </w:sect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9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in one year or less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one year through five years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five years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marketable debt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Borders>
              <w:bottom w:val="single" w:sz="8" w:color="auto"/>
            </w:tcBorders>
            <w:shd w:val="clear" w:color="auto" w:fill="DDDDDD"/>
          </w:tcPr>
          <w:p>
            <w:pPr>
              <w:spacing w:after="0"/>
              <w:rPr>
                <w:sz w:val="17"/>
                <w:szCs w:val="17"/>
                <w:color w:val="auto"/>
              </w:rPr>
            </w:pPr>
          </w:p>
        </w:tc>
        <w:tc>
          <w:tcPr>
            <w:tcW w:w="2860" w:type="dxa"/>
            <w:vAlign w:val="bottom"/>
            <w:tcBorders>
              <w:bottom w:val="single" w:sz="8" w:color="auto"/>
            </w:tcBorders>
            <w:gridSpan w:val="5"/>
            <w:shd w:val="clear" w:color="auto" w:fill="DDDDDD"/>
          </w:tcPr>
          <w:p>
            <w:pPr>
              <w:jc w:val="right"/>
              <w:ind w:right="828"/>
              <w:spacing w:after="0"/>
              <w:rPr>
                <w:sz w:val="20"/>
                <w:szCs w:val="20"/>
                <w:color w:val="auto"/>
              </w:rPr>
            </w:pPr>
            <w:r>
              <w:rPr>
                <w:rFonts w:ascii="Arial" w:cs="Arial" w:eastAsia="Arial" w:hAnsi="Arial"/>
                <w:sz w:val="14"/>
                <w:szCs w:val="14"/>
                <w:b w:val="1"/>
                <w:bCs w:val="1"/>
                <w:color w:val="257ACB"/>
              </w:rPr>
              <w:t>As of June 30, 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As of December 31, 2022</w:t>
            </w:r>
          </w:p>
        </w:tc>
      </w:tr>
      <w:tr>
        <w:trPr>
          <w:trHeight w:val="142"/>
        </w:trPr>
        <w:tc>
          <w:tcPr>
            <w:tcW w:w="260" w:type="dxa"/>
            <w:vAlign w:val="bottom"/>
          </w:tcPr>
          <w:p>
            <w:pPr>
              <w:spacing w:after="0"/>
              <w:rPr>
                <w:sz w:val="12"/>
                <w:szCs w:val="12"/>
                <w:color w:val="auto"/>
              </w:rPr>
            </w:pPr>
          </w:p>
        </w:tc>
        <w:tc>
          <w:tcPr>
            <w:tcW w:w="122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Amortized</w:t>
            </w:r>
          </w:p>
        </w:tc>
      </w:tr>
      <w:tr>
        <w:trPr>
          <w:trHeight w:val="189"/>
        </w:trPr>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Cost</w:t>
            </w:r>
          </w:p>
        </w:tc>
      </w:tr>
      <w:tr>
        <w:trPr>
          <w:trHeight w:val="184"/>
        </w:trPr>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3,460.5</w:t>
            </w:r>
          </w:p>
        </w:tc>
        <w:tc>
          <w:tcPr>
            <w:tcW w:w="380" w:type="dxa"/>
            <w:vAlign w:val="bottom"/>
            <w:gridSpan w:val="3"/>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3,468.2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1,473.5</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1,483.3</w:t>
            </w:r>
          </w:p>
        </w:tc>
      </w:tr>
      <w:tr>
        <w:trPr>
          <w:trHeight w:val="201"/>
        </w:trPr>
        <w:tc>
          <w:tcPr>
            <w:tcW w:w="26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1,192.9</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1,202.9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703.7</w:t>
            </w:r>
          </w:p>
        </w:tc>
      </w:tr>
      <w:tr>
        <w:trPr>
          <w:trHeight w:val="197"/>
        </w:trPr>
        <w:tc>
          <w:tcPr>
            <w:tcW w:w="2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15.1</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15.7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16"/>
        </w:trPr>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4,668.5</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4,686.8</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2,179.2</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2,199.1</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ectPr>
          <w:pgSz w:w="11900" w:h="16838" w:orient="portrait"/>
          <w:cols w:equalWidth="0" w:num="2">
            <w:col w:w="4120" w:space="720"/>
            <w:col w:w="6400"/>
          </w:cols>
          <w:pgMar w:left="320" w:top="126" w:right="339" w:bottom="1440" w:gutter="0" w:footer="0" w:header="0"/>
          <w:type w:val="continuous"/>
        </w:sectPr>
      </w:pPr>
    </w:p>
    <w:p>
      <w:pPr>
        <w:ind w:right="360"/>
        <w:spacing w:after="0" w:line="275" w:lineRule="auto"/>
        <w:rPr>
          <w:sz w:val="20"/>
          <w:szCs w:val="20"/>
          <w:color w:val="auto"/>
        </w:rPr>
      </w:pPr>
      <w:r>
        <w:rPr>
          <w:rFonts w:ascii="Arial" w:cs="Arial" w:eastAsia="Arial" w:hAnsi="Arial"/>
          <w:sz w:val="18"/>
          <w:szCs w:val="18"/>
          <w:color w:val="auto"/>
        </w:rPr>
        <w:t>The average maturity of our marketable debt securities classified as available-for-sale as of both June 30, 2023 and December 31, 2022, was approximately 8 months.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Proceeds from Marketable Debt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 June 30,</w:t>
            </w:r>
          </w:p>
        </w:tc>
        <w:tc>
          <w:tcPr>
            <w:tcW w:w="240" w:type="dxa"/>
            <w:vAlign w:val="bottom"/>
          </w:tcPr>
          <w:p>
            <w:pPr>
              <w:spacing w:after="0"/>
              <w:rPr>
                <w:sz w:val="17"/>
                <w:szCs w:val="17"/>
                <w:color w:val="auto"/>
              </w:rPr>
            </w:pPr>
          </w:p>
        </w:tc>
        <w:tc>
          <w:tcPr>
            <w:tcW w:w="29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For the Six Months Ended June 30,</w:t>
            </w:r>
          </w:p>
        </w:tc>
      </w:tr>
      <w:tr>
        <w:trPr>
          <w:trHeight w:val="18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DDDDD"/>
          </w:tcPr>
          <w:p>
            <w:pPr>
              <w:spacing w:after="0"/>
              <w:rPr>
                <w:sz w:val="16"/>
                <w:szCs w:val="16"/>
                <w:color w:val="auto"/>
              </w:rPr>
            </w:pPr>
          </w:p>
        </w:tc>
        <w:tc>
          <w:tcPr>
            <w:tcW w:w="1320" w:type="dxa"/>
            <w:vAlign w:val="bottom"/>
            <w:tcBorders>
              <w:top w:val="single" w:sz="8" w:color="auto"/>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shd w:val="clear" w:color="auto" w:fill="DDDDDD"/>
          </w:tcPr>
          <w:p>
            <w:pPr>
              <w:spacing w:after="0"/>
              <w:rPr>
                <w:sz w:val="16"/>
                <w:szCs w:val="16"/>
                <w:color w:val="auto"/>
              </w:rPr>
            </w:pPr>
          </w:p>
        </w:tc>
        <w:tc>
          <w:tcPr>
            <w:tcW w:w="1280" w:type="dxa"/>
            <w:vAlign w:val="bottom"/>
            <w:tcBorders>
              <w:top w:val="single" w:sz="8" w:color="auto"/>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ACB"/>
              </w:rPr>
              <w:t>2023</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84"/>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1,275.5</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917.9</w:t>
            </w:r>
          </w:p>
        </w:tc>
        <w:tc>
          <w:tcPr>
            <w:tcW w:w="100" w:type="dxa"/>
            <w:vAlign w:val="bottom"/>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1,682.2</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1,461.5</w:t>
            </w:r>
          </w:p>
        </w:tc>
      </w:tr>
      <w:tr>
        <w:trPr>
          <w:trHeight w:val="203"/>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r>
    </w:tbl>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Realized losses for the three and six months ended June 30, 2023, primarily relate to sales of U.S. treasuries and corporate bonds. Realized losses for the three and six months ended June 30, 2022, primarily relate to sales of corporate bonds, agency mortgage-backed securities and other asset-backed securities.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Strategic Investments</w:t>
      </w:r>
    </w:p>
    <w:p>
      <w:pPr>
        <w:spacing w:after="0" w:line="13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As of June 30, 2023 and December 31, 2022, our strategic investment portfolio was comprised of investments totaling $ 770.7 million and $846.0 million, respectively, which are included in investments and other assets in our condensed consolidated balance sheets.</w:t>
      </w:r>
    </w:p>
    <w:p>
      <w:pPr>
        <w:spacing w:after="0" w:line="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7, Fair Value Measurements,</w:t>
      </w:r>
      <w:r>
        <w:rPr>
          <w:rFonts w:ascii="Arial" w:cs="Arial" w:eastAsia="Arial" w:hAnsi="Arial"/>
          <w:sz w:val="18"/>
          <w:szCs w:val="18"/>
          <w:color w:val="auto"/>
        </w:rPr>
        <w:t xml:space="preserve"> to these condensed consolidated financial statements, venture capital funds where the underlying investments are in equity securities of certain biotechnology companies and non-marketable equity securities.</w:t>
      </w:r>
    </w:p>
    <w:p>
      <w:pPr>
        <w:spacing w:after="0" w:line="7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decrease in our strategic investment portfolio as of June 30, 2023, was primarily due to the sale of our remaining Ionis common stock during the second quarter of 2023.</w:t>
      </w:r>
    </w:p>
    <w:p>
      <w:pPr>
        <w:spacing w:after="0" w:line="6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For additional information on our strategic investments in Denali, Sangamo and Sage common stock, please read </w:t>
      </w:r>
      <w:r>
        <w:rPr>
          <w:rFonts w:ascii="Arial" w:cs="Arial" w:eastAsia="Arial" w:hAnsi="Arial"/>
          <w:sz w:val="18"/>
          <w:szCs w:val="18"/>
          <w:i w:val="1"/>
          <w:iCs w:val="1"/>
          <w:color w:val="auto"/>
        </w:rPr>
        <w:t>Note 19,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Relationships</w:t>
      </w:r>
      <w:r>
        <w:rPr>
          <w:rFonts w:ascii="Arial" w:cs="Arial" w:eastAsia="Arial" w:hAnsi="Arial"/>
          <w:sz w:val="18"/>
          <w:szCs w:val="18"/>
          <w:color w:val="auto"/>
        </w:rPr>
        <w:t>, to our consolidated financial statements included in our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6823710" cy="334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23710" cy="334010"/>
                    </a:xfrm>
                    <a:prstGeom prst="rect">
                      <a:avLst/>
                    </a:prstGeom>
                    <a:noFill/>
                  </pic:spPr>
                </pic:pic>
              </a:graphicData>
            </a:graphic>
          </wp:anchor>
        </w:drawing>
      </w:r>
    </w:p>
    <w:p>
      <w:pPr>
        <w:spacing w:after="0" w:line="357"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9:</w:t>
      </w:r>
      <w:r>
        <w:rPr>
          <w:sz w:val="20"/>
          <w:szCs w:val="20"/>
          <w:color w:val="auto"/>
        </w:rPr>
        <w:tab/>
      </w:r>
      <w:r>
        <w:rPr>
          <w:rFonts w:ascii="Arial" w:cs="Arial" w:eastAsia="Arial" w:hAnsi="Arial"/>
          <w:sz w:val="21"/>
          <w:szCs w:val="21"/>
          <w:b w:val="1"/>
          <w:bCs w:val="1"/>
          <w:color w:val="0070C0"/>
        </w:rPr>
        <w:t>Derivative Instruments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Hedging Instruments</w:t>
      </w:r>
    </w:p>
    <w:p>
      <w:pPr>
        <w:spacing w:after="0" w:line="136"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Foreign currency forward contracts and foreign currency options in effect as of June 30, 2023 and December 31, 2022, had durations of 1 to 18 months and 1 to 12 months, respectively. These contracts have been 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condensed consolidated statements of income that have been impacted by the hedged item.</w:t>
      </w:r>
    </w:p>
    <w:p>
      <w:pPr>
        <w:spacing w:after="0" w:line="87"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The notional amount of foreign currency forward contracts and foreign currency options that were entered into to hedge forecasted revenue and operating expense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4"/>
          </w:tcPr>
          <w:p>
            <w:pPr>
              <w:jc w:val="right"/>
              <w:ind w:right="1588"/>
              <w:spacing w:after="0"/>
              <w:rPr>
                <w:sz w:val="20"/>
                <w:szCs w:val="20"/>
                <w:color w:val="auto"/>
              </w:rPr>
            </w:pPr>
            <w:r>
              <w:rPr>
                <w:rFonts w:ascii="Arial" w:cs="Arial" w:eastAsia="Arial" w:hAnsi="Arial"/>
                <w:sz w:val="14"/>
                <w:szCs w:val="14"/>
                <w:b w:val="1"/>
                <w:bCs w:val="1"/>
                <w:color w:val="auto"/>
              </w:rPr>
              <w:t>Notional Amount</w:t>
            </w:r>
          </w:p>
        </w:tc>
      </w:tr>
      <w:tr>
        <w:trPr>
          <w:trHeight w:val="195"/>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192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As of June 30,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2022</w:t>
            </w:r>
          </w:p>
        </w:tc>
      </w:tr>
      <w:tr>
        <w:trPr>
          <w:trHeight w:val="18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1,486.1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1,495.5</w:t>
            </w:r>
          </w:p>
        </w:tc>
      </w:tr>
      <w:tr>
        <w:trPr>
          <w:trHeight w:val="191"/>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260" w:type="dxa"/>
            <w:vAlign w:val="bottom"/>
            <w:shd w:val="clear" w:color="auto" w:fill="DBDBDB"/>
          </w:tcPr>
          <w:p>
            <w:pPr>
              <w:spacing w:after="0"/>
              <w:rPr>
                <w:sz w:val="16"/>
                <w:szCs w:val="16"/>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162.8</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Swiss franc</w:t>
            </w:r>
          </w:p>
        </w:tc>
        <w:tc>
          <w:tcPr>
            <w:tcW w:w="260" w:type="dxa"/>
            <w:vAlign w:val="bottom"/>
            <w:shd w:val="clear" w:color="auto" w:fill="DBDBDB"/>
          </w:tcPr>
          <w:p>
            <w:pPr>
              <w:spacing w:after="0"/>
              <w:rPr>
                <w:sz w:val="17"/>
                <w:szCs w:val="17"/>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260" w:type="dxa"/>
            <w:vAlign w:val="bottom"/>
            <w:tcBorders>
              <w:bottom w:val="single" w:sz="8" w:color="auto"/>
            </w:tcBorders>
            <w:shd w:val="clear" w:color="auto" w:fill="DBDBDB"/>
          </w:tcPr>
          <w:p>
            <w:pPr>
              <w:spacing w:after="0"/>
              <w:rPr>
                <w:sz w:val="17"/>
                <w:szCs w:val="17"/>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r>
      <w:tr>
        <w:trPr>
          <w:trHeight w:val="216"/>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 and options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1,768.9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1,715.5</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The pre-tax portion of the fair value of these foreign currency forward contracts and foreign currency options that were included in AOCI in total equity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Borders>
              <w:bottom w:val="single" w:sz="8" w:color="auto"/>
            </w:tcBorders>
            <w:shd w:val="clear" w:color="auto" w:fill="DDDDDD"/>
          </w:tcPr>
          <w:p>
            <w:pPr>
              <w:spacing w:after="0"/>
              <w:rPr>
                <w:sz w:val="16"/>
                <w:szCs w:val="16"/>
                <w:color w:val="auto"/>
              </w:rPr>
            </w:pPr>
          </w:p>
        </w:tc>
        <w:tc>
          <w:tcPr>
            <w:tcW w:w="1940" w:type="dxa"/>
            <w:vAlign w:val="bottom"/>
            <w:tcBorders>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As of June 30, 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Unrealized gains</w:t>
            </w: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26DCE"/>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8.3</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Unrealized (losses)</w:t>
            </w:r>
          </w:p>
        </w:tc>
        <w:tc>
          <w:tcPr>
            <w:tcW w:w="280" w:type="dxa"/>
            <w:vAlign w:val="bottom"/>
            <w:tcBorders>
              <w:bottom w:val="single" w:sz="8" w:color="auto"/>
            </w:tcBorders>
            <w:shd w:val="clear" w:color="auto" w:fill="DBDBDB"/>
          </w:tcPr>
          <w:p>
            <w:pPr>
              <w:spacing w:after="0"/>
              <w:rPr>
                <w:sz w:val="18"/>
                <w:szCs w:val="18"/>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(30.2)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w:t>
            </w: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26DCE"/>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(21.9)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We expect the net unrealized losses of approximately $21.9 million to be settled over the next 18 months, of which approximately $ 23.7 million of these net unrealized losses are expected to be settled over the next 12 months, with any amounts in AOCI to be reported as an adjustment to revenue or operating expense. We consider the impact of our and our counterparties’ credit risk on the fair value of the contracts as well as the ability of each party to execute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its contractual obligations. As of June 30, 2023 and December 31, 2022, credit risk did not materially change the fair value of our foreign currency forward contracts and forward currency options.</w:t>
      </w:r>
    </w:p>
    <w:p>
      <w:pPr>
        <w:spacing w:after="0" w:line="66" w:lineRule="exact"/>
        <w:rPr>
          <w:sz w:val="20"/>
          <w:szCs w:val="20"/>
          <w:color w:val="auto"/>
        </w:rPr>
      </w:pPr>
    </w:p>
    <w:p>
      <w:pPr>
        <w:ind w:right="700"/>
        <w:spacing w:after="0" w:line="273" w:lineRule="auto"/>
        <w:rPr>
          <w:sz w:val="20"/>
          <w:szCs w:val="20"/>
          <w:color w:val="auto"/>
        </w:rPr>
      </w:pPr>
      <w:r>
        <w:rPr>
          <w:rFonts w:ascii="Arial" w:cs="Arial" w:eastAsia="Arial" w:hAnsi="Arial"/>
          <w:sz w:val="18"/>
          <w:szCs w:val="18"/>
          <w:color w:val="auto"/>
        </w:rPr>
        <w:t>The following tables summarize the effect of foreign currency forward contracts and forward currency options designated as hedging instruments in our condensed consolidated statements of income: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jc w:val="center"/>
              <w:ind w:left="168"/>
              <w:spacing w:after="0" w:line="144" w:lineRule="exact"/>
              <w:rPr>
                <w:sz w:val="20"/>
                <w:szCs w:val="20"/>
                <w:color w:val="auto"/>
              </w:rPr>
            </w:pPr>
            <w:r>
              <w:rPr>
                <w:rFonts w:ascii="Arial" w:cs="Arial" w:eastAsia="Arial" w:hAnsi="Arial"/>
                <w:sz w:val="14"/>
                <w:szCs w:val="14"/>
                <w:b w:val="1"/>
                <w:bCs w:val="1"/>
                <w:color w:val="auto"/>
              </w:rPr>
              <w:t>Net Gains/(Losses)</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3"/>
          </w:tcPr>
          <w:p>
            <w:pPr>
              <w:jc w:val="center"/>
              <w:ind w:left="448"/>
              <w:spacing w:after="0" w:line="144" w:lineRule="exact"/>
              <w:rPr>
                <w:sz w:val="20"/>
                <w:szCs w:val="20"/>
                <w:color w:val="auto"/>
              </w:rPr>
            </w:pPr>
            <w:r>
              <w:rPr>
                <w:rFonts w:ascii="Arial" w:cs="Arial" w:eastAsia="Arial" w:hAnsi="Arial"/>
                <w:sz w:val="14"/>
                <w:szCs w:val="14"/>
                <w:b w:val="1"/>
                <w:bCs w:val="1"/>
                <w:color w:val="auto"/>
              </w:rPr>
              <w:t>Net Gains/(Losses)</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r>
      <w:tr>
        <w:trPr>
          <w:trHeight w:val="189"/>
        </w:trPr>
        <w:tc>
          <w:tcPr>
            <w:tcW w:w="4400" w:type="dxa"/>
            <w:vAlign w:val="bottom"/>
            <w:tcBorders>
              <w:bottom w:val="single" w:sz="8" w:color="auto"/>
            </w:tcBorders>
            <w:gridSpan w:val="7"/>
          </w:tcPr>
          <w:p>
            <w:pPr>
              <w:jc w:val="center"/>
              <w:ind w:left="1128"/>
              <w:spacing w:after="0"/>
              <w:rPr>
                <w:sz w:val="20"/>
                <w:szCs w:val="20"/>
                <w:color w:val="auto"/>
              </w:rPr>
            </w:pPr>
            <w:r>
              <w:rPr>
                <w:rFonts w:ascii="Arial" w:cs="Arial" w:eastAsia="Arial" w:hAnsi="Arial"/>
                <w:sz w:val="14"/>
                <w:szCs w:val="14"/>
                <w:b w:val="1"/>
                <w:bCs w:val="1"/>
                <w:color w:val="auto"/>
              </w:rPr>
              <w:t>Reclassified from AOCI into Operating Income</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rPr>
              <w:t>Recognized in Operating Income</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b w:val="1"/>
                <w:bCs w:val="1"/>
                <w:color w:val="257ACB"/>
              </w:rPr>
              <w:t>2023</w:t>
            </w:r>
          </w:p>
        </w:tc>
        <w:tc>
          <w:tcPr>
            <w:tcW w:w="44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2023</w:t>
            </w:r>
          </w:p>
        </w:tc>
        <w:tc>
          <w:tcPr>
            <w:tcW w:w="44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83"/>
        </w:trPr>
        <w:tc>
          <w:tcPr>
            <w:tcW w:w="1700" w:type="dxa"/>
            <w:vAlign w:val="bottom"/>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shd w:val="clear" w:color="auto" w:fill="DBDBDB"/>
          </w:tcPr>
          <w:p>
            <w:pPr>
              <w:jc w:val="center"/>
              <w:ind w:right="748"/>
              <w:spacing w:after="0"/>
              <w:rPr>
                <w:sz w:val="20"/>
                <w:szCs w:val="20"/>
                <w:color w:val="auto"/>
              </w:rPr>
            </w:pPr>
            <w:r>
              <w:rPr>
                <w:rFonts w:ascii="Arial" w:cs="Arial" w:eastAsia="Arial" w:hAnsi="Arial"/>
                <w:sz w:val="14"/>
                <w:szCs w:val="14"/>
                <w:color w:val="257ACB"/>
              </w:rPr>
              <w:t>$</w:t>
            </w:r>
          </w:p>
        </w:tc>
        <w:tc>
          <w:tcPr>
            <w:tcW w:w="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Revenue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shd w:val="clear" w:color="auto" w:fill="DBDBDB"/>
          </w:tcPr>
          <w:p>
            <w:pPr>
              <w:jc w:val="right"/>
              <w:ind w:right="808"/>
              <w:spacing w:after="0"/>
              <w:rPr>
                <w:sz w:val="20"/>
                <w:szCs w:val="20"/>
                <w:color w:val="auto"/>
              </w:rPr>
            </w:pPr>
            <w:r>
              <w:rPr>
                <w:rFonts w:ascii="Arial" w:cs="Arial" w:eastAsia="Arial" w:hAnsi="Arial"/>
                <w:sz w:val="14"/>
                <w:szCs w:val="14"/>
                <w:color w:val="257ACB"/>
              </w:rPr>
              <w:t>$</w:t>
            </w:r>
          </w:p>
        </w:tc>
        <w:tc>
          <w:tcPr>
            <w:tcW w:w="44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257ACB"/>
              </w:rPr>
              <w:t>(1.0)</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3"/>
        </w:trPr>
        <w:tc>
          <w:tcPr>
            <w:tcW w:w="1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44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257ACB"/>
              </w:rPr>
              <w:t>(0.8)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418"/>
        </w:trPr>
        <w:tc>
          <w:tcPr>
            <w:tcW w:w="1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43"/>
        </w:trPr>
        <w:tc>
          <w:tcPr>
            <w:tcW w:w="1700" w:type="dxa"/>
            <w:vAlign w:val="bottom"/>
          </w:tcPr>
          <w:p>
            <w:pPr>
              <w:spacing w:after="0"/>
              <w:rPr>
                <w:sz w:val="12"/>
                <w:szCs w:val="12"/>
                <w:color w:val="auto"/>
              </w:rPr>
            </w:pPr>
          </w:p>
        </w:tc>
        <w:tc>
          <w:tcPr>
            <w:tcW w:w="1980" w:type="dxa"/>
            <w:vAlign w:val="bottom"/>
            <w:gridSpan w:val="3"/>
          </w:tcPr>
          <w:p>
            <w:pPr>
              <w:jc w:val="center"/>
              <w:ind w:left="168"/>
              <w:spacing w:after="0" w:line="143" w:lineRule="exact"/>
              <w:rPr>
                <w:sz w:val="20"/>
                <w:szCs w:val="20"/>
                <w:color w:val="auto"/>
              </w:rPr>
            </w:pPr>
            <w:r>
              <w:rPr>
                <w:rFonts w:ascii="Arial" w:cs="Arial" w:eastAsia="Arial" w:hAnsi="Arial"/>
                <w:sz w:val="14"/>
                <w:szCs w:val="14"/>
                <w:b w:val="1"/>
                <w:bCs w:val="1"/>
                <w:color w:val="auto"/>
              </w:rPr>
              <w:t>Net Gains/(Losses)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00" w:type="dxa"/>
            <w:vAlign w:val="bottom"/>
            <w:gridSpan w:val="3"/>
          </w:tcPr>
          <w:p>
            <w:pPr>
              <w:jc w:val="center"/>
              <w:ind w:left="448"/>
              <w:spacing w:after="0" w:line="143" w:lineRule="exact"/>
              <w:rPr>
                <w:sz w:val="20"/>
                <w:szCs w:val="20"/>
                <w:color w:val="auto"/>
              </w:rPr>
            </w:pPr>
            <w:r>
              <w:rPr>
                <w:rFonts w:ascii="Arial" w:cs="Arial" w:eastAsia="Arial" w:hAnsi="Arial"/>
                <w:sz w:val="14"/>
                <w:szCs w:val="14"/>
                <w:b w:val="1"/>
                <w:bCs w:val="1"/>
                <w:color w:val="auto"/>
              </w:rPr>
              <w:t>Net Gains/(Losses)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9"/>
        </w:trPr>
        <w:tc>
          <w:tcPr>
            <w:tcW w:w="4400" w:type="dxa"/>
            <w:vAlign w:val="bottom"/>
            <w:tcBorders>
              <w:bottom w:val="single" w:sz="8" w:color="auto"/>
            </w:tcBorders>
            <w:gridSpan w:val="7"/>
          </w:tcPr>
          <w:p>
            <w:pPr>
              <w:jc w:val="center"/>
              <w:ind w:left="1128"/>
              <w:spacing w:after="0"/>
              <w:rPr>
                <w:sz w:val="20"/>
                <w:szCs w:val="20"/>
                <w:color w:val="auto"/>
              </w:rPr>
            </w:pPr>
            <w:r>
              <w:rPr>
                <w:rFonts w:ascii="Arial" w:cs="Arial" w:eastAsia="Arial" w:hAnsi="Arial"/>
                <w:sz w:val="14"/>
                <w:szCs w:val="14"/>
                <w:b w:val="1"/>
                <w:bCs w:val="1"/>
                <w:color w:val="auto"/>
              </w:rPr>
              <w:t>Reclassified from AOCI into Operating Income</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rPr>
              <w:t>Recognized in Operating Income</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b w:val="1"/>
                <w:bCs w:val="1"/>
                <w:color w:val="257ACB"/>
              </w:rPr>
              <w:t>2023</w:t>
            </w:r>
          </w:p>
        </w:tc>
        <w:tc>
          <w:tcPr>
            <w:tcW w:w="44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2023</w:t>
            </w:r>
          </w:p>
        </w:tc>
        <w:tc>
          <w:tcPr>
            <w:tcW w:w="44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83"/>
        </w:trPr>
        <w:tc>
          <w:tcPr>
            <w:tcW w:w="1700" w:type="dxa"/>
            <w:vAlign w:val="bottom"/>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shd w:val="clear" w:color="auto" w:fill="DBDBDB"/>
          </w:tcPr>
          <w:p>
            <w:pPr>
              <w:jc w:val="center"/>
              <w:ind w:right="748"/>
              <w:spacing w:after="0"/>
              <w:rPr>
                <w:sz w:val="20"/>
                <w:szCs w:val="20"/>
                <w:color w:val="auto"/>
              </w:rPr>
            </w:pPr>
            <w:r>
              <w:rPr>
                <w:rFonts w:ascii="Arial" w:cs="Arial" w:eastAsia="Arial" w:hAnsi="Arial"/>
                <w:sz w:val="14"/>
                <w:szCs w:val="14"/>
                <w:color w:val="257ACB"/>
              </w:rPr>
              <w:t>$</w:t>
            </w:r>
          </w:p>
        </w:tc>
        <w:tc>
          <w:tcPr>
            <w:tcW w:w="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20.0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Revenue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shd w:val="clear" w:color="auto" w:fill="DBDBDB"/>
          </w:tcPr>
          <w:p>
            <w:pPr>
              <w:jc w:val="right"/>
              <w:ind w:right="808"/>
              <w:spacing w:after="0"/>
              <w:rPr>
                <w:sz w:val="20"/>
                <w:szCs w:val="20"/>
                <w:color w:val="auto"/>
              </w:rPr>
            </w:pPr>
            <w:r>
              <w:rPr>
                <w:rFonts w:ascii="Arial" w:cs="Arial" w:eastAsia="Arial" w:hAnsi="Arial"/>
                <w:sz w:val="14"/>
                <w:szCs w:val="14"/>
                <w:color w:val="257ACB"/>
              </w:rPr>
              <w:t>$</w:t>
            </w:r>
          </w:p>
        </w:tc>
        <w:tc>
          <w:tcPr>
            <w:tcW w:w="44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257ACB"/>
              </w:rPr>
              <w:t>0.6</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3"/>
        </w:trPr>
        <w:tc>
          <w:tcPr>
            <w:tcW w:w="1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44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257ACB"/>
              </w:rPr>
              <w:t>(2.9)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Net Investment Hedges - Hedging Instruments</w:t>
      </w:r>
    </w:p>
    <w:p>
      <w:pPr>
        <w:spacing w:after="0" w:line="12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Our investment in the equity of Samsung Bioepis related to this transaction was exposed to the currency fluctuations in the South Korean won.</w:t>
      </w:r>
    </w:p>
    <w:p>
      <w:pPr>
        <w:spacing w:after="0" w:line="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order to mitigate the currency fluctuations between the U.S. dollar and South Korean won, we entered into foreign currency forward contracts. These contracts were designated as net investment hedges. In April 2022 we completed the sale of our 49.9% equity interest in Samsung Bioepis to Samsung BioLogics and closed these foreign currency forward contracts. Upon completing this sale, the cumulative gains on our net investment hedges of $57.0 million were reclassified from AOCI and reflected within the total pre-tax gain recognized from the sale, which was recorded in other (income) expense, net in our condensed consolidated statements of income. For additional information on the sale of our equity interest in Samsung Bioepis, please read </w:t>
      </w:r>
      <w:r>
        <w:rPr>
          <w:rFonts w:ascii="Arial" w:cs="Arial" w:eastAsia="Arial" w:hAnsi="Arial"/>
          <w:sz w:val="18"/>
          <w:szCs w:val="18"/>
          <w:i w:val="1"/>
          <w:iCs w:val="1"/>
          <w:color w:val="auto"/>
        </w:rPr>
        <w:t>Note 2, Dispositions,</w:t>
      </w:r>
      <w:r>
        <w:rPr>
          <w:rFonts w:ascii="Arial" w:cs="Arial" w:eastAsia="Arial" w:hAnsi="Arial"/>
          <w:sz w:val="18"/>
          <w:szCs w:val="18"/>
          <w:color w:val="auto"/>
        </w:rPr>
        <w:t xml:space="preserve"> to these condensed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effect of our net investment hedges in our condensed consolidated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June 30,</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44"/>
        </w:trPr>
        <w:tc>
          <w:tcPr>
            <w:tcW w:w="2860" w:type="dxa"/>
            <w:vAlign w:val="bottom"/>
            <w:tcBorders>
              <w:top w:val="single" w:sz="8" w:color="auto"/>
            </w:tcBorders>
          </w:tcPr>
          <w:p>
            <w:pPr>
              <w:jc w:val="center"/>
              <w:ind w:left="848"/>
              <w:spacing w:after="0" w:line="144" w:lineRule="exact"/>
              <w:rPr>
                <w:sz w:val="20"/>
                <w:szCs w:val="20"/>
                <w:color w:val="auto"/>
              </w:rPr>
            </w:pPr>
            <w:r>
              <w:rPr>
                <w:rFonts w:ascii="Arial" w:cs="Arial" w:eastAsia="Arial" w:hAnsi="Arial"/>
                <w:sz w:val="14"/>
                <w:szCs w:val="14"/>
                <w:b w:val="1"/>
                <w:bCs w:val="1"/>
                <w:color w:val="auto"/>
              </w:rPr>
              <w:t>Net Gains/(Losses)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tcPr>
          <w:p>
            <w:pPr>
              <w:jc w:val="center"/>
              <w:ind w:left="828"/>
              <w:spacing w:after="0" w:line="144" w:lineRule="exact"/>
              <w:rPr>
                <w:sz w:val="20"/>
                <w:szCs w:val="20"/>
                <w:color w:val="auto"/>
              </w:rPr>
            </w:pPr>
            <w:r>
              <w:rPr>
                <w:rFonts w:ascii="Arial" w:cs="Arial" w:eastAsia="Arial" w:hAnsi="Arial"/>
                <w:sz w:val="14"/>
                <w:szCs w:val="14"/>
                <w:b w:val="1"/>
                <w:bCs w:val="1"/>
                <w:color w:val="auto"/>
              </w:rPr>
              <w:t>Net Gains/(Losses)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jc w:val="center"/>
              <w:spacing w:after="0" w:line="144" w:lineRule="exact"/>
              <w:rPr>
                <w:sz w:val="20"/>
                <w:szCs w:val="20"/>
                <w:color w:val="auto"/>
              </w:rPr>
            </w:pPr>
            <w:r>
              <w:rPr>
                <w:rFonts w:ascii="Arial" w:cs="Arial" w:eastAsia="Arial" w:hAnsi="Arial"/>
                <w:sz w:val="14"/>
                <w:szCs w:val="14"/>
                <w:b w:val="1"/>
                <w:bCs w:val="1"/>
                <w:color w:val="auto"/>
              </w:rPr>
              <w:t>Net Gains/(Losses) Recognized in Net Income</w:t>
            </w:r>
          </w:p>
        </w:tc>
        <w:tc>
          <w:tcPr>
            <w:tcW w:w="0" w:type="dxa"/>
            <w:vAlign w:val="bottom"/>
          </w:tcPr>
          <w:p>
            <w:pPr>
              <w:spacing w:after="0"/>
              <w:rPr>
                <w:sz w:val="1"/>
                <w:szCs w:val="1"/>
                <w:color w:val="auto"/>
              </w:rPr>
            </w:pPr>
          </w:p>
        </w:tc>
      </w:tr>
      <w:tr>
        <w:trPr>
          <w:trHeight w:val="135"/>
        </w:trPr>
        <w:tc>
          <w:tcPr>
            <w:tcW w:w="37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rPr>
              <w:t>Recognized in Other Comprehensive Income</w:t>
            </w:r>
          </w:p>
        </w:tc>
        <w:tc>
          <w:tcPr>
            <w:tcW w:w="120" w:type="dxa"/>
            <w:vAlign w:val="bottom"/>
          </w:tcPr>
          <w:p>
            <w:pPr>
              <w:spacing w:after="0"/>
              <w:rPr>
                <w:sz w:val="11"/>
                <w:szCs w:val="11"/>
                <w:color w:val="auto"/>
              </w:rPr>
            </w:pPr>
          </w:p>
        </w:tc>
        <w:tc>
          <w:tcPr>
            <w:tcW w:w="3860" w:type="dxa"/>
            <w:vAlign w:val="bottom"/>
            <w:gridSpan w:val="4"/>
          </w:tcPr>
          <w:p>
            <w:pPr>
              <w:ind w:left="40"/>
              <w:spacing w:after="0" w:line="135" w:lineRule="exact"/>
              <w:rPr>
                <w:sz w:val="20"/>
                <w:szCs w:val="20"/>
                <w:color w:val="auto"/>
              </w:rPr>
            </w:pPr>
            <w:r>
              <w:rPr>
                <w:rFonts w:ascii="Arial" w:cs="Arial" w:eastAsia="Arial" w:hAnsi="Arial"/>
                <w:sz w:val="14"/>
                <w:szCs w:val="14"/>
                <w:b w:val="1"/>
                <w:bCs w:val="1"/>
                <w:color w:val="auto"/>
              </w:rPr>
              <w:t>Recognized in Other Comprehensive Income (Amounts</w:t>
            </w:r>
          </w:p>
        </w:tc>
        <w:tc>
          <w:tcPr>
            <w:tcW w:w="100" w:type="dxa"/>
            <w:vAlign w:val="bottom"/>
          </w:tcPr>
          <w:p>
            <w:pPr>
              <w:spacing w:after="0"/>
              <w:rPr>
                <w:sz w:val="11"/>
                <w:szCs w:val="11"/>
                <w:color w:val="auto"/>
              </w:rPr>
            </w:pPr>
          </w:p>
        </w:tc>
        <w:tc>
          <w:tcPr>
            <w:tcW w:w="328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rPr>
              <w:t>(Amounts Excluded from Effectiveness</w:t>
            </w:r>
          </w:p>
        </w:tc>
        <w:tc>
          <w:tcPr>
            <w:tcW w:w="0" w:type="dxa"/>
            <w:vAlign w:val="bottom"/>
          </w:tcPr>
          <w:p>
            <w:pPr>
              <w:spacing w:after="0"/>
              <w:rPr>
                <w:sz w:val="1"/>
                <w:szCs w:val="1"/>
                <w:color w:val="auto"/>
              </w:rPr>
            </w:pPr>
          </w:p>
        </w:tc>
      </w:tr>
      <w:tr>
        <w:trPr>
          <w:trHeight w:val="201"/>
        </w:trPr>
        <w:tc>
          <w:tcPr>
            <w:tcW w:w="286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b w:val="1"/>
                <w:bCs w:val="1"/>
                <w:color w:val="auto"/>
              </w:rPr>
              <w:t>(Effective Portion)</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Excluded from Effectiveness Testing)</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rPr>
              <w:t>Testing)</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18"/>
                <w:szCs w:val="18"/>
                <w:color w:val="auto"/>
                <w:vertAlign w:val="superscript"/>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vMerge w:val="restart"/>
          </w:tcPr>
          <w:p>
            <w:pPr>
              <w:ind w:left="20"/>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18"/>
                <w:szCs w:val="18"/>
                <w:color w:val="auto"/>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ind w:left="20"/>
              <w:spacing w:after="0" w:line="146" w:lineRule="exact"/>
              <w:rPr>
                <w:sz w:val="20"/>
                <w:szCs w:val="20"/>
                <w:color w:val="auto"/>
              </w:rPr>
            </w:pPr>
            <w:r>
              <w:rPr>
                <w:rFonts w:ascii="Arial" w:cs="Arial" w:eastAsia="Arial" w:hAnsi="Arial"/>
                <w:sz w:val="14"/>
                <w:szCs w:val="14"/>
                <w:color w:val="auto"/>
              </w:rPr>
              <w:t>Other (income)</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860" w:type="dxa"/>
            <w:vAlign w:val="bottom"/>
            <w:vMerge w:val="continue"/>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expense</w:t>
            </w:r>
            <w:r>
              <w:rPr>
                <w:rFonts w:ascii="Arial" w:cs="Arial" w:eastAsia="Arial" w:hAnsi="Arial"/>
                <w:sz w:val="18"/>
                <w:szCs w:val="18"/>
                <w:color w:val="auto"/>
                <w:vertAlign w:val="superscript"/>
              </w:rPr>
              <w:t>(1)</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70"/>
        </w:trPr>
        <w:tc>
          <w:tcPr>
            <w:tcW w:w="2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860" w:type="dxa"/>
            <w:vAlign w:val="bottom"/>
          </w:tcPr>
          <w:p>
            <w:pPr>
              <w:jc w:val="center"/>
              <w:ind w:left="848"/>
              <w:spacing w:after="0" w:line="143" w:lineRule="exact"/>
              <w:rPr>
                <w:sz w:val="20"/>
                <w:szCs w:val="20"/>
                <w:color w:val="auto"/>
              </w:rPr>
            </w:pPr>
            <w:r>
              <w:rPr>
                <w:rFonts w:ascii="Arial" w:cs="Arial" w:eastAsia="Arial" w:hAnsi="Arial"/>
                <w:sz w:val="14"/>
                <w:szCs w:val="14"/>
                <w:b w:val="1"/>
                <w:bCs w:val="1"/>
                <w:color w:val="auto"/>
              </w:rPr>
              <w:t>Net Gains/(Losses)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jc w:val="center"/>
              <w:ind w:left="828"/>
              <w:spacing w:after="0" w:line="143" w:lineRule="exact"/>
              <w:rPr>
                <w:sz w:val="20"/>
                <w:szCs w:val="20"/>
                <w:color w:val="auto"/>
              </w:rPr>
            </w:pPr>
            <w:r>
              <w:rPr>
                <w:rFonts w:ascii="Arial" w:cs="Arial" w:eastAsia="Arial" w:hAnsi="Arial"/>
                <w:sz w:val="14"/>
                <w:szCs w:val="14"/>
                <w:b w:val="1"/>
                <w:bCs w:val="1"/>
                <w:color w:val="auto"/>
              </w:rPr>
              <w:t>Net Gains/(Losses)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5"/>
          </w:tcPr>
          <w:p>
            <w:pPr>
              <w:jc w:val="center"/>
              <w:spacing w:after="0" w:line="143" w:lineRule="exact"/>
              <w:rPr>
                <w:sz w:val="20"/>
                <w:szCs w:val="20"/>
                <w:color w:val="auto"/>
              </w:rPr>
            </w:pPr>
            <w:r>
              <w:rPr>
                <w:rFonts w:ascii="Arial" w:cs="Arial" w:eastAsia="Arial" w:hAnsi="Arial"/>
                <w:sz w:val="14"/>
                <w:szCs w:val="14"/>
                <w:b w:val="1"/>
                <w:bCs w:val="1"/>
                <w:color w:val="auto"/>
              </w:rPr>
              <w:t>Net Gains/(Losses) Recognized in Net Income</w:t>
            </w:r>
          </w:p>
        </w:tc>
        <w:tc>
          <w:tcPr>
            <w:tcW w:w="0" w:type="dxa"/>
            <w:vAlign w:val="bottom"/>
          </w:tcPr>
          <w:p>
            <w:pPr>
              <w:spacing w:after="0"/>
              <w:rPr>
                <w:sz w:val="1"/>
                <w:szCs w:val="1"/>
                <w:color w:val="auto"/>
              </w:rPr>
            </w:pPr>
          </w:p>
        </w:tc>
      </w:tr>
      <w:tr>
        <w:trPr>
          <w:trHeight w:val="135"/>
        </w:trPr>
        <w:tc>
          <w:tcPr>
            <w:tcW w:w="37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rPr>
              <w:t>Recognized in Other Comprehensive Income</w:t>
            </w:r>
          </w:p>
        </w:tc>
        <w:tc>
          <w:tcPr>
            <w:tcW w:w="120" w:type="dxa"/>
            <w:vAlign w:val="bottom"/>
          </w:tcPr>
          <w:p>
            <w:pPr>
              <w:spacing w:after="0"/>
              <w:rPr>
                <w:sz w:val="11"/>
                <w:szCs w:val="11"/>
                <w:color w:val="auto"/>
              </w:rPr>
            </w:pPr>
          </w:p>
        </w:tc>
        <w:tc>
          <w:tcPr>
            <w:tcW w:w="3860" w:type="dxa"/>
            <w:vAlign w:val="bottom"/>
            <w:gridSpan w:val="4"/>
          </w:tcPr>
          <w:p>
            <w:pPr>
              <w:ind w:left="40"/>
              <w:spacing w:after="0" w:line="135" w:lineRule="exact"/>
              <w:rPr>
                <w:sz w:val="20"/>
                <w:szCs w:val="20"/>
                <w:color w:val="auto"/>
              </w:rPr>
            </w:pPr>
            <w:r>
              <w:rPr>
                <w:rFonts w:ascii="Arial" w:cs="Arial" w:eastAsia="Arial" w:hAnsi="Arial"/>
                <w:sz w:val="14"/>
                <w:szCs w:val="14"/>
                <w:b w:val="1"/>
                <w:bCs w:val="1"/>
                <w:color w:val="auto"/>
              </w:rPr>
              <w:t>Recognized in Other Comprehensive Income (Amounts</w:t>
            </w:r>
          </w:p>
        </w:tc>
        <w:tc>
          <w:tcPr>
            <w:tcW w:w="100" w:type="dxa"/>
            <w:vAlign w:val="bottom"/>
          </w:tcPr>
          <w:p>
            <w:pPr>
              <w:spacing w:after="0"/>
              <w:rPr>
                <w:sz w:val="11"/>
                <w:szCs w:val="11"/>
                <w:color w:val="auto"/>
              </w:rPr>
            </w:pPr>
          </w:p>
        </w:tc>
        <w:tc>
          <w:tcPr>
            <w:tcW w:w="328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rPr>
              <w:t>(Amounts Excluded from Effectiveness</w:t>
            </w:r>
          </w:p>
        </w:tc>
        <w:tc>
          <w:tcPr>
            <w:tcW w:w="0" w:type="dxa"/>
            <w:vAlign w:val="bottom"/>
          </w:tcPr>
          <w:p>
            <w:pPr>
              <w:spacing w:after="0"/>
              <w:rPr>
                <w:sz w:val="1"/>
                <w:szCs w:val="1"/>
                <w:color w:val="auto"/>
              </w:rPr>
            </w:pPr>
          </w:p>
        </w:tc>
      </w:tr>
      <w:tr>
        <w:trPr>
          <w:trHeight w:val="201"/>
        </w:trPr>
        <w:tc>
          <w:tcPr>
            <w:tcW w:w="286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b w:val="1"/>
                <w:bCs w:val="1"/>
                <w:color w:val="auto"/>
              </w:rPr>
              <w:t>(Effective Portion)</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Excluded from Effectiveness Testing)</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rPr>
              <w:t>Testing)</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18"/>
                <w:szCs w:val="18"/>
                <w:color w:val="auto"/>
                <w:vertAlign w:val="superscript"/>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vMerge w:val="restart"/>
          </w:tcPr>
          <w:p>
            <w:pPr>
              <w:ind w:left="20"/>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18"/>
                <w:szCs w:val="18"/>
                <w:color w:val="auto"/>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ind w:left="20"/>
              <w:spacing w:after="0" w:line="146" w:lineRule="exact"/>
              <w:rPr>
                <w:sz w:val="20"/>
                <w:szCs w:val="20"/>
                <w:color w:val="auto"/>
              </w:rPr>
            </w:pPr>
            <w:r>
              <w:rPr>
                <w:rFonts w:ascii="Arial" w:cs="Arial" w:eastAsia="Arial" w:hAnsi="Arial"/>
                <w:sz w:val="14"/>
                <w:szCs w:val="14"/>
                <w:color w:val="auto"/>
              </w:rPr>
              <w:t>Other (income)</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860" w:type="dxa"/>
            <w:vAlign w:val="bottom"/>
            <w:vMerge w:val="continue"/>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expense</w:t>
            </w:r>
            <w:r>
              <w:rPr>
                <w:rFonts w:ascii="Arial" w:cs="Arial" w:eastAsia="Arial" w:hAnsi="Arial"/>
                <w:sz w:val="18"/>
                <w:szCs w:val="18"/>
                <w:color w:val="auto"/>
                <w:vertAlign w:val="superscript"/>
              </w:rPr>
              <w:t>(1)</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73025</wp:posOffset>
            </wp:positionV>
            <wp:extent cx="2425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98" w:lineRule="exact"/>
        <w:rPr>
          <w:sz w:val="20"/>
          <w:szCs w:val="20"/>
          <w:color w:val="auto"/>
        </w:rPr>
      </w:pPr>
    </w:p>
    <w:p>
      <w:pPr>
        <w:jc w:val="both"/>
        <w:ind w:right="100" w:firstLine="8"/>
        <w:spacing w:after="0" w:line="239" w:lineRule="auto"/>
        <w:tabs>
          <w:tab w:leader="none" w:pos="154"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3"/>
          <w:szCs w:val="13"/>
          <w:i w:val="1"/>
          <w:iCs w:val="1"/>
          <w:color w:val="auto"/>
        </w:rPr>
        <w:t>Note 2, Dispositions,</w:t>
      </w:r>
      <w:r>
        <w:rPr>
          <w:rFonts w:ascii="Arial" w:cs="Arial" w:eastAsia="Arial" w:hAnsi="Arial"/>
          <w:sz w:val="13"/>
          <w:szCs w:val="13"/>
          <w:color w:val="auto"/>
        </w:rPr>
        <w:t xml:space="preserve"> to these condensed consolidated financial statements.</w:t>
      </w:r>
    </w:p>
    <w:p>
      <w:pPr>
        <w:spacing w:after="0" w:line="88"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these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Foreign Currency Forward Contracts - Other Derivative Instruments</w:t>
      </w:r>
    </w:p>
    <w:p>
      <w:pPr>
        <w:spacing w:after="0" w:line="13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6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aggregate notional amount of these outstanding foreign currency forward contracts was $1,233.5 million and $1,238.8 million as of June 30, 2023 and December 31, 2022, respectively. Net losses of $7.2 million and $5.4 million related to these contracts were recorded as a component of other (income) expense, net for the three and six months ended June 30, 2023, respectively, compared to net losses of $37.1 million and $49.3 million, respectively, in the prior year comparative periods.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Summary of Derivative Instruments</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condensed consolidated balance sheets. The amounts in the table below would not be substantially different if the derivative assets and liabilities were offset.</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following table summarizes the fair value and presentation in our condensed consolidated balance sheets of our outstanding derivative instruments, including those designated as hedging instruments: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shd w:val="clear" w:color="auto" w:fill="DDDDDD"/>
          </w:tcPr>
          <w:p>
            <w:pPr>
              <w:spacing w:after="0"/>
              <w:rPr>
                <w:sz w:val="17"/>
                <w:szCs w:val="17"/>
                <w:color w:val="auto"/>
              </w:rPr>
            </w:pPr>
          </w:p>
        </w:tc>
        <w:tc>
          <w:tcPr>
            <w:tcW w:w="1920" w:type="dxa"/>
            <w:vAlign w:val="bottom"/>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As of June 30, 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ind w:right="168"/>
              <w:spacing w:after="0"/>
              <w:rPr>
                <w:sz w:val="20"/>
                <w:szCs w:val="20"/>
                <w:color w:val="auto"/>
              </w:rPr>
            </w:pPr>
            <w:r>
              <w:rPr>
                <w:rFonts w:ascii="Arial" w:cs="Arial" w:eastAsia="Arial" w:hAnsi="Arial"/>
                <w:sz w:val="14"/>
                <w:szCs w:val="14"/>
                <w:b w:val="1"/>
                <w:bCs w:val="1"/>
                <w:color w:val="auto"/>
              </w:rPr>
              <w:t>As of December 31, 2022</w:t>
            </w:r>
          </w:p>
        </w:tc>
      </w:tr>
      <w:tr>
        <w:trPr>
          <w:trHeight w:val="190"/>
        </w:trPr>
        <w:tc>
          <w:tcPr>
            <w:tcW w:w="328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Cash Flow Hedging Instruments:</w:t>
            </w:r>
          </w:p>
        </w:tc>
        <w:tc>
          <w:tcPr>
            <w:tcW w:w="120" w:type="dxa"/>
            <w:vAlign w:val="bottom"/>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shd w:val="clear" w:color="auto" w:fill="DDDDDD"/>
          </w:tcPr>
          <w:p>
            <w:pPr>
              <w:spacing w:after="0"/>
              <w:rPr>
                <w:sz w:val="16"/>
                <w:szCs w:val="16"/>
                <w:color w:val="auto"/>
              </w:rPr>
            </w:pPr>
          </w:p>
        </w:tc>
        <w:tc>
          <w:tcPr>
            <w:tcW w:w="192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r>
      <w:tr>
        <w:trPr>
          <w:trHeight w:val="195"/>
        </w:trPr>
        <w:tc>
          <w:tcPr>
            <w:tcW w:w="3280" w:type="dxa"/>
            <w:vAlign w:val="bottom"/>
          </w:tcPr>
          <w:p>
            <w:pPr>
              <w:ind w:left="140"/>
              <w:spacing w:after="0"/>
              <w:rPr>
                <w:sz w:val="20"/>
                <w:szCs w:val="20"/>
                <w:color w:val="auto"/>
              </w:rPr>
            </w:pPr>
            <w:r>
              <w:rPr>
                <w:rFonts w:ascii="Arial" w:cs="Arial" w:eastAsia="Arial" w:hAnsi="Arial"/>
                <w:sz w:val="14"/>
                <w:szCs w:val="14"/>
                <w:color w:val="auto"/>
              </w:rPr>
              <w:t>Asset derivative instruments</w:t>
            </w: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7.8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191"/>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Investments and other assets</w:t>
            </w:r>
          </w:p>
        </w:tc>
        <w:tc>
          <w:tcPr>
            <w:tcW w:w="240" w:type="dxa"/>
            <w:vAlign w:val="bottom"/>
            <w:shd w:val="clear" w:color="auto" w:fill="DBDBDB"/>
          </w:tcPr>
          <w:p>
            <w:pPr>
              <w:spacing w:after="0"/>
              <w:rPr>
                <w:sz w:val="16"/>
                <w:szCs w:val="16"/>
                <w:color w:val="auto"/>
              </w:rPr>
            </w:pPr>
          </w:p>
        </w:tc>
        <w:tc>
          <w:tcPr>
            <w:tcW w:w="1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3280" w:type="dxa"/>
            <w:vAlign w:val="bottom"/>
          </w:tcPr>
          <w:p>
            <w:pPr>
              <w:ind w:left="140"/>
              <w:spacing w:after="0"/>
              <w:rPr>
                <w:sz w:val="20"/>
                <w:szCs w:val="20"/>
                <w:color w:val="auto"/>
              </w:rPr>
            </w:pPr>
            <w:r>
              <w:rPr>
                <w:rFonts w:ascii="Arial" w:cs="Arial" w:eastAsia="Arial" w:hAnsi="Arial"/>
                <w:sz w:val="14"/>
                <w:szCs w:val="14"/>
                <w:color w:val="auto"/>
              </w:rPr>
              <w:t>Liability derivative instruments</w:t>
            </w: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Accrued expense and other</w:t>
            </w:r>
          </w:p>
        </w:tc>
        <w:tc>
          <w:tcPr>
            <w:tcW w:w="240" w:type="dxa"/>
            <w:vAlign w:val="bottom"/>
            <w:shd w:val="clear" w:color="auto" w:fill="DBDBDB"/>
          </w:tcPr>
          <w:p>
            <w:pPr>
              <w:spacing w:after="0"/>
              <w:rPr>
                <w:sz w:val="17"/>
                <w:szCs w:val="17"/>
                <w:color w:val="auto"/>
              </w:rPr>
            </w:pPr>
          </w:p>
        </w:tc>
        <w:tc>
          <w:tcPr>
            <w:tcW w:w="1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44"/>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Other Derivative Instruments:</w:t>
            </w:r>
          </w:p>
        </w:tc>
        <w:tc>
          <w:tcPr>
            <w:tcW w:w="1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92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03"/>
        </w:trPr>
        <w:tc>
          <w:tcPr>
            <w:tcW w:w="3280" w:type="dxa"/>
            <w:vAlign w:val="bottom"/>
          </w:tcPr>
          <w:p>
            <w:pPr>
              <w:ind w:left="140"/>
              <w:spacing w:after="0"/>
              <w:rPr>
                <w:sz w:val="20"/>
                <w:szCs w:val="20"/>
                <w:color w:val="auto"/>
              </w:rPr>
            </w:pPr>
            <w:r>
              <w:rPr>
                <w:rFonts w:ascii="Arial" w:cs="Arial" w:eastAsia="Arial" w:hAnsi="Arial"/>
                <w:sz w:val="14"/>
                <w:szCs w:val="14"/>
                <w:color w:val="auto"/>
              </w:rPr>
              <w:t>Asset derivative instruments</w:t>
            </w: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DBDBDB"/>
          </w:tcPr>
          <w:p>
            <w:pPr>
              <w:spacing w:after="0"/>
              <w:rPr>
                <w:sz w:val="17"/>
                <w:szCs w:val="17"/>
                <w:color w:val="auto"/>
              </w:rPr>
            </w:pPr>
          </w:p>
        </w:tc>
        <w:tc>
          <w:tcPr>
            <w:tcW w:w="1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201"/>
        </w:trPr>
        <w:tc>
          <w:tcPr>
            <w:tcW w:w="3280" w:type="dxa"/>
            <w:vAlign w:val="bottom"/>
          </w:tcPr>
          <w:p>
            <w:pPr>
              <w:ind w:left="140"/>
              <w:spacing w:after="0"/>
              <w:rPr>
                <w:sz w:val="20"/>
                <w:szCs w:val="20"/>
                <w:color w:val="auto"/>
              </w:rPr>
            </w:pPr>
            <w:r>
              <w:rPr>
                <w:rFonts w:ascii="Arial" w:cs="Arial" w:eastAsia="Arial" w:hAnsi="Arial"/>
                <w:sz w:val="14"/>
                <w:szCs w:val="14"/>
                <w:color w:val="auto"/>
              </w:rPr>
              <w:t>Liability derivative instruments</w:t>
            </w: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Accrued expense and other</w:t>
            </w:r>
          </w:p>
        </w:tc>
        <w:tc>
          <w:tcPr>
            <w:tcW w:w="240" w:type="dxa"/>
            <w:vAlign w:val="bottom"/>
            <w:shd w:val="clear" w:color="auto" w:fill="DBDBDB"/>
          </w:tcPr>
          <w:p>
            <w:pPr>
              <w:spacing w:after="0"/>
              <w:rPr>
                <w:sz w:val="17"/>
                <w:szCs w:val="17"/>
                <w:color w:val="auto"/>
              </w:rPr>
            </w:pPr>
          </w:p>
        </w:tc>
        <w:tc>
          <w:tcPr>
            <w:tcW w:w="1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823710" cy="342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10:</w:t>
      </w:r>
      <w:r>
        <w:rPr>
          <w:sz w:val="20"/>
          <w:szCs w:val="20"/>
          <w:color w:val="auto"/>
        </w:rPr>
        <w:tab/>
      </w:r>
      <w:r>
        <w:rPr>
          <w:rFonts w:ascii="Arial" w:cs="Arial" w:eastAsia="Arial" w:hAnsi="Arial"/>
          <w:sz w:val="21"/>
          <w:szCs w:val="21"/>
          <w:b w:val="1"/>
          <w:bCs w:val="1"/>
          <w:color w:val="0070C0"/>
        </w:rPr>
        <w:t>Property, Plant and Equipment</w:t>
      </w:r>
    </w:p>
    <w:p>
      <w:pPr>
        <w:spacing w:after="0" w:line="22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Property, plant and equipment are recorded at historical cost, net of accumulated depreciation. Accumulated depreciation on property, plant and equipment was $2,282.1 million and $2,165.7 million as of June 30, 2023 and December 31, 2022, respectively. For the three and six months ended June 30, 2023, depreciation expense totaled $64.5 million and $126.6 million, respectively, compared to $67.2 million and $143.5 million, respectively, in the prior year comparative periods.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Solothurn, Switzerland Manufacturing Facility</w:t>
      </w:r>
    </w:p>
    <w:p>
      <w:pPr>
        <w:spacing w:after="0" w:line="13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Upon completion, this facility will include 393,000 square feet related to a large-scale biologics manufacturing facility, 290,000 square feet of warehouse, utilities and support space and 51,000 square feet of administrative space. As of June 30, 2023 and December 31, 2022, we had approximately $732.2 million and $ 711.1 million, respectively, capitalized as construction in progress related to this facility. In the second quarter of 2021 a portion of the facility (the first manufacturing suite) received a GMP multi-product license from the SWISSMEDIC and was placed into service. Solothurn has been approved for the manufacture of ADUHELM and LEQEMBI by the FDA. We estimate the second manufacturing suite will be operational by the end of 2023.</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823710"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11:</w:t>
      </w:r>
      <w:r>
        <w:rPr>
          <w:sz w:val="20"/>
          <w:szCs w:val="20"/>
          <w:color w:val="auto"/>
        </w:rPr>
        <w:tab/>
      </w:r>
      <w:r>
        <w:rPr>
          <w:rFonts w:ascii="Arial" w:cs="Arial" w:eastAsia="Arial" w:hAnsi="Arial"/>
          <w:sz w:val="21"/>
          <w:szCs w:val="21"/>
          <w:b w:val="1"/>
          <w:bCs w:val="1"/>
          <w:color w:val="0070C0"/>
        </w:rPr>
        <w:t>Equity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 Repurchases</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2.4 million shares of our common stock at a cost of approximately $500.0 million during the three and six months ended June 30, 2022. There were no share repurchases of our common stock during the three and six months ended June 30, 2023. Approximately $2.1 billion remained available under our 2020 Share Repurchase Program as of June 30, 2023.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Accumulated Other Comprehensive Income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AOCI, net of tax by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31115</wp:posOffset>
            </wp:positionV>
            <wp:extent cx="479234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92345" cy="12890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720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2022</w:t>
      </w:r>
    </w:p>
    <w:p>
      <w:pPr>
        <w:spacing w:after="0" w:line="42" w:lineRule="exact"/>
        <w:rPr>
          <w:sz w:val="20"/>
          <w:szCs w:val="20"/>
          <w:color w:val="auto"/>
        </w:rPr>
      </w:pPr>
    </w:p>
    <w:p>
      <w:pPr>
        <w:ind w:left="220" w:right="240"/>
        <w:spacing w:after="0" w:line="253" w:lineRule="auto"/>
        <w:rPr>
          <w:sz w:val="20"/>
          <w:szCs w:val="20"/>
          <w:color w:val="auto"/>
        </w:rPr>
      </w:pPr>
      <w:r>
        <w:rPr>
          <w:rFonts w:ascii="Arial" w:cs="Arial" w:eastAsia="Arial" w:hAnsi="Arial"/>
          <w:sz w:val="14"/>
          <w:szCs w:val="14"/>
          <w:color w:val="auto"/>
        </w:rPr>
        <w:t>Other comprehensive income (loss) before reclassifications</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42" w:lineRule="exact"/>
        <w:rPr>
          <w:sz w:val="20"/>
          <w:szCs w:val="20"/>
          <w:color w:val="auto"/>
        </w:rPr>
      </w:pPr>
    </w:p>
    <w:p>
      <w:pPr>
        <w:ind w:left="140"/>
        <w:spacing w:after="0" w:line="236" w:lineRule="auto"/>
        <w:rPr>
          <w:sz w:val="20"/>
          <w:szCs w:val="20"/>
          <w:color w:val="auto"/>
        </w:rPr>
      </w:pPr>
      <w:r>
        <w:rPr>
          <w:rFonts w:ascii="Arial" w:cs="Arial" w:eastAsia="Arial" w:hAnsi="Arial"/>
          <w:sz w:val="14"/>
          <w:szCs w:val="14"/>
          <w:color w:val="auto"/>
        </w:rPr>
        <w:t>Net current period other comprehensive income (loss)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June 30, 2023</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0070C0"/>
        </w:rPr>
        <w:t>June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Unrealized Gains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28"/>
              <w:spacing w:after="0" w:line="143"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(Losses) 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28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(Losses) 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(Losses) on Cash</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Pension Benefit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Securities Available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Flow Hedges, Net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Obligation, Net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for Sale, Net of Tax</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(15.7)</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center"/>
              <w:ind w:left="848"/>
              <w:spacing w:after="0"/>
              <w:rPr>
                <w:sz w:val="20"/>
                <w:szCs w:val="20"/>
                <w:color w:val="auto"/>
              </w:rPr>
            </w:pPr>
            <w:r>
              <w:rPr>
                <w:rFonts w:ascii="Arial" w:cs="Arial" w:eastAsia="Arial" w:hAnsi="Arial"/>
                <w:sz w:val="14"/>
                <w:szCs w:val="14"/>
                <w:color w:val="257ACB"/>
              </w:rPr>
              <w:t>15.1</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ACB"/>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(163.2)</w:t>
            </w:r>
          </w:p>
        </w:tc>
        <w:tc>
          <w:tcPr>
            <w:tcW w:w="440" w:type="dxa"/>
            <w:vAlign w:val="bottom"/>
            <w:gridSpan w:val="2"/>
            <w:shd w:val="clear" w:color="auto" w:fill="DBDBDB"/>
          </w:tcPr>
          <w:p>
            <w:pPr>
              <w:jc w:val="right"/>
              <w:ind w:right="220"/>
              <w:spacing w:after="0"/>
              <w:rPr>
                <w:sz w:val="20"/>
                <w:szCs w:val="20"/>
                <w:color w:val="auto"/>
              </w:rPr>
            </w:pPr>
            <w:r>
              <w:rPr>
                <w:rFonts w:ascii="Arial" w:cs="Arial" w:eastAsia="Arial" w:hAnsi="Arial"/>
                <w:sz w:val="14"/>
                <w:szCs w:val="14"/>
                <w:color w:val="257ACB"/>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(164.9)</w:t>
            </w:r>
          </w:p>
        </w:tc>
        <w:tc>
          <w:tcPr>
            <w:tcW w:w="0" w:type="dxa"/>
            <w:vAlign w:val="bottom"/>
          </w:tcPr>
          <w:p>
            <w:pPr>
              <w:spacing w:after="0"/>
              <w:rPr>
                <w:sz w:val="1"/>
                <w:szCs w:val="1"/>
                <w:color w:val="auto"/>
              </w:rPr>
            </w:pPr>
          </w:p>
        </w:tc>
      </w:tr>
      <w:tr>
        <w:trPr>
          <w:trHeight w:val="349"/>
        </w:trPr>
        <w:tc>
          <w:tcPr>
            <w:tcW w:w="100" w:type="dxa"/>
            <w:vAlign w:val="bottom"/>
            <w:shd w:val="clear" w:color="auto" w:fill="DBDBDB"/>
          </w:tcPr>
          <w:p>
            <w:pPr>
              <w:spacing w:after="0"/>
              <w:rPr>
                <w:sz w:val="24"/>
                <w:szCs w:val="2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320" w:type="dxa"/>
            <w:vAlign w:val="bottom"/>
            <w:shd w:val="clear" w:color="auto" w:fill="DBDBDB"/>
          </w:tcPr>
          <w:p>
            <w:pPr>
              <w:jc w:val="center"/>
              <w:ind w:left="828"/>
              <w:spacing w:after="0"/>
              <w:rPr>
                <w:sz w:val="20"/>
                <w:szCs w:val="20"/>
                <w:color w:val="auto"/>
              </w:rPr>
            </w:pPr>
            <w:r>
              <w:rPr>
                <w:rFonts w:ascii="Arial" w:cs="Arial" w:eastAsia="Arial" w:hAnsi="Arial"/>
                <w:sz w:val="14"/>
                <w:szCs w:val="14"/>
                <w:color w:val="257ACB"/>
              </w:rPr>
              <w:t>(10.1)</w:t>
            </w:r>
          </w:p>
        </w:tc>
        <w:tc>
          <w:tcPr>
            <w:tcW w:w="12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2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18.7</w:t>
            </w:r>
          </w:p>
        </w:tc>
        <w:tc>
          <w:tcPr>
            <w:tcW w:w="1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9.1</w:t>
            </w:r>
          </w:p>
        </w:tc>
        <w:tc>
          <w:tcPr>
            <w:tcW w:w="0" w:type="dxa"/>
            <w:vAlign w:val="bottom"/>
          </w:tcPr>
          <w:p>
            <w:pPr>
              <w:spacing w:after="0"/>
              <w:rPr>
                <w:sz w:val="1"/>
                <w:szCs w:val="1"/>
                <w:color w:val="auto"/>
              </w:rPr>
            </w:pPr>
          </w:p>
        </w:tc>
      </w:tr>
      <w:tr>
        <w:trPr>
          <w:trHeight w:val="197"/>
        </w:trPr>
        <w:tc>
          <w:tcPr>
            <w:tcW w:w="1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center"/>
              <w:ind w:left="828"/>
              <w:spacing w:after="0"/>
              <w:rPr>
                <w:sz w:val="20"/>
                <w:szCs w:val="20"/>
                <w:color w:val="auto"/>
              </w:rPr>
            </w:pPr>
            <w:r>
              <w:rPr>
                <w:rFonts w:ascii="Arial" w:cs="Arial" w:eastAsia="Arial" w:hAnsi="Arial"/>
                <w:sz w:val="14"/>
                <w:szCs w:val="14"/>
                <w:color w:val="257ACB"/>
              </w:rPr>
              <w:t>(18.4)</w:t>
            </w: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(17.0)</w:t>
            </w:r>
          </w:p>
        </w:tc>
        <w:tc>
          <w:tcPr>
            <w:tcW w:w="0" w:type="dxa"/>
            <w:vAlign w:val="bottom"/>
          </w:tcPr>
          <w:p>
            <w:pPr>
              <w:spacing w:after="0"/>
              <w:rPr>
                <w:sz w:val="1"/>
                <w:szCs w:val="1"/>
                <w:color w:val="auto"/>
              </w:rPr>
            </w:pPr>
          </w:p>
        </w:tc>
      </w:tr>
      <w:tr>
        <w:trPr>
          <w:trHeight w:val="324"/>
        </w:trPr>
        <w:tc>
          <w:tcPr>
            <w:tcW w:w="100" w:type="dxa"/>
            <w:vAlign w:val="bottom"/>
            <w:tcBorders>
              <w:bottom w:val="single" w:sz="8" w:color="auto"/>
            </w:tcBorders>
            <w:shd w:val="clear" w:color="auto" w:fill="DBDBDB"/>
          </w:tcPr>
          <w:p>
            <w:pPr>
              <w:spacing w:after="0"/>
              <w:rPr>
                <w:sz w:val="24"/>
                <w:szCs w:val="24"/>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40" w:type="dxa"/>
            <w:vAlign w:val="bottom"/>
            <w:tcBorders>
              <w:bottom w:val="single" w:sz="8" w:color="auto"/>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auto"/>
            </w:tcBorders>
            <w:shd w:val="clear" w:color="auto" w:fill="DBDBDB"/>
          </w:tcPr>
          <w:p>
            <w:pPr>
              <w:spacing w:after="0"/>
              <w:rPr>
                <w:sz w:val="24"/>
                <w:szCs w:val="24"/>
                <w:color w:val="auto"/>
              </w:rPr>
            </w:pPr>
          </w:p>
        </w:tc>
        <w:tc>
          <w:tcPr>
            <w:tcW w:w="1320" w:type="dxa"/>
            <w:vAlign w:val="bottom"/>
            <w:tcBorders>
              <w:bottom w:val="single" w:sz="8" w:color="auto"/>
            </w:tcBorders>
            <w:shd w:val="clear" w:color="auto" w:fill="DBDBDB"/>
          </w:tcPr>
          <w:p>
            <w:pPr>
              <w:jc w:val="center"/>
              <w:ind w:left="828"/>
              <w:spacing w:after="0"/>
              <w:rPr>
                <w:sz w:val="20"/>
                <w:szCs w:val="20"/>
                <w:color w:val="auto"/>
              </w:rPr>
            </w:pPr>
            <w:r>
              <w:rPr>
                <w:rFonts w:ascii="Arial" w:cs="Arial" w:eastAsia="Arial" w:hAnsi="Arial"/>
                <w:sz w:val="14"/>
                <w:szCs w:val="14"/>
                <w:color w:val="257ACB"/>
              </w:rPr>
              <w:t>(28.5)</w:t>
            </w:r>
          </w:p>
        </w:tc>
        <w:tc>
          <w:tcPr>
            <w:tcW w:w="12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auto"/>
            </w:tcBorders>
            <w:shd w:val="clear" w:color="auto" w:fill="DBDBDB"/>
          </w:tcPr>
          <w:p>
            <w:pPr>
              <w:spacing w:after="0"/>
              <w:rPr>
                <w:sz w:val="24"/>
                <w:szCs w:val="24"/>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20" w:type="dxa"/>
            <w:vAlign w:val="bottom"/>
            <w:tcBorders>
              <w:bottom w:val="single" w:sz="8" w:color="DBDBDB"/>
            </w:tcBorders>
            <w:shd w:val="clear" w:color="auto" w:fill="DBDBDB"/>
          </w:tcPr>
          <w:p>
            <w:pPr>
              <w:spacing w:after="0"/>
              <w:rPr>
                <w:sz w:val="24"/>
                <w:szCs w:val="24"/>
                <w:color w:val="auto"/>
              </w:rPr>
            </w:pPr>
          </w:p>
        </w:tc>
        <w:tc>
          <w:tcPr>
            <w:tcW w:w="180" w:type="dxa"/>
            <w:vAlign w:val="bottom"/>
            <w:tcBorders>
              <w:bottom w:val="single" w:sz="8" w:color="auto"/>
            </w:tcBorders>
            <w:shd w:val="clear" w:color="auto" w:fill="DBDBDB"/>
          </w:tcPr>
          <w:p>
            <w:pPr>
              <w:spacing w:after="0"/>
              <w:rPr>
                <w:sz w:val="24"/>
                <w:szCs w:val="24"/>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18.7</w:t>
            </w:r>
          </w:p>
        </w:tc>
        <w:tc>
          <w:tcPr>
            <w:tcW w:w="120" w:type="dxa"/>
            <w:vAlign w:val="bottom"/>
            <w:tcBorders>
              <w:bottom w:val="single" w:sz="8" w:color="DBDBDB"/>
            </w:tcBorders>
            <w:shd w:val="clear" w:color="auto" w:fill="DBDBDB"/>
          </w:tcPr>
          <w:p>
            <w:pPr>
              <w:spacing w:after="0"/>
              <w:rPr>
                <w:sz w:val="24"/>
                <w:szCs w:val="24"/>
                <w:color w:val="auto"/>
              </w:rPr>
            </w:pPr>
          </w:p>
        </w:tc>
        <w:tc>
          <w:tcPr>
            <w:tcW w:w="320" w:type="dxa"/>
            <w:vAlign w:val="bottom"/>
            <w:tcBorders>
              <w:bottom w:val="single" w:sz="8" w:color="auto"/>
            </w:tcBorders>
            <w:shd w:val="clear" w:color="auto" w:fill="DBDBDB"/>
          </w:tcPr>
          <w:p>
            <w:pPr>
              <w:spacing w:after="0"/>
              <w:rPr>
                <w:sz w:val="24"/>
                <w:szCs w:val="24"/>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(7.9)</w:t>
            </w:r>
          </w:p>
        </w:tc>
        <w:tc>
          <w:tcPr>
            <w:tcW w:w="0" w:type="dxa"/>
            <w:vAlign w:val="bottom"/>
          </w:tcPr>
          <w:p>
            <w:pPr>
              <w:spacing w:after="0"/>
              <w:rPr>
                <w:sz w:val="1"/>
                <w:szCs w:val="1"/>
                <w:color w:val="auto"/>
              </w:rPr>
            </w:pPr>
          </w:p>
        </w:tc>
      </w:tr>
      <w:tr>
        <w:trPr>
          <w:trHeight w:val="210"/>
        </w:trPr>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(14.5)</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center"/>
              <w:ind w:left="828"/>
              <w:spacing w:after="0"/>
              <w:rPr>
                <w:sz w:val="20"/>
                <w:szCs w:val="20"/>
                <w:color w:val="auto"/>
              </w:rPr>
            </w:pPr>
            <w:r>
              <w:rPr>
                <w:rFonts w:ascii="Arial" w:cs="Arial" w:eastAsia="Arial" w:hAnsi="Arial"/>
                <w:sz w:val="14"/>
                <w:szCs w:val="14"/>
                <w:color w:val="257ACB"/>
              </w:rPr>
              <w:t>(13.4)</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ACB"/>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(144.5)</w:t>
            </w:r>
          </w:p>
        </w:tc>
        <w:tc>
          <w:tcPr>
            <w:tcW w:w="440" w:type="dxa"/>
            <w:vAlign w:val="bottom"/>
            <w:gridSpan w:val="2"/>
            <w:shd w:val="clear" w:color="auto" w:fill="DBDBDB"/>
          </w:tcPr>
          <w:p>
            <w:pPr>
              <w:jc w:val="right"/>
              <w:ind w:right="220"/>
              <w:spacing w:after="0"/>
              <w:rPr>
                <w:sz w:val="20"/>
                <w:szCs w:val="20"/>
                <w:color w:val="auto"/>
              </w:rPr>
            </w:pPr>
            <w:r>
              <w:rPr>
                <w:rFonts w:ascii="Arial" w:cs="Arial" w:eastAsia="Arial" w:hAnsi="Arial"/>
                <w:sz w:val="14"/>
                <w:szCs w:val="14"/>
                <w:color w:val="257ACB"/>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(172.8)</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180" w:space="520"/>
            <w:col w:w="75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2288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2021</w:t>
      </w:r>
    </w:p>
    <w:p>
      <w:pPr>
        <w:spacing w:after="0" w:line="42" w:lineRule="exact"/>
        <w:rPr>
          <w:sz w:val="20"/>
          <w:szCs w:val="20"/>
          <w:color w:val="auto"/>
        </w:rPr>
      </w:pPr>
    </w:p>
    <w:p>
      <w:pPr>
        <w:ind w:left="240" w:right="240"/>
        <w:spacing w:after="0" w:line="236" w:lineRule="auto"/>
        <w:rPr>
          <w:sz w:val="20"/>
          <w:szCs w:val="20"/>
          <w:color w:val="auto"/>
        </w:rPr>
      </w:pPr>
      <w:r>
        <w:rPr>
          <w:rFonts w:ascii="Arial" w:cs="Arial" w:eastAsia="Arial" w:hAnsi="Arial"/>
          <w:sz w:val="14"/>
          <w:szCs w:val="14"/>
          <w:color w:val="auto"/>
        </w:rPr>
        <w:t>Other comprehensive income (loss) before reclassifications</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Amounts reclassified from AOCI</w:t>
      </w:r>
    </w:p>
    <w:p>
      <w:pPr>
        <w:spacing w:after="0" w:line="42" w:lineRule="exact"/>
        <w:rPr>
          <w:sz w:val="20"/>
          <w:szCs w:val="20"/>
          <w:color w:val="auto"/>
        </w:rPr>
      </w:pPr>
    </w:p>
    <w:p>
      <w:pPr>
        <w:ind w:left="160"/>
        <w:spacing w:after="0" w:line="253" w:lineRule="auto"/>
        <w:rPr>
          <w:sz w:val="20"/>
          <w:szCs w:val="20"/>
          <w:color w:val="auto"/>
        </w:rPr>
      </w:pPr>
      <w:r>
        <w:rPr>
          <w:rFonts w:ascii="Arial" w:cs="Arial" w:eastAsia="Arial" w:hAnsi="Arial"/>
          <w:sz w:val="14"/>
          <w:szCs w:val="14"/>
          <w:color w:val="auto"/>
        </w:rPr>
        <w:t>Net current period other comprehensive income (loss)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209550</wp:posOffset>
            </wp:positionV>
            <wp:extent cx="2425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3340"/>
        <w:spacing w:after="0"/>
        <w:rPr>
          <w:sz w:val="20"/>
          <w:szCs w:val="20"/>
          <w:color w:val="auto"/>
        </w:rPr>
      </w:pPr>
      <w:r>
        <w:rPr>
          <w:rFonts w:ascii="Arial" w:cs="Arial" w:eastAsia="Arial" w:hAnsi="Arial"/>
          <w:sz w:val="14"/>
          <w:szCs w:val="14"/>
          <w:b w:val="1"/>
          <w:bCs w:val="1"/>
          <w:color w:val="auto"/>
        </w:rPr>
        <w:t>June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48"/>
              <w:spacing w:after="0" w:line="155" w:lineRule="exact"/>
              <w:rPr>
                <w:sz w:val="20"/>
                <w:szCs w:val="20"/>
                <w:color w:val="auto"/>
              </w:rPr>
            </w:pPr>
            <w:r>
              <w:rPr>
                <w:rFonts w:ascii="Arial" w:cs="Arial" w:eastAsia="Arial" w:hAnsi="Arial"/>
                <w:sz w:val="14"/>
                <w:szCs w:val="14"/>
                <w:b w:val="1"/>
                <w:bCs w:val="1"/>
                <w:color w:val="auto"/>
              </w:rPr>
              <w:t>Unrealized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rPr>
              <w:t>Unrealized</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Gains (Losses)</w:t>
            </w: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Unrealized Gains</w:t>
            </w: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Gains (Losses)</w:t>
            </w:r>
          </w:p>
        </w:tc>
        <w:tc>
          <w:tcPr>
            <w:tcW w:w="100" w:type="dxa"/>
            <w:vAlign w:val="bottom"/>
          </w:tcPr>
          <w:p>
            <w:pPr>
              <w:spacing w:after="0"/>
              <w:rPr>
                <w:sz w:val="11"/>
                <w:szCs w:val="11"/>
                <w:color w:val="auto"/>
              </w:rPr>
            </w:pPr>
          </w:p>
        </w:tc>
        <w:tc>
          <w:tcPr>
            <w:tcW w:w="11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Gains (Losses)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on 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(Losses) 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06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on 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on Cash Flow</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8"/>
              <w:spacing w:after="0" w:line="148" w:lineRule="exact"/>
              <w:rPr>
                <w:sz w:val="20"/>
                <w:szCs w:val="20"/>
                <w:color w:val="auto"/>
              </w:rPr>
            </w:pPr>
            <w:r>
              <w:rPr>
                <w:rFonts w:ascii="Arial" w:cs="Arial" w:eastAsia="Arial" w:hAnsi="Arial"/>
                <w:sz w:val="14"/>
                <w:szCs w:val="14"/>
                <w:b w:val="1"/>
                <w:bCs w:val="1"/>
                <w:color w:val="auto"/>
              </w:rPr>
              <w:t>Pension Benefit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Available for</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Hedges, Net of</w:t>
            </w:r>
          </w:p>
        </w:tc>
        <w:tc>
          <w:tcPr>
            <w:tcW w:w="1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Hedges, Net of</w:t>
            </w:r>
          </w:p>
        </w:tc>
        <w:tc>
          <w:tcPr>
            <w:tcW w:w="1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Obligation, Net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Sale, Net of Tax</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8"/>
              <w:spacing w:after="0" w:line="189" w:lineRule="exact"/>
              <w:rPr>
                <w:sz w:val="20"/>
                <w:szCs w:val="20"/>
                <w:color w:val="auto"/>
              </w:rPr>
            </w:pPr>
            <w:r>
              <w:rPr>
                <w:rFonts w:ascii="Arial" w:cs="Arial" w:eastAsia="Arial" w:hAnsi="Arial"/>
                <w:sz w:val="14"/>
                <w:szCs w:val="14"/>
                <w:b w:val="1"/>
                <w:bCs w:val="1"/>
                <w:color w:val="auto"/>
                <w:w w:val="87"/>
              </w:rPr>
              <w:t>Tax</w:t>
            </w:r>
            <w:r>
              <w:rPr>
                <w:rFonts w:ascii="Arial" w:cs="Arial" w:eastAsia="Arial" w:hAnsi="Arial"/>
                <w:sz w:val="18"/>
                <w:szCs w:val="18"/>
                <w:b w:val="1"/>
                <w:bCs w:val="1"/>
                <w:color w:val="auto"/>
                <w:w w:val="87"/>
                <w:vertAlign w:val="superscript"/>
              </w:rPr>
              <w:t>(1)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53.8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25.5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(44.8)</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(139.0)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08"/>
        </w:trPr>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318"/>
        </w:trPr>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126.9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(175.0)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00" w:space="440"/>
            <w:col w:w="7600"/>
          </w:cols>
          <w:pgMar w:left="320" w:top="126" w:right="339" w:bottom="1440" w:gutter="0" w:footer="0" w:header="0"/>
          <w:type w:val="continuous"/>
        </w:sectPr>
      </w:pPr>
    </w:p>
    <w:p>
      <w:pPr>
        <w:spacing w:after="0" w:line="173" w:lineRule="exact"/>
        <w:rPr>
          <w:sz w:val="20"/>
          <w:szCs w:val="20"/>
          <w:color w:val="auto"/>
        </w:rPr>
      </w:pPr>
    </w:p>
    <w:p>
      <w:pPr>
        <w:jc w:val="both"/>
        <w:ind w:right="120" w:firstLine="8"/>
        <w:spacing w:after="0" w:line="293" w:lineRule="auto"/>
        <w:tabs>
          <w:tab w:leader="none" w:pos="154" w:val="left"/>
        </w:tabs>
        <w:numPr>
          <w:ilvl w:val="0"/>
          <w:numId w:val="12"/>
        </w:numPr>
        <w:rPr>
          <w:rFonts w:ascii="Arial" w:cs="Arial" w:eastAsia="Arial" w:hAnsi="Arial"/>
          <w:sz w:val="9"/>
          <w:szCs w:val="9"/>
          <w:color w:val="auto"/>
        </w:rPr>
      </w:pPr>
      <w:r>
        <w:rPr>
          <w:rFonts w:ascii="Arial" w:cs="Arial" w:eastAsia="Arial" w:hAnsi="Arial"/>
          <w:sz w:val="14"/>
          <w:szCs w:val="14"/>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4"/>
          <w:szCs w:val="14"/>
          <w:i w:val="1"/>
          <w:iCs w:val="1"/>
          <w:color w:val="auto"/>
        </w:rPr>
        <w:t>Note 2, Dispositions,</w:t>
      </w:r>
      <w:r>
        <w:rPr>
          <w:rFonts w:ascii="Arial" w:cs="Arial" w:eastAsia="Arial" w:hAnsi="Arial"/>
          <w:sz w:val="14"/>
          <w:szCs w:val="14"/>
          <w:color w:val="auto"/>
        </w:rPr>
        <w:t xml:space="preserve"> to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reclassified from AOCI:</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Amounts Reclassified from AOCI</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tcPr>
          <w:p>
            <w:pPr>
              <w:ind w:left="80"/>
              <w:spacing w:after="0" w:line="143" w:lineRule="exact"/>
              <w:rPr>
                <w:sz w:val="20"/>
                <w:szCs w:val="20"/>
                <w:color w:val="auto"/>
              </w:rPr>
            </w:pPr>
            <w:r>
              <w:rPr>
                <w:rFonts w:ascii="Arial" w:cs="Arial" w:eastAsia="Arial" w:hAnsi="Arial"/>
                <w:sz w:val="14"/>
                <w:szCs w:val="14"/>
                <w:b w:val="1"/>
                <w:bCs w:val="1"/>
                <w:color w:val="auto"/>
              </w:rPr>
              <w:t>For the Three Months Ended June</w:t>
            </w:r>
          </w:p>
        </w:tc>
        <w:tc>
          <w:tcPr>
            <w:tcW w:w="24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30,</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06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DDDDDD"/>
          </w:tcPr>
          <w:p>
            <w:pPr>
              <w:spacing w:after="0"/>
              <w:rPr>
                <w:sz w:val="21"/>
                <w:szCs w:val="21"/>
                <w:color w:val="auto"/>
              </w:rPr>
            </w:pPr>
          </w:p>
        </w:tc>
        <w:tc>
          <w:tcPr>
            <w:tcW w:w="90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c>
          <w:tcPr>
            <w:tcW w:w="0" w:type="dxa"/>
            <w:vAlign w:val="bottom"/>
          </w:tcPr>
          <w:p>
            <w:pPr>
              <w:spacing w:after="0"/>
              <w:rPr>
                <w:sz w:val="1"/>
                <w:szCs w:val="1"/>
                <w:color w:val="auto"/>
              </w:rPr>
            </w:pPr>
          </w:p>
        </w:tc>
      </w:tr>
      <w:tr>
        <w:trPr>
          <w:trHeight w:val="184"/>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Gains (losses) on securities available for sale</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0" w:type="dxa"/>
            <w:vAlign w:val="bottom"/>
          </w:tcPr>
          <w:p>
            <w:pPr>
              <w:spacing w:after="0"/>
              <w:rPr>
                <w:sz w:val="1"/>
                <w:szCs w:val="1"/>
                <w:color w:val="auto"/>
              </w:rPr>
            </w:pPr>
          </w:p>
        </w:tc>
      </w:tr>
      <w:tr>
        <w:trPr>
          <w:trHeight w:val="244"/>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Gains (losses) on cash flow hedges</w:t>
            </w:r>
          </w:p>
        </w:tc>
        <w:tc>
          <w:tcPr>
            <w:tcW w:w="12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0" w:type="dxa"/>
            <w:vAlign w:val="bottom"/>
          </w:tcPr>
          <w:p>
            <w:pPr>
              <w:spacing w:after="0"/>
              <w:rPr>
                <w:sz w:val="1"/>
                <w:szCs w:val="1"/>
                <w:color w:val="auto"/>
              </w:rPr>
            </w:pPr>
          </w:p>
        </w:tc>
      </w:tr>
      <w:tr>
        <w:trPr>
          <w:trHeight w:val="316"/>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18"/>
                <w:szCs w:val="18"/>
                <w:color w:val="auto"/>
                <w:vertAlign w:val="superscript"/>
              </w:rPr>
              <w:t>(1)</w:t>
            </w:r>
          </w:p>
        </w:tc>
        <w:tc>
          <w:tcPr>
            <w:tcW w:w="120" w:type="dxa"/>
            <w:vAlign w:val="bottom"/>
            <w:shd w:val="clear" w:color="auto" w:fill="DBDBDB"/>
          </w:tcPr>
          <w:p>
            <w:pPr>
              <w:spacing w:after="0"/>
              <w:rPr>
                <w:sz w:val="24"/>
                <w:szCs w:val="2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4"/>
                <w:szCs w:val="24"/>
                <w:color w:val="auto"/>
              </w:rPr>
            </w:pPr>
          </w:p>
        </w:tc>
        <w:tc>
          <w:tcPr>
            <w:tcW w:w="260" w:type="dxa"/>
            <w:vAlign w:val="bottom"/>
            <w:shd w:val="clear" w:color="auto" w:fill="DBDBDB"/>
          </w:tcPr>
          <w:p>
            <w:pPr>
              <w:spacing w:after="0"/>
              <w:rPr>
                <w:sz w:val="24"/>
                <w:szCs w:val="2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0" w:type="dxa"/>
            <w:vAlign w:val="bottom"/>
          </w:tcPr>
          <w:p>
            <w:pPr>
              <w:spacing w:after="0"/>
              <w:rPr>
                <w:sz w:val="1"/>
                <w:szCs w:val="1"/>
                <w:color w:val="auto"/>
              </w:rPr>
            </w:pPr>
          </w:p>
        </w:tc>
      </w:tr>
      <w:tr>
        <w:trPr>
          <w:trHeight w:val="210"/>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Currency translation adjustments</w:t>
            </w:r>
          </w:p>
        </w:tc>
        <w:tc>
          <w:tcPr>
            <w:tcW w:w="12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700" w:type="dxa"/>
            <w:vAlign w:val="bottom"/>
            <w:gridSpan w:val="2"/>
          </w:tcPr>
          <w:p>
            <w:pPr>
              <w:ind w:left="100"/>
              <w:spacing w:after="0"/>
              <w:rPr>
                <w:sz w:val="20"/>
                <w:szCs w:val="20"/>
                <w:color w:val="auto"/>
              </w:rPr>
            </w:pPr>
            <w:r>
              <w:rPr>
                <w:rFonts w:ascii="Arial" w:cs="Arial" w:eastAsia="Arial" w:hAnsi="Arial"/>
                <w:sz w:val="14"/>
                <w:szCs w:val="14"/>
                <w:color w:val="auto"/>
              </w:rPr>
              <w:t>Total reclassifications, net of tax</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7"/>
                <w:szCs w:val="17"/>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17.0</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120" w:firstLine="8"/>
        <w:spacing w:after="0" w:line="260" w:lineRule="auto"/>
        <w:tabs>
          <w:tab w:leader="none" w:pos="154"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3"/>
          <w:szCs w:val="13"/>
          <w:i w:val="1"/>
          <w:iCs w:val="1"/>
          <w:color w:val="auto"/>
        </w:rPr>
        <w:t>Note 2, Dispositions,</w:t>
      </w:r>
      <w:r>
        <w:rPr>
          <w:rFonts w:ascii="Arial" w:cs="Arial" w:eastAsia="Arial" w:hAnsi="Arial"/>
          <w:sz w:val="13"/>
          <w:szCs w:val="13"/>
          <w:color w:val="auto"/>
        </w:rPr>
        <w:t xml:space="preserve">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6823710" cy="3340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23710" cy="334010"/>
                    </a:xfrm>
                    <a:prstGeom prst="rect">
                      <a:avLst/>
                    </a:prstGeom>
                    <a:noFill/>
                  </pic:spPr>
                </pic:pic>
              </a:graphicData>
            </a:graphic>
          </wp:anchor>
        </w:drawing>
      </w:r>
    </w:p>
    <w:p>
      <w:pPr>
        <w:spacing w:after="0" w:line="376"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12:</w:t>
      </w:r>
      <w:r>
        <w:rPr>
          <w:sz w:val="20"/>
          <w:szCs w:val="20"/>
          <w:color w:val="auto"/>
        </w:rPr>
        <w:tab/>
      </w:r>
      <w:r>
        <w:rPr>
          <w:rFonts w:ascii="Arial" w:cs="Arial" w:eastAsia="Arial" w:hAnsi="Arial"/>
          <w:sz w:val="21"/>
          <w:szCs w:val="21"/>
          <w:b w:val="1"/>
          <w:bCs w:val="1"/>
          <w:color w:val="0070C0"/>
        </w:rPr>
        <w:t>Earnings per Share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shares outstanding used in our earnings per share calculation are calculated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For the Three Months Ended June</w:t>
            </w:r>
          </w:p>
        </w:tc>
        <w:tc>
          <w:tcPr>
            <w:tcW w:w="24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71"/>
              </w:rPr>
              <w:t>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900" w:type="dxa"/>
            <w:vAlign w:val="bottom"/>
            <w:tcBorders>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920" w:type="dxa"/>
            <w:vAlign w:val="bottom"/>
            <w:tcBorders>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6200" w:type="dxa"/>
            <w:vAlign w:val="bottom"/>
            <w:gridSpan w:val="2"/>
          </w:tcPr>
          <w:p>
            <w:pPr>
              <w:ind w:left="20"/>
              <w:spacing w:after="0"/>
              <w:rPr>
                <w:sz w:val="20"/>
                <w:szCs w:val="20"/>
                <w:color w:val="auto"/>
              </w:rPr>
            </w:pPr>
            <w:r>
              <w:rPr>
                <w:rFonts w:ascii="Arial" w:cs="Arial" w:eastAsia="Arial" w:hAnsi="Arial"/>
                <w:sz w:val="14"/>
                <w:szCs w:val="14"/>
                <w:i w:val="1"/>
                <w:iCs w:val="1"/>
                <w:color w:val="auto"/>
              </w:rPr>
              <w:t>Numerator:</w:t>
            </w:r>
          </w:p>
        </w:tc>
        <w:tc>
          <w:tcPr>
            <w:tcW w:w="260" w:type="dxa"/>
            <w:vAlign w:val="bottom"/>
            <w:shd w:val="clear" w:color="auto" w:fill="DDDDDD"/>
          </w:tcPr>
          <w:p>
            <w:pPr>
              <w:spacing w:after="0"/>
              <w:rPr>
                <w:sz w:val="16"/>
                <w:szCs w:val="16"/>
                <w:color w:val="auto"/>
              </w:rPr>
            </w:pPr>
          </w:p>
        </w:tc>
        <w:tc>
          <w:tcPr>
            <w:tcW w:w="900" w:type="dxa"/>
            <w:vAlign w:val="bottom"/>
            <w:tcBorders>
              <w:right w:val="single" w:sz="8" w:color="DDDDDD"/>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Net income attributable to Biogen Inc.</w:t>
            </w:r>
          </w:p>
        </w:tc>
        <w:tc>
          <w:tcPr>
            <w:tcW w:w="2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w w:val="76"/>
              </w:rPr>
              <w:t>$</w:t>
            </w:r>
          </w:p>
        </w:tc>
        <w:tc>
          <w:tcPr>
            <w:tcW w:w="9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591.6</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1,058.0</w:t>
            </w:r>
          </w:p>
        </w:tc>
        <w:tc>
          <w:tcPr>
            <w:tcW w:w="120" w:type="dxa"/>
            <w:vAlign w:val="bottom"/>
          </w:tcPr>
          <w:p>
            <w:pPr>
              <w:spacing w:after="0"/>
              <w:rPr>
                <w:sz w:val="20"/>
                <w:szCs w:val="20"/>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979.5</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1,361.8</w:t>
            </w:r>
          </w:p>
        </w:tc>
        <w:tc>
          <w:tcPr>
            <w:tcW w:w="0" w:type="dxa"/>
            <w:vAlign w:val="bottom"/>
          </w:tcPr>
          <w:p>
            <w:pPr>
              <w:spacing w:after="0"/>
              <w:rPr>
                <w:sz w:val="1"/>
                <w:szCs w:val="1"/>
                <w:color w:val="auto"/>
              </w:rPr>
            </w:pPr>
          </w:p>
        </w:tc>
      </w:tr>
      <w:tr>
        <w:trPr>
          <w:trHeight w:val="157"/>
        </w:trPr>
        <w:tc>
          <w:tcPr>
            <w:tcW w:w="62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Denominator:</w:t>
            </w:r>
          </w:p>
        </w:tc>
        <w:tc>
          <w:tcPr>
            <w:tcW w:w="260" w:type="dxa"/>
            <w:vAlign w:val="bottom"/>
            <w:tcBorders>
              <w:top w:val="single" w:sz="8" w:color="auto"/>
            </w:tcBorders>
            <w:shd w:val="clear" w:color="auto" w:fill="DBDBDB"/>
          </w:tcPr>
          <w:p>
            <w:pPr>
              <w:spacing w:after="0"/>
              <w:rPr>
                <w:sz w:val="13"/>
                <w:szCs w:val="13"/>
                <w:color w:val="auto"/>
              </w:rPr>
            </w:pPr>
          </w:p>
        </w:tc>
        <w:tc>
          <w:tcPr>
            <w:tcW w:w="900" w:type="dxa"/>
            <w:vAlign w:val="bottom"/>
            <w:tcBorders>
              <w:top w:val="single" w:sz="8" w:color="auto"/>
              <w:right w:val="single" w:sz="8" w:color="DBDBDB"/>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shd w:val="clear" w:color="auto" w:fill="DBDBDB"/>
          </w:tcPr>
          <w:p>
            <w:pPr>
              <w:spacing w:after="0"/>
              <w:rPr>
                <w:sz w:val="13"/>
                <w:szCs w:val="13"/>
                <w:color w:val="auto"/>
              </w:rPr>
            </w:pPr>
          </w:p>
        </w:tc>
        <w:tc>
          <w:tcPr>
            <w:tcW w:w="92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shd w:val="clear" w:color="auto" w:fill="DBDBDB"/>
          </w:tcPr>
          <w:p>
            <w:pPr>
              <w:spacing w:after="0"/>
              <w:rPr>
                <w:sz w:val="17"/>
                <w:szCs w:val="17"/>
                <w:color w:val="auto"/>
              </w:rPr>
            </w:pPr>
          </w:p>
        </w:tc>
        <w:tc>
          <w:tcPr>
            <w:tcW w:w="9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144.7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145.9</w:t>
            </w: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01"/>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260" w:type="dxa"/>
            <w:vAlign w:val="bottom"/>
            <w:shd w:val="clear" w:color="auto" w:fill="DBDBDB"/>
          </w:tcPr>
          <w:p>
            <w:pPr>
              <w:spacing w:after="0"/>
              <w:rPr>
                <w:sz w:val="17"/>
                <w:szCs w:val="17"/>
                <w:color w:val="auto"/>
              </w:rPr>
            </w:pPr>
          </w:p>
        </w:tc>
        <w:tc>
          <w:tcPr>
            <w:tcW w:w="900" w:type="dxa"/>
            <w:vAlign w:val="bottom"/>
            <w:tcBorders>
              <w:right w:val="single" w:sz="8" w:color="DBDBDB"/>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Time-vested restricted stock units</w:t>
            </w:r>
          </w:p>
        </w:tc>
        <w:tc>
          <w:tcPr>
            <w:tcW w:w="260" w:type="dxa"/>
            <w:vAlign w:val="bottom"/>
            <w:shd w:val="clear" w:color="auto" w:fill="DBDBDB"/>
          </w:tcPr>
          <w:p>
            <w:pPr>
              <w:spacing w:after="0"/>
              <w:rPr>
                <w:sz w:val="16"/>
                <w:szCs w:val="16"/>
                <w:color w:val="auto"/>
              </w:rPr>
            </w:pPr>
          </w:p>
        </w:tc>
        <w:tc>
          <w:tcPr>
            <w:tcW w:w="9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8"/>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2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Dilutive potential common shares</w:t>
            </w: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Arial" w:cs="Arial" w:eastAsia="Arial" w:hAnsi="Arial"/>
                <w:sz w:val="14"/>
                <w:szCs w:val="14"/>
                <w:color w:val="auto"/>
              </w:rPr>
              <w:t>Shares used in calculating diluted earnings per share</w:t>
            </w:r>
          </w:p>
        </w:tc>
        <w:tc>
          <w:tcPr>
            <w:tcW w:w="2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145.5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w:t>
            </w:r>
          </w:p>
        </w:tc>
        <w:tc>
          <w:tcPr>
            <w:tcW w:w="120" w:type="dxa"/>
            <w:vAlign w:val="bottom"/>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145.4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823710"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13:</w:t>
      </w:r>
      <w:r>
        <w:rPr>
          <w:sz w:val="20"/>
          <w:szCs w:val="20"/>
          <w:color w:val="auto"/>
        </w:rPr>
        <w:tab/>
      </w:r>
      <w:r>
        <w:rPr>
          <w:rFonts w:ascii="Arial" w:cs="Arial" w:eastAsia="Arial" w:hAnsi="Arial"/>
          <w:sz w:val="21"/>
          <w:szCs w:val="21"/>
          <w:b w:val="1"/>
          <w:bCs w:val="1"/>
          <w:color w:val="0070C0"/>
        </w:rPr>
        <w:t>Share-based Payments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Share-based Compensation Expense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included in our condensed consolidated statements of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For the Three Months Ended June</w:t>
            </w:r>
          </w:p>
        </w:tc>
        <w:tc>
          <w:tcPr>
            <w:tcW w:w="24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27.9</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59.2</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1"/>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48.4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98.5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84"/>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76.3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157.7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201"/>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4"/>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73.7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201"/>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16"/>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60.4</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8"/>
                <w:szCs w:val="18"/>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123.8</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associated with each of our share-based compensation programs: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 June</w:t>
            </w:r>
          </w:p>
        </w:tc>
        <w:tc>
          <w:tcPr>
            <w:tcW w:w="24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71"/>
              </w:rPr>
              <w:t>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right w:val="single" w:sz="8" w:color="DBDBDB"/>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Market stock units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1.3</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0"/>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Time-vested restricted stock units</w:t>
            </w:r>
          </w:p>
        </w:tc>
        <w:tc>
          <w:tcPr>
            <w:tcW w:w="260" w:type="dxa"/>
            <w:vAlign w:val="bottom"/>
            <w:shd w:val="clear" w:color="auto" w:fill="DBDBDB"/>
          </w:tcPr>
          <w:p>
            <w:pPr>
              <w:spacing w:after="0"/>
              <w:rPr>
                <w:sz w:val="16"/>
                <w:szCs w:val="16"/>
                <w:color w:val="auto"/>
              </w:rPr>
            </w:pPr>
          </w:p>
        </w:tc>
        <w:tc>
          <w:tcPr>
            <w:tcW w:w="9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59.9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20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Performance stock units settled in stock</w:t>
            </w:r>
          </w:p>
        </w:tc>
        <w:tc>
          <w:tcPr>
            <w:tcW w:w="260" w:type="dxa"/>
            <w:vAlign w:val="bottom"/>
            <w:shd w:val="clear" w:color="auto" w:fill="DBDBDB"/>
          </w:tcPr>
          <w:p>
            <w:pPr>
              <w:spacing w:after="0"/>
              <w:rPr>
                <w:sz w:val="17"/>
                <w:szCs w:val="17"/>
                <w:color w:val="auto"/>
              </w:rPr>
            </w:pPr>
          </w:p>
        </w:tc>
        <w:tc>
          <w:tcPr>
            <w:tcW w:w="9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Performance stock units settled in cash</w:t>
            </w:r>
          </w:p>
        </w:tc>
        <w:tc>
          <w:tcPr>
            <w:tcW w:w="260" w:type="dxa"/>
            <w:vAlign w:val="bottom"/>
            <w:shd w:val="clear" w:color="auto" w:fill="DBDBDB"/>
          </w:tcPr>
          <w:p>
            <w:pPr>
              <w:spacing w:after="0"/>
              <w:rPr>
                <w:sz w:val="17"/>
                <w:szCs w:val="17"/>
                <w:color w:val="auto"/>
              </w:rPr>
            </w:pPr>
          </w:p>
        </w:tc>
        <w:tc>
          <w:tcPr>
            <w:tcW w:w="9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Employee stock purchase plan</w:t>
            </w:r>
          </w:p>
        </w:tc>
        <w:tc>
          <w:tcPr>
            <w:tcW w:w="260" w:type="dxa"/>
            <w:vAlign w:val="bottom"/>
            <w:shd w:val="clear" w:color="auto" w:fill="DBDBDB"/>
          </w:tcPr>
          <w:p>
            <w:pPr>
              <w:spacing w:after="0"/>
              <w:rPr>
                <w:sz w:val="16"/>
                <w:szCs w:val="16"/>
                <w:color w:val="auto"/>
              </w:rPr>
            </w:pPr>
          </w:p>
        </w:tc>
        <w:tc>
          <w:tcPr>
            <w:tcW w:w="9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5"/>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Stock options</w:t>
            </w:r>
            <w:r>
              <w:rPr>
                <w:rFonts w:ascii="Arial" w:cs="Arial" w:eastAsia="Arial" w:hAnsi="Arial"/>
                <w:sz w:val="18"/>
                <w:szCs w:val="18"/>
                <w:color w:val="auto"/>
                <w:vertAlign w:val="superscript"/>
              </w:rPr>
              <w:t>(1)</w:t>
            </w:r>
          </w:p>
        </w:tc>
        <w:tc>
          <w:tcPr>
            <w:tcW w:w="260" w:type="dxa"/>
            <w:vAlign w:val="bottom"/>
            <w:shd w:val="clear" w:color="auto" w:fill="DBDBDB"/>
          </w:tcPr>
          <w:p>
            <w:pPr>
              <w:spacing w:after="0"/>
              <w:rPr>
                <w:sz w:val="18"/>
                <w:szCs w:val="18"/>
                <w:color w:val="auto"/>
              </w:rPr>
            </w:pPr>
          </w:p>
        </w:tc>
        <w:tc>
          <w:tcPr>
            <w:tcW w:w="9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Subtotal</w:t>
            </w:r>
          </w:p>
        </w:tc>
        <w:tc>
          <w:tcPr>
            <w:tcW w:w="260" w:type="dxa"/>
            <w:vAlign w:val="bottom"/>
            <w:tcBorders>
              <w:top w:val="single" w:sz="8" w:color="auto"/>
            </w:tcBorders>
            <w:shd w:val="clear" w:color="auto" w:fill="DBDBDB"/>
          </w:tcPr>
          <w:p>
            <w:pPr>
              <w:spacing w:after="0"/>
              <w:rPr>
                <w:sz w:val="16"/>
                <w:szCs w:val="16"/>
                <w:color w:val="auto"/>
              </w:rPr>
            </w:pPr>
          </w:p>
        </w:tc>
        <w:tc>
          <w:tcPr>
            <w:tcW w:w="920" w:type="dxa"/>
            <w:vAlign w:val="bottom"/>
            <w:tcBorders>
              <w:top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76.3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6"/>
                <w:szCs w:val="16"/>
                <w:color w:val="auto"/>
              </w:rPr>
            </w:pPr>
          </w:p>
        </w:tc>
        <w:tc>
          <w:tcPr>
            <w:tcW w:w="260" w:type="dxa"/>
            <w:vAlign w:val="bottom"/>
            <w:tcBorders>
              <w:top w:val="single" w:sz="8" w:color="auto"/>
            </w:tcBorders>
            <w:shd w:val="clear" w:color="auto" w:fill="DBDBDB"/>
          </w:tcPr>
          <w:p>
            <w:pPr>
              <w:spacing w:after="0"/>
              <w:rPr>
                <w:sz w:val="16"/>
                <w:szCs w:val="16"/>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157.7</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201"/>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73.7</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18"/>
                <w:szCs w:val="18"/>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151.8</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80" w:firstLine="8"/>
        <w:spacing w:after="0" w:line="299" w:lineRule="auto"/>
        <w:tabs>
          <w:tab w:leader="none" w:pos="154" w:val="left"/>
        </w:tabs>
        <w:numPr>
          <w:ilvl w:val="0"/>
          <w:numId w:val="14"/>
        </w:numPr>
        <w:rPr>
          <w:rFonts w:ascii="Arial" w:cs="Arial" w:eastAsia="Arial" w:hAnsi="Arial"/>
          <w:sz w:val="9"/>
          <w:szCs w:val="9"/>
          <w:color w:val="auto"/>
        </w:rPr>
      </w:pPr>
      <w:r>
        <w:rPr>
          <w:rFonts w:ascii="Arial" w:cs="Arial" w:eastAsia="Arial" w:hAnsi="Arial"/>
          <w:sz w:val="14"/>
          <w:szCs w:val="14"/>
          <w:color w:val="auto"/>
        </w:rPr>
        <w:t xml:space="preserve">During the fourth quarter of 2022 we granted stock options. For additional information, please read </w:t>
      </w:r>
      <w:r>
        <w:rPr>
          <w:rFonts w:ascii="Arial" w:cs="Arial" w:eastAsia="Arial" w:hAnsi="Arial"/>
          <w:sz w:val="14"/>
          <w:szCs w:val="14"/>
          <w:i w:val="1"/>
          <w:iCs w:val="1"/>
          <w:color w:val="auto"/>
        </w:rPr>
        <w:t>Note 16, Share-Based Payments</w:t>
      </w:r>
      <w:r>
        <w:rPr>
          <w:rFonts w:ascii="Arial" w:cs="Arial" w:eastAsia="Arial" w:hAnsi="Arial"/>
          <w:sz w:val="14"/>
          <w:szCs w:val="14"/>
          <w:color w:val="auto"/>
        </w:rPr>
        <w:t>, to our consolidated financial statements included in our 2022 Form 10-K.</w:t>
      </w:r>
    </w:p>
    <w:p>
      <w:pPr>
        <w:spacing w:after="0" w:line="5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estimate the fair value of our obligations associated with our performance stock units settled in cash at the end of each reporting period through expected settlement. Cumulative adjustments to these obligations are recognized each quarter to reflect changes in the stock price and estimated outcome of the performance-related conditions.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823710" cy="342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14:</w:t>
      </w:r>
      <w:r>
        <w:rPr>
          <w:sz w:val="20"/>
          <w:szCs w:val="20"/>
          <w:color w:val="auto"/>
        </w:rPr>
        <w:tab/>
      </w:r>
      <w:r>
        <w:rPr>
          <w:rFonts w:ascii="Arial" w:cs="Arial" w:eastAsia="Arial" w:hAnsi="Arial"/>
          <w:sz w:val="21"/>
          <w:szCs w:val="21"/>
          <w:b w:val="1"/>
          <w:bCs w:val="1"/>
          <w:color w:val="0070C0"/>
        </w:rPr>
        <w:t>Income Taxes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Inflation Reduction Act</w:t>
      </w:r>
    </w:p>
    <w:p>
      <w:pPr>
        <w:spacing w:after="0" w:line="12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June 30, 2023 and December 31, 2022. We expect additional guidance and regulations to be issued in future periods and will continue to assess its potential impact on our business and results of operations as further information becomes available.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Tax Rate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the U.S. federal statutory tax rate and our effective tax rate is summarized as follows: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5900" w:type="dxa"/>
            <w:vAlign w:val="bottom"/>
          </w:tcPr>
          <w:p>
            <w:pPr>
              <w:spacing w:after="0"/>
              <w:rPr>
                <w:sz w:val="17"/>
                <w:szCs w:val="17"/>
                <w:color w:val="auto"/>
              </w:rPr>
            </w:pPr>
          </w:p>
        </w:tc>
        <w:tc>
          <w:tcPr>
            <w:tcW w:w="27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26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Six Months Ended June 30,</w:t>
            </w:r>
          </w:p>
        </w:tc>
      </w:tr>
      <w:tr>
        <w:trPr>
          <w:trHeight w:val="184"/>
        </w:trPr>
        <w:tc>
          <w:tcPr>
            <w:tcW w:w="5900" w:type="dxa"/>
            <w:vAlign w:val="bottom"/>
          </w:tcPr>
          <w:p>
            <w:pPr>
              <w:spacing w:after="0"/>
              <w:rPr>
                <w:sz w:val="15"/>
                <w:szCs w:val="15"/>
                <w:color w:val="auto"/>
              </w:rPr>
            </w:pPr>
          </w:p>
        </w:tc>
        <w:tc>
          <w:tcPr>
            <w:tcW w:w="7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ACB"/>
              </w:rPr>
              <w:t>2023</w:t>
            </w:r>
          </w:p>
        </w:tc>
        <w:tc>
          <w:tcPr>
            <w:tcW w:w="320" w:type="dxa"/>
            <w:vAlign w:val="bottom"/>
            <w:tcBorders>
              <w:top w:val="single" w:sz="8" w:color="auto"/>
              <w:bottom w:val="single" w:sz="8" w:color="auto"/>
            </w:tcBorders>
            <w:shd w:val="clear" w:color="auto" w:fill="DDDDDD"/>
          </w:tcPr>
          <w:p>
            <w:pPr>
              <w:spacing w:after="0"/>
              <w:rPr>
                <w:sz w:val="15"/>
                <w:szCs w:val="15"/>
                <w:color w:val="auto"/>
              </w:rPr>
            </w:pPr>
          </w:p>
        </w:tc>
        <w:tc>
          <w:tcPr>
            <w:tcW w:w="160" w:type="dxa"/>
            <w:vAlign w:val="bottom"/>
            <w:tcBorders>
              <w:top w:val="single" w:sz="8" w:color="auto"/>
              <w:bottom w:val="single" w:sz="8" w:color="auto"/>
            </w:tcBorders>
            <w:shd w:val="clear" w:color="auto" w:fill="DDDDDD"/>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b w:val="1"/>
                <w:bCs w:val="1"/>
                <w:color w:val="257ACB"/>
              </w:rPr>
              <w:t>2023</w:t>
            </w:r>
          </w:p>
        </w:tc>
        <w:tc>
          <w:tcPr>
            <w:tcW w:w="140" w:type="dxa"/>
            <w:vAlign w:val="bottom"/>
            <w:tcBorders>
              <w:top w:val="single" w:sz="8" w:color="auto"/>
              <w:bottom w:val="single" w:sz="8" w:color="auto"/>
            </w:tcBorders>
            <w:shd w:val="clear" w:color="auto" w:fill="DDDDDD"/>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r>
      <w:tr>
        <w:trPr>
          <w:trHeight w:val="184"/>
        </w:trPr>
        <w:tc>
          <w:tcPr>
            <w:tcW w:w="5900" w:type="dxa"/>
            <w:vAlign w:val="bottom"/>
          </w:tcPr>
          <w:p>
            <w:pPr>
              <w:spacing w:after="0"/>
              <w:rPr>
                <w:sz w:val="20"/>
                <w:szCs w:val="20"/>
                <w:color w:val="auto"/>
              </w:rPr>
            </w:pPr>
            <w:r>
              <w:rPr>
                <w:rFonts w:ascii="Arial" w:cs="Arial" w:eastAsia="Arial" w:hAnsi="Arial"/>
                <w:sz w:val="14"/>
                <w:szCs w:val="14"/>
                <w:color w:val="auto"/>
              </w:rPr>
              <w:t>Statutory rate</w:t>
            </w:r>
          </w:p>
        </w:tc>
        <w:tc>
          <w:tcPr>
            <w:tcW w:w="780" w:type="dxa"/>
            <w:vAlign w:val="bottom"/>
            <w:shd w:val="clear" w:color="auto" w:fill="DBDBDB"/>
          </w:tcPr>
          <w:p>
            <w:pPr>
              <w:spacing w:after="0"/>
              <w:rPr>
                <w:sz w:val="16"/>
                <w:szCs w:val="16"/>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5"/>
              </w:rPr>
              <w:t>21.0</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21.0 %</w:t>
            </w:r>
          </w:p>
        </w:tc>
      </w:tr>
      <w:tr>
        <w:trPr>
          <w:trHeight w:val="203"/>
        </w:trPr>
        <w:tc>
          <w:tcPr>
            <w:tcW w:w="5900" w:type="dxa"/>
            <w:vAlign w:val="bottom"/>
          </w:tcPr>
          <w:p>
            <w:pPr>
              <w:spacing w:after="0"/>
              <w:rPr>
                <w:sz w:val="20"/>
                <w:szCs w:val="20"/>
                <w:color w:val="auto"/>
              </w:rPr>
            </w:pPr>
            <w:r>
              <w:rPr>
                <w:rFonts w:ascii="Arial" w:cs="Arial" w:eastAsia="Arial" w:hAnsi="Arial"/>
                <w:sz w:val="14"/>
                <w:szCs w:val="14"/>
                <w:color w:val="auto"/>
              </w:rPr>
              <w:t>State taxes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60" w:type="dxa"/>
            <w:vAlign w:val="bottom"/>
            <w:shd w:val="clear" w:color="auto" w:fill="DBDBDB"/>
          </w:tcPr>
          <w:p>
            <w:pPr>
              <w:spacing w:after="0"/>
              <w:rPr>
                <w:sz w:val="17"/>
                <w:szCs w:val="17"/>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40" w:type="dxa"/>
            <w:vAlign w:val="bottom"/>
            <w:shd w:val="clear" w:color="auto" w:fill="DBDBDB"/>
          </w:tcPr>
          <w:p>
            <w:pPr>
              <w:spacing w:after="0"/>
              <w:rPr>
                <w:sz w:val="17"/>
                <w:szCs w:val="17"/>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0.4</w:t>
            </w:r>
          </w:p>
        </w:tc>
      </w:tr>
      <w:tr>
        <w:trPr>
          <w:trHeight w:val="203"/>
        </w:trPr>
        <w:tc>
          <w:tcPr>
            <w:tcW w:w="5900" w:type="dxa"/>
            <w:vAlign w:val="bottom"/>
          </w:tcPr>
          <w:p>
            <w:pPr>
              <w:spacing w:after="0"/>
              <w:rPr>
                <w:sz w:val="20"/>
                <w:szCs w:val="20"/>
                <w:color w:val="auto"/>
              </w:rPr>
            </w:pPr>
            <w:r>
              <w:rPr>
                <w:rFonts w:ascii="Arial" w:cs="Arial" w:eastAsia="Arial" w:hAnsi="Arial"/>
                <w:sz w:val="14"/>
                <w:szCs w:val="14"/>
                <w:color w:val="auto"/>
              </w:rPr>
              <w:t>Taxes on foreign earnings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w:t>
            </w:r>
          </w:p>
        </w:tc>
        <w:tc>
          <w:tcPr>
            <w:tcW w:w="160" w:type="dxa"/>
            <w:vAlign w:val="bottom"/>
            <w:shd w:val="clear" w:color="auto" w:fill="DBDBDB"/>
          </w:tcPr>
          <w:p>
            <w:pPr>
              <w:spacing w:after="0"/>
              <w:rPr>
                <w:sz w:val="17"/>
                <w:szCs w:val="17"/>
                <w:color w:val="auto"/>
              </w:rPr>
            </w:pPr>
          </w:p>
        </w:tc>
        <w:tc>
          <w:tcPr>
            <w:tcW w:w="1360" w:type="dxa"/>
            <w:vAlign w:val="bottom"/>
            <w:gridSpan w:val="2"/>
          </w:tcPr>
          <w:p>
            <w:pPr>
              <w:jc w:val="right"/>
              <w:ind w:right="6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w:t>
            </w:r>
          </w:p>
        </w:tc>
        <w:tc>
          <w:tcPr>
            <w:tcW w:w="140" w:type="dxa"/>
            <w:vAlign w:val="bottom"/>
            <w:shd w:val="clear" w:color="auto" w:fill="DBDBDB"/>
          </w:tcPr>
          <w:p>
            <w:pPr>
              <w:spacing w:after="0"/>
              <w:rPr>
                <w:sz w:val="17"/>
                <w:szCs w:val="17"/>
                <w:color w:val="auto"/>
              </w:rPr>
            </w:pP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(5.3)</w:t>
            </w:r>
          </w:p>
        </w:tc>
      </w:tr>
      <w:tr>
        <w:trPr>
          <w:trHeight w:val="189"/>
        </w:trPr>
        <w:tc>
          <w:tcPr>
            <w:tcW w:w="5900" w:type="dxa"/>
            <w:vAlign w:val="bottom"/>
          </w:tcPr>
          <w:p>
            <w:pPr>
              <w:spacing w:after="0"/>
              <w:rPr>
                <w:sz w:val="20"/>
                <w:szCs w:val="20"/>
                <w:color w:val="auto"/>
              </w:rPr>
            </w:pPr>
            <w:r>
              <w:rPr>
                <w:rFonts w:ascii="Arial" w:cs="Arial" w:eastAsia="Arial" w:hAnsi="Arial"/>
                <w:sz w:val="14"/>
                <w:szCs w:val="14"/>
                <w:color w:val="auto"/>
              </w:rPr>
              <w:t>Tax credits</w:t>
            </w:r>
          </w:p>
        </w:tc>
        <w:tc>
          <w:tcPr>
            <w:tcW w:w="780" w:type="dxa"/>
            <w:vAlign w:val="bottom"/>
            <w:shd w:val="clear" w:color="auto" w:fill="DBDBDB"/>
          </w:tcPr>
          <w:p>
            <w:pPr>
              <w:spacing w:after="0"/>
              <w:rPr>
                <w:sz w:val="16"/>
                <w:szCs w:val="16"/>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160" w:type="dxa"/>
            <w:vAlign w:val="bottom"/>
            <w:shd w:val="clear" w:color="auto" w:fill="DBDBDB"/>
          </w:tcPr>
          <w:p>
            <w:pPr>
              <w:spacing w:after="0"/>
              <w:rPr>
                <w:sz w:val="16"/>
                <w:szCs w:val="16"/>
                <w:color w:val="auto"/>
              </w:rPr>
            </w:pPr>
          </w:p>
        </w:tc>
        <w:tc>
          <w:tcPr>
            <w:tcW w:w="1360" w:type="dxa"/>
            <w:vAlign w:val="bottom"/>
            <w:gridSpan w:val="2"/>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w:t>
            </w:r>
          </w:p>
        </w:tc>
        <w:tc>
          <w:tcPr>
            <w:tcW w:w="140" w:type="dxa"/>
            <w:vAlign w:val="bottom"/>
            <w:shd w:val="clear" w:color="auto" w:fill="DBDBDB"/>
          </w:tcPr>
          <w:p>
            <w:pPr>
              <w:spacing w:after="0"/>
              <w:rPr>
                <w:sz w:val="16"/>
                <w:szCs w:val="16"/>
                <w:color w:val="auto"/>
              </w:rPr>
            </w:pP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(1.6)</w:t>
            </w:r>
          </w:p>
        </w:tc>
      </w:tr>
      <w:tr>
        <w:trPr>
          <w:trHeight w:val="203"/>
        </w:trPr>
        <w:tc>
          <w:tcPr>
            <w:tcW w:w="5900" w:type="dxa"/>
            <w:vAlign w:val="bottom"/>
          </w:tcPr>
          <w:p>
            <w:pPr>
              <w:spacing w:after="0"/>
              <w:rPr>
                <w:sz w:val="20"/>
                <w:szCs w:val="20"/>
                <w:color w:val="auto"/>
              </w:rPr>
            </w:pPr>
            <w:r>
              <w:rPr>
                <w:rFonts w:ascii="Arial" w:cs="Arial" w:eastAsia="Arial" w:hAnsi="Arial"/>
                <w:sz w:val="14"/>
                <w:szCs w:val="14"/>
                <w:color w:val="auto"/>
              </w:rPr>
              <w:t>Purchased intangible assets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60" w:type="dxa"/>
            <w:vAlign w:val="bottom"/>
            <w:shd w:val="clear" w:color="auto" w:fill="DBDBDB"/>
          </w:tcPr>
          <w:p>
            <w:pPr>
              <w:spacing w:after="0"/>
              <w:rPr>
                <w:sz w:val="17"/>
                <w:szCs w:val="17"/>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40" w:type="dxa"/>
            <w:vAlign w:val="bottom"/>
            <w:shd w:val="clear" w:color="auto" w:fill="DBDBDB"/>
          </w:tcPr>
          <w:p>
            <w:pPr>
              <w:spacing w:after="0"/>
              <w:rPr>
                <w:sz w:val="17"/>
                <w:szCs w:val="17"/>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0.2</w:t>
            </w:r>
          </w:p>
        </w:tc>
      </w:tr>
      <w:tr>
        <w:trPr>
          <w:trHeight w:val="203"/>
        </w:trPr>
        <w:tc>
          <w:tcPr>
            <w:tcW w:w="5900" w:type="dxa"/>
            <w:vAlign w:val="bottom"/>
          </w:tcPr>
          <w:p>
            <w:pPr>
              <w:spacing w:after="0"/>
              <w:rPr>
                <w:sz w:val="20"/>
                <w:szCs w:val="20"/>
                <w:color w:val="auto"/>
              </w:rPr>
            </w:pPr>
            <w:r>
              <w:rPr>
                <w:rFonts w:ascii="Arial" w:cs="Arial" w:eastAsia="Arial" w:hAnsi="Arial"/>
                <w:sz w:val="14"/>
                <w:szCs w:val="14"/>
                <w:color w:val="auto"/>
              </w:rPr>
              <w:t>GILTI</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60" w:type="dxa"/>
            <w:vAlign w:val="bottom"/>
            <w:shd w:val="clear" w:color="auto" w:fill="DBDBDB"/>
          </w:tcPr>
          <w:p>
            <w:pPr>
              <w:spacing w:after="0"/>
              <w:rPr>
                <w:sz w:val="17"/>
                <w:szCs w:val="17"/>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40" w:type="dxa"/>
            <w:vAlign w:val="bottom"/>
            <w:shd w:val="clear" w:color="auto" w:fill="DBDBDB"/>
          </w:tcPr>
          <w:p>
            <w:pPr>
              <w:spacing w:after="0"/>
              <w:rPr>
                <w:sz w:val="17"/>
                <w:szCs w:val="17"/>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0.2</w:t>
            </w:r>
          </w:p>
        </w:tc>
      </w:tr>
      <w:tr>
        <w:trPr>
          <w:trHeight w:val="189"/>
        </w:trPr>
        <w:tc>
          <w:tcPr>
            <w:tcW w:w="5900" w:type="dxa"/>
            <w:vAlign w:val="bottom"/>
          </w:tcPr>
          <w:p>
            <w:pPr>
              <w:spacing w:after="0"/>
              <w:rPr>
                <w:sz w:val="20"/>
                <w:szCs w:val="20"/>
                <w:color w:val="auto"/>
              </w:rPr>
            </w:pPr>
            <w:r>
              <w:rPr>
                <w:rFonts w:ascii="Arial" w:cs="Arial" w:eastAsia="Arial" w:hAnsi="Arial"/>
                <w:sz w:val="14"/>
                <w:szCs w:val="14"/>
                <w:color w:val="auto"/>
              </w:rPr>
              <w:t>Sale of Samsung Bioepis</w:t>
            </w:r>
          </w:p>
        </w:tc>
        <w:tc>
          <w:tcPr>
            <w:tcW w:w="780" w:type="dxa"/>
            <w:vAlign w:val="bottom"/>
            <w:shd w:val="clear" w:color="auto" w:fill="DBDBDB"/>
          </w:tcPr>
          <w:p>
            <w:pPr>
              <w:spacing w:after="0"/>
              <w:rPr>
                <w:sz w:val="16"/>
                <w:szCs w:val="16"/>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 w:type="dxa"/>
            <w:vAlign w:val="bottom"/>
            <w:shd w:val="clear" w:color="auto" w:fill="DBDBDB"/>
          </w:tcPr>
          <w:p>
            <w:pPr>
              <w:spacing w:after="0"/>
              <w:rPr>
                <w:sz w:val="16"/>
                <w:szCs w:val="16"/>
                <w:color w:val="auto"/>
              </w:rPr>
            </w:pPr>
          </w:p>
        </w:tc>
        <w:tc>
          <w:tcPr>
            <w:tcW w:w="1360" w:type="dxa"/>
            <w:vAlign w:val="bottom"/>
            <w:gridSpan w:val="2"/>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6"/>
                <w:szCs w:val="16"/>
                <w:color w:val="auto"/>
              </w:rPr>
            </w:pP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(2.9)</w:t>
            </w:r>
          </w:p>
        </w:tc>
      </w:tr>
      <w:tr>
        <w:trPr>
          <w:trHeight w:val="203"/>
        </w:trPr>
        <w:tc>
          <w:tcPr>
            <w:tcW w:w="5900" w:type="dxa"/>
            <w:vAlign w:val="bottom"/>
          </w:tcPr>
          <w:p>
            <w:pPr>
              <w:spacing w:after="0"/>
              <w:rPr>
                <w:sz w:val="20"/>
                <w:szCs w:val="20"/>
                <w:color w:val="auto"/>
              </w:rPr>
            </w:pPr>
            <w:r>
              <w:rPr>
                <w:rFonts w:ascii="Arial" w:cs="Arial" w:eastAsia="Arial" w:hAnsi="Arial"/>
                <w:sz w:val="14"/>
                <w:szCs w:val="14"/>
                <w:color w:val="auto"/>
              </w:rPr>
              <w:t>Litigation settlement agreement</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 w:type="dxa"/>
            <w:vAlign w:val="bottom"/>
            <w:shd w:val="clear" w:color="auto" w:fill="DBDBDB"/>
          </w:tcPr>
          <w:p>
            <w:pPr>
              <w:spacing w:after="0"/>
              <w:rPr>
                <w:sz w:val="17"/>
                <w:szCs w:val="17"/>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7"/>
                <w:szCs w:val="17"/>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6.7</w:t>
            </w:r>
          </w:p>
        </w:tc>
      </w:tr>
      <w:tr>
        <w:trPr>
          <w:trHeight w:val="203"/>
        </w:trPr>
        <w:tc>
          <w:tcPr>
            <w:tcW w:w="5900" w:type="dxa"/>
            <w:vAlign w:val="bottom"/>
          </w:tcPr>
          <w:p>
            <w:pPr>
              <w:spacing w:after="0"/>
              <w:rPr>
                <w:sz w:val="20"/>
                <w:szCs w:val="20"/>
                <w:color w:val="auto"/>
              </w:rPr>
            </w:pPr>
            <w:r>
              <w:rPr>
                <w:rFonts w:ascii="Arial" w:cs="Arial" w:eastAsia="Arial" w:hAnsi="Arial"/>
                <w:sz w:val="14"/>
                <w:szCs w:val="14"/>
                <w:color w:val="auto"/>
              </w:rPr>
              <w:t>Neurimmune tax impacts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7"/>
                <w:szCs w:val="17"/>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5.2</w:t>
            </w:r>
          </w:p>
        </w:tc>
      </w:tr>
      <w:tr>
        <w:trPr>
          <w:trHeight w:val="189"/>
        </w:trPr>
        <w:tc>
          <w:tcPr>
            <w:tcW w:w="5900" w:type="dxa"/>
            <w:vAlign w:val="bottom"/>
          </w:tcPr>
          <w:p>
            <w:pPr>
              <w:spacing w:after="0"/>
              <w:rPr>
                <w:sz w:val="20"/>
                <w:szCs w:val="20"/>
                <w:color w:val="auto"/>
              </w:rPr>
            </w:pPr>
            <w:r>
              <w:rPr>
                <w:rFonts w:ascii="Arial" w:cs="Arial" w:eastAsia="Arial" w:hAnsi="Arial"/>
                <w:sz w:val="14"/>
                <w:szCs w:val="14"/>
                <w:color w:val="auto"/>
              </w:rPr>
              <w:t>International reorganization</w:t>
            </w:r>
          </w:p>
        </w:tc>
        <w:tc>
          <w:tcPr>
            <w:tcW w:w="780" w:type="dxa"/>
            <w:vAlign w:val="bottom"/>
            <w:shd w:val="clear" w:color="auto" w:fill="DBDBDB"/>
          </w:tcPr>
          <w:p>
            <w:pPr>
              <w:spacing w:after="0"/>
              <w:rPr>
                <w:sz w:val="16"/>
                <w:szCs w:val="16"/>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 w:type="dxa"/>
            <w:vAlign w:val="bottom"/>
            <w:shd w:val="clear" w:color="auto" w:fill="DBDBDB"/>
          </w:tcPr>
          <w:p>
            <w:pPr>
              <w:spacing w:after="0"/>
              <w:rPr>
                <w:sz w:val="16"/>
                <w:szCs w:val="16"/>
                <w:color w:val="auto"/>
              </w:rPr>
            </w:pPr>
          </w:p>
        </w:tc>
        <w:tc>
          <w:tcPr>
            <w:tcW w:w="1360" w:type="dxa"/>
            <w:vAlign w:val="bottom"/>
            <w:gridSpan w:val="2"/>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6"/>
                <w:szCs w:val="16"/>
                <w:color w:val="auto"/>
              </w:rPr>
            </w:pP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(3.1)</w:t>
            </w:r>
          </w:p>
        </w:tc>
      </w:tr>
      <w:tr>
        <w:trPr>
          <w:trHeight w:val="208"/>
        </w:trPr>
        <w:tc>
          <w:tcPr>
            <w:tcW w:w="5900" w:type="dxa"/>
            <w:vAlign w:val="bottom"/>
          </w:tcPr>
          <w:p>
            <w:pPr>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60" w:type="dxa"/>
            <w:vAlign w:val="bottom"/>
            <w:tcBorders>
              <w:bottom w:val="single" w:sz="8" w:color="auto"/>
            </w:tcBorders>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40" w:type="dxa"/>
            <w:vAlign w:val="bottom"/>
            <w:tcBorders>
              <w:bottom w:val="single" w:sz="8" w:color="auto"/>
            </w:tcBorders>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w:t>
            </w:r>
          </w:p>
        </w:tc>
      </w:tr>
      <w:tr>
        <w:trPr>
          <w:trHeight w:val="209"/>
        </w:trPr>
        <w:tc>
          <w:tcPr>
            <w:tcW w:w="5900" w:type="dxa"/>
            <w:vAlign w:val="bottom"/>
          </w:tcPr>
          <w:p>
            <w:pPr>
              <w:ind w:left="220"/>
              <w:spacing w:after="0"/>
              <w:rPr>
                <w:sz w:val="20"/>
                <w:szCs w:val="20"/>
                <w:color w:val="auto"/>
              </w:rPr>
            </w:pPr>
            <w:r>
              <w:rPr>
                <w:rFonts w:ascii="Arial" w:cs="Arial" w:eastAsia="Arial" w:hAnsi="Arial"/>
                <w:sz w:val="14"/>
                <w:szCs w:val="14"/>
                <w:color w:val="auto"/>
              </w:rPr>
              <w:t>Effective tax rate</w:t>
            </w:r>
          </w:p>
        </w:tc>
        <w:tc>
          <w:tcPr>
            <w:tcW w:w="780" w:type="dxa"/>
            <w:vAlign w:val="bottom"/>
            <w:shd w:val="clear" w:color="auto" w:fill="DBDBDB"/>
          </w:tcPr>
          <w:p>
            <w:pPr>
              <w:spacing w:after="0"/>
              <w:rPr>
                <w:sz w:val="18"/>
                <w:szCs w:val="18"/>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5"/>
              </w:rPr>
              <w:t>16.2</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17.1 %</w:t>
            </w:r>
          </w:p>
        </w:tc>
        <w:tc>
          <w:tcPr>
            <w:tcW w:w="100" w:type="dxa"/>
            <w:vAlign w:val="bottom"/>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21.2 %</w:t>
            </w:r>
          </w:p>
        </w:tc>
      </w:tr>
      <w:tr>
        <w:trPr>
          <w:trHeight w:val="20"/>
        </w:trPr>
        <w:tc>
          <w:tcPr>
            <w:tcW w:w="5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Changes in Tax Rate</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the three and six months ended June 30, 2023, compared to the same periods in 2022, the decreases in our effective tax rates were primarily due to the combined net unfavorable tax rate impacts during the second quarter of 2022 related to a litigation settlement agreement, the sale of our equity interest in Samsung Bioepis, the non-cash tax effects of changes in the value of our equity investments and an international reorganization to align with global tax developments.</w:t>
      </w:r>
    </w:p>
    <w:p>
      <w:pPr>
        <w:spacing w:after="0" w:line="8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decrease in our effective tax rate for the six months ended June 30, 2023, also reflects the resolution of an uncertain tax matter during the first quarter of 2023 related to tax credits as well as the impact of the Neurimmune valuation allowance recorded in the first quarter of 2022, as discussed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DAD46"/>
        </w:rPr>
        <w:t>Neurimmune Deferred Tax Asset</w:t>
      </w:r>
    </w:p>
    <w:p>
      <w:pPr>
        <w:spacing w:after="0" w:line="12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During the first quarter of 2022, upon issuance of the final NCD related to ADUHELM, we recorded an increase in a valuation allowance of approximately $85.0 million to reduce the net value of a previously recorded deferred tax asset to zero.</w:t>
      </w:r>
    </w:p>
    <w:p>
      <w:pPr>
        <w:spacing w:after="0" w:line="6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This adjustment to our net deferred tax asset is recorded with an equal and offsetting amount assigned to net income (loss) attributable to noncontrolling interests, net of tax in our condensed consolidated statements of income, resulting in a zero net impact to net income attributable to Biogen Inc.</w:t>
      </w:r>
    </w:p>
    <w:p>
      <w:pPr>
        <w:spacing w:after="0" w:line="56"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 xml:space="preserve">For additional information on our collaboration arrangement with Neurimmune, please read </w:t>
      </w:r>
      <w:r>
        <w:rPr>
          <w:rFonts w:ascii="Arial" w:cs="Arial" w:eastAsia="Arial" w:hAnsi="Arial"/>
          <w:sz w:val="18"/>
          <w:szCs w:val="18"/>
          <w:i w:val="1"/>
          <w:iCs w:val="1"/>
          <w:color w:val="auto"/>
        </w:rPr>
        <w:t>Note 17, Investments in Variable Interest Entities</w:t>
      </w:r>
      <w:r>
        <w:rPr>
          <w:rFonts w:ascii="Arial" w:cs="Arial" w:eastAsia="Arial" w:hAnsi="Arial"/>
          <w:sz w:val="18"/>
          <w:szCs w:val="18"/>
          <w:color w:val="auto"/>
        </w:rPr>
        <w:t>, to these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Accounting for Uncertainty in Income Taxes</w:t>
      </w:r>
    </w:p>
    <w:p>
      <w:pPr>
        <w:spacing w:after="0" w:line="13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and our subsidiaries are routinely examined by various taxing authorities. We file income tax returns in various U.S. states and in U.S. federal and other foreign jurisdictions. With few exceptions, we are no longer subject to U.S. federal tax examination for years before 2019 or state, local or non-U.S. income tax examinations for years before 2013.</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76" w:lineRule="exact"/>
        <w:rPr>
          <w:sz w:val="20"/>
          <w:szCs w:val="20"/>
          <w:color w:val="auto"/>
        </w:rPr>
      </w:pPr>
    </w:p>
    <w:p>
      <w:pPr>
        <w:jc w:val="both"/>
        <w:ind w:right="300"/>
        <w:spacing w:after="0" w:line="275"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and other issues as we receive additional information from various taxing authorities, including reaching settlements with such authorities.</w:t>
      </w:r>
    </w:p>
    <w:p>
      <w:pPr>
        <w:spacing w:after="0" w:line="66" w:lineRule="exact"/>
        <w:rPr>
          <w:sz w:val="20"/>
          <w:szCs w:val="20"/>
          <w:color w:val="auto"/>
        </w:rPr>
      </w:pPr>
    </w:p>
    <w:p>
      <w:pPr>
        <w:ind w:right="2100"/>
        <w:spacing w:after="0" w:line="257" w:lineRule="auto"/>
        <w:rPr>
          <w:sz w:val="20"/>
          <w:szCs w:val="20"/>
          <w:color w:val="auto"/>
        </w:rPr>
      </w:pPr>
      <w:r>
        <w:rPr>
          <w:rFonts w:ascii="Arial" w:cs="Arial" w:eastAsia="Arial" w:hAnsi="Arial"/>
          <w:sz w:val="18"/>
          <w:szCs w:val="18"/>
          <w:color w:val="auto"/>
        </w:rPr>
        <w:t>We estimate that it is reasonably possible that our gross unrecognized tax benefits, exclusive of interest, could decrease by up to approximately $470.0 million, including approximately $460.0 million related to the unrecognized</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tax benefits related to Neurimmune's tax basis in ADUHELM, as discussed above, in the next 12 months as a result of various audit closures, settlements and expiration of the statute of limitations. Any changes to our gross unrecognized tax benefits related to Neurimmune's tax basis in ADUHELM would result in a zero net impact to net income attributable to Biogen, Inc., as we have recorded a full valuation allowance against the relevant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823710" cy="334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23710" cy="334645"/>
                    </a:xfrm>
                    <a:prstGeom prst="rect">
                      <a:avLst/>
                    </a:prstGeom>
                    <a:noFill/>
                  </pic:spPr>
                </pic:pic>
              </a:graphicData>
            </a:graphic>
          </wp:anchor>
        </w:drawing>
      </w:r>
    </w:p>
    <w:p>
      <w:pPr>
        <w:spacing w:after="0" w:line="382"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15:</w:t>
      </w:r>
      <w:r>
        <w:rPr>
          <w:sz w:val="20"/>
          <w:szCs w:val="20"/>
          <w:color w:val="auto"/>
        </w:rPr>
        <w:tab/>
      </w:r>
      <w:r>
        <w:rPr>
          <w:rFonts w:ascii="Arial" w:cs="Arial" w:eastAsia="Arial" w:hAnsi="Arial"/>
          <w:sz w:val="21"/>
          <w:szCs w:val="21"/>
          <w:b w:val="1"/>
          <w:bCs w:val="1"/>
          <w:color w:val="0070C0"/>
        </w:rPr>
        <w:t>Other Consolidated Financial Statement Detail</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(Income) Expense, Net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other (income) expense, net, are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 June</w:t>
            </w:r>
          </w:p>
        </w:tc>
        <w:tc>
          <w:tcPr>
            <w:tcW w:w="24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90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920" w:type="dxa"/>
            <w:vAlign w:val="bottom"/>
            <w:tcBorders>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Gain on sale of equity interest in Samsung Bioepis</w:t>
            </w:r>
            <w:r>
              <w:rPr>
                <w:rFonts w:ascii="Arial" w:cs="Arial" w:eastAsia="Arial" w:hAnsi="Arial"/>
                <w:sz w:val="9"/>
                <w:szCs w:val="9"/>
                <w:color w:val="auto"/>
              </w:rPr>
              <w:t>(1)</w:t>
            </w:r>
          </w:p>
        </w:tc>
        <w:tc>
          <w:tcPr>
            <w:tcW w:w="2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w w:val="76"/>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(1,505.4)</w:t>
            </w:r>
          </w:p>
        </w:tc>
        <w:tc>
          <w:tcPr>
            <w:tcW w:w="120" w:type="dxa"/>
            <w:vAlign w:val="bottom"/>
          </w:tcPr>
          <w:p>
            <w:pPr>
              <w:spacing w:after="0"/>
              <w:rPr>
                <w:sz w:val="17"/>
                <w:szCs w:val="17"/>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(1,505.4)</w:t>
            </w:r>
          </w:p>
        </w:tc>
        <w:tc>
          <w:tcPr>
            <w:tcW w:w="0" w:type="dxa"/>
            <w:vAlign w:val="bottom"/>
          </w:tcPr>
          <w:p>
            <w:pPr>
              <w:spacing w:after="0"/>
              <w:rPr>
                <w:sz w:val="1"/>
                <w:szCs w:val="1"/>
                <w:color w:val="auto"/>
              </w:rPr>
            </w:pPr>
          </w:p>
        </w:tc>
      </w:tr>
      <w:tr>
        <w:trPr>
          <w:trHeight w:val="191"/>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Litigation settlement agreement</w:t>
            </w: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20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89"/>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(Gains) losses on investments, net</w:t>
            </w: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(105.4)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269.3</w:t>
            </w:r>
          </w:p>
        </w:tc>
        <w:tc>
          <w:tcPr>
            <w:tcW w:w="0" w:type="dxa"/>
            <w:vAlign w:val="bottom"/>
          </w:tcPr>
          <w:p>
            <w:pPr>
              <w:spacing w:after="0"/>
              <w:rPr>
                <w:sz w:val="1"/>
                <w:szCs w:val="1"/>
                <w:color w:val="auto"/>
              </w:rPr>
            </w:pPr>
          </w:p>
        </w:tc>
      </w:tr>
      <w:tr>
        <w:trPr>
          <w:trHeight w:val="20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Foreign exchange (gains) losses, net</w:t>
            </w: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1"/>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160" w:type="dxa"/>
            <w:vAlign w:val="bottom"/>
            <w:gridSpan w:val="3"/>
          </w:tcPr>
          <w:p>
            <w:pPr>
              <w:ind w:left="200"/>
              <w:spacing w:after="0"/>
              <w:rPr>
                <w:sz w:val="20"/>
                <w:szCs w:val="20"/>
                <w:color w:val="auto"/>
              </w:rPr>
            </w:pPr>
            <w:r>
              <w:rPr>
                <w:rFonts w:ascii="Arial" w:cs="Arial" w:eastAsia="Arial" w:hAnsi="Arial"/>
                <w:sz w:val="14"/>
                <w:szCs w:val="14"/>
                <w:color w:val="auto"/>
              </w:rPr>
              <w:t>Total other (income) expense, net</w:t>
            </w:r>
          </w:p>
        </w:tc>
        <w:tc>
          <w:tcPr>
            <w:tcW w:w="2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w w:val="76"/>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(121.2)</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(428.6)</w:t>
            </w:r>
          </w:p>
        </w:tc>
        <w:tc>
          <w:tcPr>
            <w:tcW w:w="120" w:type="dxa"/>
            <w:vAlign w:val="bottom"/>
          </w:tcPr>
          <w:p>
            <w:pPr>
              <w:spacing w:after="0"/>
              <w:rPr>
                <w:sz w:val="18"/>
                <w:szCs w:val="18"/>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(51.8)</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600" w:firstLine="8"/>
        <w:spacing w:after="0" w:line="260" w:lineRule="auto"/>
        <w:tabs>
          <w:tab w:leader="none" w:pos="154"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 xml:space="preserve">Reflects the pre-tax gain, net of transaction costs, recognized from the sale of our 49.9% equity interest in Samsung Bioepis to Samsung BioLogics in April 2022. For additional information on the sale of our equity interest in Samsung Bioepis, please read </w:t>
      </w:r>
      <w:r>
        <w:rPr>
          <w:rFonts w:ascii="Arial" w:cs="Arial" w:eastAsia="Arial" w:hAnsi="Arial"/>
          <w:sz w:val="13"/>
          <w:szCs w:val="13"/>
          <w:i w:val="1"/>
          <w:iCs w:val="1"/>
          <w:color w:val="auto"/>
        </w:rPr>
        <w:t>Note 2, Dispositions</w:t>
      </w:r>
      <w:r>
        <w:rPr>
          <w:rFonts w:ascii="Arial" w:cs="Arial" w:eastAsia="Arial" w:hAnsi="Arial"/>
          <w:sz w:val="13"/>
          <w:szCs w:val="13"/>
          <w:color w:val="auto"/>
        </w:rPr>
        <w:t>, to these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(gains) losses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second quarter of 2022 we recorded a pre-tax charge of $900.0 million, plus settlement fees and expenses, related to a litigation settlement agreement to resolve a qui tam litigation relating to conduct prior to 2015. This charge is included within other (income) expense, net in our condensed consolidated statements of income for the three and six months ended June 30,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(gains) losses on investments, net that relate to our equity securities held during the following periods: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 June</w:t>
            </w:r>
          </w:p>
        </w:tc>
        <w:tc>
          <w:tcPr>
            <w:tcW w:w="24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on equity securities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(106.5)</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(28.4)</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267.9</w:t>
            </w:r>
          </w:p>
        </w:tc>
        <w:tc>
          <w:tcPr>
            <w:tcW w:w="0" w:type="dxa"/>
            <w:vAlign w:val="bottom"/>
          </w:tcPr>
          <w:p>
            <w:pPr>
              <w:spacing w:after="0"/>
              <w:rPr>
                <w:sz w:val="1"/>
                <w:szCs w:val="1"/>
                <w:color w:val="auto"/>
              </w:rPr>
            </w:pPr>
          </w:p>
        </w:tc>
      </w:tr>
      <w:tr>
        <w:trPr>
          <w:trHeight w:val="201"/>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realized on equity securities</w:t>
            </w: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16"/>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 recognized on equity securities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(105.8)</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18"/>
                <w:szCs w:val="18"/>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(29.3)</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net unrealized gains recognized during the three months ended June 30, 2023, primarily reflect an increase in the aggregate fair value of our investments in Denali and Sage common stock of approximately $117.7 million, partially offset by a decrease in the fair value of Sangamo common stock of approximately $10.9 million.</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net unrealized losses recognized during the three months ended June 30, 2022, primarily reflect a decrease in the aggregate fair value of our investments in Sangamo, Denali and Ionis common stock of approximately $75.3 million, partially offset by an increase in the fair value of Sage common stock of approximately $3.4 million.</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net unrealized gains recognized during the six months ended June 30, 2023, primarily reflect an increase in the aggregate fair value of our investments in Denali and Sage common stock of approximately $78.0 million, partially offset by a decrease in the fair value of Sangamo and Ionis common stock of approximately $47.4 million.</w:t>
      </w:r>
    </w:p>
    <w:p>
      <w:pPr>
        <w:spacing w:after="0" w:line="7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net unrealized losses recognized during the six months ended June 30, 2022, primarily reflect a decrease in the aggregate fair value of our investments in Denali, Sangamo and Sage common stock of approximately $277.1 million, partially offset by an increase in the fair value of Ionis common stock of approximately $19.0 million.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Accrued Expense and 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 and other consists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192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As of June 30,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Revenue-related reserves for discounts and allowances</w:t>
            </w:r>
          </w:p>
        </w:tc>
        <w:tc>
          <w:tcPr>
            <w:tcW w:w="2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26DCE"/>
                <w:w w:val="76"/>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964.7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891.6</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Employee compensation and benefits</w:t>
            </w:r>
          </w:p>
        </w:tc>
        <w:tc>
          <w:tcPr>
            <w:tcW w:w="240" w:type="dxa"/>
            <w:vAlign w:val="bottom"/>
            <w:shd w:val="clear" w:color="auto" w:fill="DBDBDB"/>
          </w:tcPr>
          <w:p>
            <w:pPr>
              <w:spacing w:after="0"/>
              <w:rPr>
                <w:sz w:val="17"/>
                <w:szCs w:val="17"/>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253.3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395.6</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Collaboration expense</w:t>
            </w:r>
          </w:p>
        </w:tc>
        <w:tc>
          <w:tcPr>
            <w:tcW w:w="240" w:type="dxa"/>
            <w:vAlign w:val="bottom"/>
            <w:shd w:val="clear" w:color="auto" w:fill="DBDBDB"/>
          </w:tcPr>
          <w:p>
            <w:pPr>
              <w:spacing w:after="0"/>
              <w:rPr>
                <w:sz w:val="17"/>
                <w:szCs w:val="17"/>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332.5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277.9</w:t>
            </w:r>
          </w:p>
        </w:tc>
      </w:tr>
      <w:tr>
        <w:trPr>
          <w:trHeight w:val="189"/>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Royalties and licensing fees</w:t>
            </w:r>
          </w:p>
        </w:tc>
        <w:tc>
          <w:tcPr>
            <w:tcW w:w="240" w:type="dxa"/>
            <w:vAlign w:val="bottom"/>
            <w:shd w:val="clear" w:color="auto" w:fill="DBDBDB"/>
          </w:tcPr>
          <w:p>
            <w:pPr>
              <w:spacing w:after="0"/>
              <w:rPr>
                <w:sz w:val="16"/>
                <w:szCs w:val="16"/>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205.0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209.4</w:t>
            </w:r>
          </w:p>
        </w:tc>
      </w:tr>
      <w:tr>
        <w:trPr>
          <w:trHeight w:val="209"/>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DBDBDB"/>
          </w:tcPr>
          <w:p>
            <w:pPr>
              <w:spacing w:after="0"/>
              <w:rPr>
                <w:sz w:val="18"/>
                <w:szCs w:val="18"/>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725.6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746.9</w:t>
            </w:r>
          </w:p>
        </w:tc>
      </w:tr>
      <w:tr>
        <w:trPr>
          <w:trHeight w:val="208"/>
        </w:trPr>
        <w:tc>
          <w:tcPr>
            <w:tcW w:w="6780" w:type="dxa"/>
            <w:vAlign w:val="bottom"/>
            <w:gridSpan w:val="2"/>
          </w:tcPr>
          <w:p>
            <w:pPr>
              <w:ind w:left="240"/>
              <w:spacing w:after="0"/>
              <w:rPr>
                <w:sz w:val="20"/>
                <w:szCs w:val="20"/>
                <w:color w:val="auto"/>
              </w:rPr>
            </w:pPr>
            <w:r>
              <w:rPr>
                <w:rFonts w:ascii="Arial" w:cs="Arial" w:eastAsia="Arial" w:hAnsi="Arial"/>
                <w:sz w:val="14"/>
                <w:szCs w:val="14"/>
                <w:color w:val="auto"/>
              </w:rPr>
              <w:t>Total accrued expense and other</w:t>
            </w:r>
          </w:p>
        </w:tc>
        <w:tc>
          <w:tcPr>
            <w:tcW w:w="2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26DCE"/>
                <w:w w:val="76"/>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2,481.1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2,521.4</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Long-term Liabilities</w:t>
      </w:r>
    </w:p>
    <w:p>
      <w:pPr>
        <w:spacing w:after="0" w:line="12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Other long-term liabilities were $776.9 million and $944.2 million as of June 30, 2023 and December 31, 2022, respectively, and included accrued income taxes totaling $383.3 million and $541.7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6823710" cy="342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23710" cy="342900"/>
                    </a:xfrm>
                    <a:prstGeom prst="rect">
                      <a:avLst/>
                    </a:prstGeom>
                    <a:noFill/>
                  </pic:spPr>
                </pic:pic>
              </a:graphicData>
            </a:graphic>
          </wp:anchor>
        </w:drawing>
      </w:r>
    </w:p>
    <w:p>
      <w:pPr>
        <w:spacing w:after="0" w:line="377"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16:</w:t>
      </w:r>
      <w:r>
        <w:rPr>
          <w:sz w:val="20"/>
          <w:szCs w:val="20"/>
          <w:color w:val="auto"/>
        </w:rPr>
        <w:tab/>
      </w:r>
      <w:r>
        <w:rPr>
          <w:rFonts w:ascii="Arial" w:cs="Arial" w:eastAsia="Arial" w:hAnsi="Arial"/>
          <w:sz w:val="21"/>
          <w:szCs w:val="21"/>
          <w:b w:val="1"/>
          <w:bCs w:val="1"/>
          <w:color w:val="0070C0"/>
        </w:rPr>
        <w:t>Collaborative and Other Relationships</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Genentech, Inc. (Roche Group)</w:t>
      </w:r>
    </w:p>
    <w:p>
      <w:pPr>
        <w:spacing w:after="0" w:line="122"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(mosunetuzumab), for the treatment of relapsed or refractory follicular lymphoma, which was granted accelerated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approval in the U.S. during the fourth quarter of 2022; COLUMVI (glofitamab), a bispecific antibody for the treatment of non-Hodgkin's lymphoma, which was granted accelerated approval by the FDA during the second quarter of 2023; and have the option to add other potential anti-CD20 therapies, pursuant to our collaboration arrangements with Genentech, a wholly-owned member of the Roche Group. For purposes of this footnote, we refer to RITUXAN and RITUXAN HYCELA collectively as RITUXAN.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RITUXAN</w:t>
      </w:r>
    </w:p>
    <w:p>
      <w:pPr>
        <w:spacing w:after="0" w:line="12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Genentech and its affiliates are responsible for the worldwide manufacture of RITUXAN as well as all development and commercialization activities as follows:</w:t>
      </w:r>
    </w:p>
    <w:p>
      <w:pPr>
        <w:spacing w:after="0" w:line="19" w:lineRule="exact"/>
        <w:rPr>
          <w:sz w:val="20"/>
          <w:szCs w:val="20"/>
          <w:color w:val="auto"/>
        </w:rPr>
      </w:pPr>
    </w:p>
    <w:p>
      <w:pPr>
        <w:ind w:left="600" w:hanging="268"/>
        <w:spacing w:after="0"/>
        <w:tabs>
          <w:tab w:leader="none" w:pos="600" w:val="left"/>
        </w:tabs>
        <w:numPr>
          <w:ilvl w:val="0"/>
          <w:numId w:val="16"/>
        </w:numPr>
        <w:rPr>
          <w:rFonts w:ascii="Arial" w:cs="Arial" w:eastAsia="Arial" w:hAnsi="Arial"/>
          <w:sz w:val="20"/>
          <w:szCs w:val="20"/>
          <w:i w:val="1"/>
          <w:iCs w:val="1"/>
          <w:color w:val="0070C0"/>
        </w:rPr>
      </w:pPr>
      <w:r>
        <w:rPr>
          <w:rFonts w:ascii="Arial" w:cs="Arial" w:eastAsia="Arial" w:hAnsi="Arial"/>
          <w:sz w:val="18"/>
          <w:szCs w:val="18"/>
          <w:i w:val="1"/>
          <w:iCs w:val="1"/>
          <w:color w:val="0070C0"/>
        </w:rPr>
        <w:t xml:space="preserve">U.S.: </w:t>
      </w:r>
      <w:r>
        <w:rPr>
          <w:rFonts w:ascii="Arial" w:cs="Arial" w:eastAsia="Arial" w:hAnsi="Arial"/>
          <w:sz w:val="18"/>
          <w:szCs w:val="18"/>
          <w:color w:val="000000"/>
        </w:rPr>
        <w:t>We have co-exclusively licensed our rights to develop, commercialize and market RITUXAN in the U.S.</w:t>
      </w:r>
    </w:p>
    <w:p>
      <w:pPr>
        <w:spacing w:after="0" w:line="67" w:lineRule="exact"/>
        <w:rPr>
          <w:rFonts w:ascii="Arial" w:cs="Arial" w:eastAsia="Arial" w:hAnsi="Arial"/>
          <w:sz w:val="20"/>
          <w:szCs w:val="20"/>
          <w:i w:val="1"/>
          <w:iCs w:val="1"/>
          <w:color w:val="0070C0"/>
        </w:rPr>
      </w:pPr>
    </w:p>
    <w:p>
      <w:pPr>
        <w:ind w:left="600" w:hanging="268"/>
        <w:spacing w:after="0"/>
        <w:tabs>
          <w:tab w:leader="none" w:pos="600" w:val="left"/>
        </w:tabs>
        <w:numPr>
          <w:ilvl w:val="0"/>
          <w:numId w:val="16"/>
        </w:numPr>
        <w:rPr>
          <w:rFonts w:ascii="Arial" w:cs="Arial" w:eastAsia="Arial" w:hAnsi="Arial"/>
          <w:sz w:val="20"/>
          <w:szCs w:val="20"/>
          <w:i w:val="1"/>
          <w:iCs w:val="1"/>
          <w:color w:val="0070C0"/>
        </w:rPr>
      </w:pPr>
      <w:r>
        <w:rPr>
          <w:rFonts w:ascii="Arial" w:cs="Arial" w:eastAsia="Arial" w:hAnsi="Arial"/>
          <w:sz w:val="18"/>
          <w:szCs w:val="18"/>
          <w:i w:val="1"/>
          <w:iCs w:val="1"/>
          <w:color w:val="0070C0"/>
        </w:rPr>
        <w:t xml:space="preserve">Canada: </w:t>
      </w:r>
      <w:r>
        <w:rPr>
          <w:rFonts w:ascii="Arial" w:cs="Arial" w:eastAsia="Arial" w:hAnsi="Arial"/>
          <w:sz w:val="18"/>
          <w:szCs w:val="18"/>
          <w:color w:val="000000"/>
        </w:rPr>
        <w:t>We have co-exclusively licensed our rights to develop, commercialize and market RITUXAN in Canada.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GAZYVA</w:t>
      </w:r>
    </w:p>
    <w:p>
      <w:pPr>
        <w:spacing w:after="0" w:line="1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Roche Group and its sub-licensees maintain sole responsibility for the development, manufacture and commercialization of GAZYVA in the U.S. The level of gross sales of GAZYVA in the U.S. has impacted our percentage of the co-promotion profits for RITUXAN and LUNSUMIO, as summarized in the table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OCREVUS</w:t>
      </w:r>
    </w:p>
    <w:p>
      <w:pPr>
        <w:spacing w:after="0" w:line="123"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Pursuant to the terms of our collaboration arrangements with Genentech, we receive a tiered royalty on U.S. net sales from 13.5% and increasing up to 24.0% if annual net sales exceed $900.0 million. There will be a 50.0% reduction to these royalties if a biosimilar to OCREVUS is approved in the U.S.</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In addition, we receive a gross 3.0% royalty on net sales of OCREVUS outside the U.S., with the royalty period lasting 11 years from the first commercial sale of OCREVUS on a country-by-country basis.</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commercialization of OCREVUS does not impact the percentage of the co-promotion profits we receive for RITUXAN, LUNSUMIO or GAZYVA. Genentech is solely responsible for development and commercialization of OCREVUS and funding future costs. Genentech cannot develop OCREVUS in CLL, non-Hodgkin's lymphoma or rheumatoid arthritis.</w:t>
      </w:r>
    </w:p>
    <w:p>
      <w:pPr>
        <w:spacing w:after="0" w:line="7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OCREVUS royalty revenue is based on our estimates from third-party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LUNSUMIO (mosunetuzumab)</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January 2022 we exercised our option with Genentech to participate in the joint development and commercialization of LUNSUMIO. Under our collaboration with Genentech, we were responsible for 30.0% of development costs for LUNSUMIO prior to FDA approval and will be entitled to a tiered share of co-promotion operating profits and losses in the U.S., as summarized in the table below. In addition, we receive low single-digit royalties on sales of LUNSUMIO outside the U.S.</w:t>
      </w:r>
    </w:p>
    <w:p>
      <w:pPr>
        <w:spacing w:after="0" w:line="8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December 2022 LUNSUMIO was granted accelerated approval by the FDA for the treatment of relapsed or refractory follicular lymphoma. Prior to regulatory approval, we record our share of the expense incurred by the collaboration for the development of anti-CD20 products in research and development expense and pre-commercialization costs within selling, general and administrative expense in our condensed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COLUMVI (glofitamab)</w:t>
      </w:r>
    </w:p>
    <w:p>
      <w:pPr>
        <w:spacing w:after="0" w:line="1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December 2022 we entered into an agreement with Genentech related to the commercialization and sharing of economics for COLUMVI, a bispecific antibody for the treatment of B-cell non-Hodgkin's lymphoma, which was subsequently granted accelerated approval by the FDA in June 2023. Under the terms of this agreement, we will have no payment obligations. Genentech will have sole decision -making rights on the commercialization of COLUMVI within the U.S. and we will receive tiered royalties in the mid-single digit range on net sales of COLUMVI in the U.S. The commercialization of COLUMVI does not impact the percentage of the co-promotion profits we receive for RITUXAN, LUNSUMIO or GAZYVA.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Profit-sharing Formulas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RITUXAN and LUNSUMIO Profit Share</w:t>
      </w:r>
    </w:p>
    <w:p>
      <w:pPr>
        <w:spacing w:after="0" w:line="12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current pretax co-promotion profit-sharing formula for RITUXAN and LUNSUMIO in the U.S. provides for a 30.0% share on the first $50.0 million of combined co-promotion operating profits earned each calendar year. As a result of the FDA approval of LUNSUMIO our share of the combined annual co-promotion profits for RITUXAN and LUNSUMIO in excess of $50.0 million varies upon the following events, as summarized in the table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8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LUNSUMIO Approval until the First Threshold Date</w:t>
            </w:r>
          </w:p>
        </w:tc>
        <w:tc>
          <w:tcPr>
            <w:tcW w:w="354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2573BA"/>
              </w:rPr>
              <w:t>After First Threshold Date until the Second Threshold Date</w:t>
            </w:r>
          </w:p>
        </w:tc>
        <w:tc>
          <w:tcPr>
            <w:tcW w:w="3540" w:type="dxa"/>
            <w:vAlign w:val="bottom"/>
          </w:tcPr>
          <w:p>
            <w:pPr>
              <w:jc w:val="right"/>
              <w:spacing w:after="0"/>
              <w:rPr>
                <w:sz w:val="20"/>
                <w:szCs w:val="20"/>
                <w:color w:val="auto"/>
              </w:rPr>
            </w:pPr>
            <w:r>
              <w:rPr>
                <w:rFonts w:ascii="Arial" w:cs="Arial" w:eastAsia="Arial" w:hAnsi="Arial"/>
                <w:sz w:val="18"/>
                <w:szCs w:val="18"/>
                <w:color w:val="2573BA"/>
              </w:rPr>
              <w:t>35.0 %</w:t>
            </w:r>
          </w:p>
        </w:tc>
      </w:tr>
      <w:tr>
        <w:trPr>
          <w:trHeight w:val="243"/>
        </w:trPr>
        <w:tc>
          <w:tcPr>
            <w:tcW w:w="768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Second Threshold Date</w:t>
            </w:r>
          </w:p>
        </w:tc>
        <w:tc>
          <w:tcPr>
            <w:tcW w:w="354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30.0 %</w:t>
            </w:r>
          </w:p>
        </w:tc>
      </w:tr>
    </w:tbl>
    <w:p>
      <w:pPr>
        <w:spacing w:after="0" w:line="176" w:lineRule="exact"/>
        <w:rPr>
          <w:sz w:val="20"/>
          <w:szCs w:val="20"/>
          <w:color w:val="auto"/>
        </w:rPr>
      </w:pPr>
    </w:p>
    <w:p>
      <w:pPr>
        <w:ind w:left="420" w:right="240"/>
        <w:spacing w:after="0" w:line="263" w:lineRule="auto"/>
        <w:rPr>
          <w:sz w:val="20"/>
          <w:szCs w:val="20"/>
          <w:color w:val="auto"/>
        </w:rPr>
      </w:pPr>
      <w:r>
        <w:rPr>
          <w:rFonts w:ascii="Arial" w:cs="Arial" w:eastAsia="Arial" w:hAnsi="Arial"/>
          <w:sz w:val="18"/>
          <w:szCs w:val="18"/>
          <w:u w:val="single" w:color="auto"/>
          <w:color w:val="auto"/>
        </w:rPr>
        <w:t>First Threshold Date</w:t>
      </w:r>
      <w:r>
        <w:rPr>
          <w:rFonts w:ascii="Arial" w:cs="Arial" w:eastAsia="Arial" w:hAnsi="Arial"/>
          <w:sz w:val="18"/>
          <w:szCs w:val="18"/>
          <w:color w:val="auto"/>
        </w:rPr>
        <w:t xml:space="preserve"> means the earlier of (i) the first day of the calendar quarter following the date U.S. gross sales of GAZYVA within any consecutive 12-month period have reached $500.0 million or (ii) the first date in any calendar year in which U.S. gross sales of LUNSUMIO have reached $150.0 million.</w:t>
      </w:r>
    </w:p>
    <w:p>
      <w:pPr>
        <w:spacing w:after="0" w:line="76" w:lineRule="exact"/>
        <w:rPr>
          <w:sz w:val="20"/>
          <w:szCs w:val="20"/>
          <w:color w:val="auto"/>
        </w:rPr>
      </w:pPr>
    </w:p>
    <w:p>
      <w:pPr>
        <w:ind w:left="420"/>
        <w:spacing w:after="0" w:line="306" w:lineRule="auto"/>
        <w:rPr>
          <w:sz w:val="20"/>
          <w:szCs w:val="20"/>
          <w:color w:val="auto"/>
        </w:rPr>
      </w:pPr>
      <w:r>
        <w:rPr>
          <w:rFonts w:ascii="Arial" w:cs="Arial" w:eastAsia="Arial" w:hAnsi="Arial"/>
          <w:sz w:val="17"/>
          <w:szCs w:val="17"/>
          <w:u w:val="single" w:color="auto"/>
          <w:color w:val="auto"/>
        </w:rPr>
        <w:t>Second Threshold Date</w:t>
      </w:r>
      <w:r>
        <w:rPr>
          <w:rFonts w:ascii="Arial" w:cs="Arial" w:eastAsia="Arial" w:hAnsi="Arial"/>
          <w:sz w:val="17"/>
          <w:szCs w:val="17"/>
          <w:color w:val="auto"/>
        </w:rPr>
        <w:t xml:space="preserve"> means the later of (i) the first date the gross sales in any calendar year in which U.S. gross sales of LUNSUMIO reach $350.0 million or (ii) January 1 of the calendar year following the calendar year in which the First Threshold Date occurs.</w:t>
      </w:r>
    </w:p>
    <w:p>
      <w:pPr>
        <w:spacing w:after="0" w:line="42"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In March 2023 the First Threshold Date was achieved. As a result, beginning in April 2023 the pre-tax profit share for RITUXAN and LUNSUMIO was 35.0%.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GAZYVA Profit Share</w:t>
      </w:r>
    </w:p>
    <w:p>
      <w:pPr>
        <w:spacing w:after="0" w:line="12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current pretax profit-sharing formula for GAZYVA provides for a 35.0% share on the first $ 50.0 million of operating profits earned each calendar year. Our share of annual co-promotion profits in excess of $50.0 million varies upon the following events, as summarized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Until Second GAZYVA Threshold Date</w:t>
            </w:r>
          </w:p>
        </w:tc>
        <w:tc>
          <w:tcPr>
            <w:tcW w:w="434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2573BA"/>
              </w:rPr>
              <w:t>After Second GAZYVA Threshold Date</w:t>
            </w:r>
          </w:p>
        </w:tc>
        <w:tc>
          <w:tcPr>
            <w:tcW w:w="4340" w:type="dxa"/>
            <w:vAlign w:val="bottom"/>
          </w:tcPr>
          <w:p>
            <w:pPr>
              <w:jc w:val="right"/>
              <w:spacing w:after="0"/>
              <w:rPr>
                <w:sz w:val="20"/>
                <w:szCs w:val="20"/>
                <w:color w:val="auto"/>
              </w:rPr>
            </w:pPr>
            <w:r>
              <w:rPr>
                <w:rFonts w:ascii="Arial" w:cs="Arial" w:eastAsia="Arial" w:hAnsi="Arial"/>
                <w:sz w:val="18"/>
                <w:szCs w:val="18"/>
                <w:color w:val="2573BA"/>
              </w:rPr>
              <w:t>35.0 %</w:t>
            </w:r>
          </w:p>
        </w:tc>
      </w:tr>
    </w:tbl>
    <w:p>
      <w:pPr>
        <w:spacing w:after="0" w:line="190" w:lineRule="exact"/>
        <w:rPr>
          <w:sz w:val="20"/>
          <w:szCs w:val="20"/>
          <w:color w:val="auto"/>
        </w:rPr>
      </w:pPr>
    </w:p>
    <w:p>
      <w:pPr>
        <w:jc w:val="both"/>
        <w:ind w:left="420" w:right="100"/>
        <w:spacing w:after="0" w:line="263" w:lineRule="auto"/>
        <w:rPr>
          <w:sz w:val="20"/>
          <w:szCs w:val="20"/>
          <w:color w:val="auto"/>
        </w:rPr>
      </w:pPr>
      <w:r>
        <w:rPr>
          <w:rFonts w:ascii="Arial" w:cs="Arial" w:eastAsia="Arial" w:hAnsi="Arial"/>
          <w:sz w:val="18"/>
          <w:szCs w:val="18"/>
          <w:u w:val="single" w:color="auto"/>
          <w:color w:val="auto"/>
        </w:rPr>
        <w:t>Second GAZYVA Threshold Date</w:t>
      </w:r>
      <w:r>
        <w:rPr>
          <w:rFonts w:ascii="Arial" w:cs="Arial" w:eastAsia="Arial" w:hAnsi="Arial"/>
          <w:sz w:val="18"/>
          <w:szCs w:val="18"/>
          <w:color w:val="auto"/>
        </w:rPr>
        <w:t xml:space="preserve"> means the first day of the calendar quarter following the date U.S. gross sales of GAZYVA within any consecutive 12-month period have reached $500.0 million. The second GAZYVA threshold date can be achieved regardless of whether GAZYVA has been approved in a non-CLL indication.</w:t>
      </w:r>
    </w:p>
    <w:p>
      <w:pPr>
        <w:spacing w:after="0" w:line="7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In March 2023 the Second GAZYVA Threshold Date was achieved. As a result, beginning in April 2023 the pre-tax profit share for GAZYVA was 35.0%.</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Eisai Co., Ltd.</w:t>
      </w:r>
    </w:p>
    <w:p>
      <w:pPr>
        <w:spacing w:after="0" w:line="13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first quarter of 2023 we accrued a $31.0 million payable to Eisai related to the termination of an agreement whereby Eisai co-promoted or distributed our MS products in certain Asia-Pacific markets and settings. This termination fee is included in selling, general and administrative expense in our condensed consolidated statements of income for the six months ended June 30, 2023.</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LEQEMBI (lecanemab) Collaboration</w:t>
      </w:r>
    </w:p>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(the LEQEMBI Collaboration).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83"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Eisai serves as the lead of LEQEMBI development and regulatory submissions globally with both companies co-commercializing and co-promoting the product, and Eisai having final decision-making authority. All costs, including research, development, sales and marketing expense, are shared equally between us and Eisai. We and Eisai co-promote LEQEMBI and share profits and losses equally. We currently manufacture LEQEMBI drug substance and drug product and in March 2022 we extended our supply agreement with Eisai related to LEQEMBI from five years to ten years for the manufacture of LEQEMBI drug substance.</w:t>
      </w:r>
    </w:p>
    <w:p>
      <w:pPr>
        <w:spacing w:after="0" w:line="9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July 2023 the FDA granted traditional approval of LEQEMBI. Prior to receiving traditional approval, LEQEMBI had been granted accelerated approval by the FDA in January 2023, at which time it became commercially available in the U.S. Upon commercialization, we began recognizing commercial profits and losses related to the LEQEMBI Collaboration Agreement on a net basis. As we are not the principal on sales transactions related to LEQEMBI, our 50.0% share of profits are recorded on a net basis in revenue from LEQEMBI Collaboration, which is a separate component of revenue within our condensed consolidated statements of income.</w:t>
      </w:r>
    </w:p>
    <w:p>
      <w:pPr>
        <w:spacing w:after="0" w:line="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the three and six months ended June 30, 2023, we recognized reductions to revenue of approximately $20.7 million and $39.6 million, respectively, reflecting our net profit-share of the LEQEMBI Collaboration results in the U.S. This amount is included in revenue from LEQEMBI Collaboration within our condensed consolidated statements of income.</w:t>
      </w:r>
    </w:p>
    <w:p>
      <w:pPr>
        <w:spacing w:after="0" w:line="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first quarter of 2023, upon commercialization of LEQEMBI, we began recognizing our portion of the profit share in revenue from LEQEMBI Collaboration within our condensed consolidated income statements. Our share of LEQEMBI development expense will continue to be recorded within research and development expense and, until commercial approval on a region by region basis, non-U.S. selling and marketing expense will continue to be recorded in selling, general and administrative expense within our condensed consolidated statements of income. A summary of development and sales and marketing expense related to the LEQEMBI Collaboration is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c>
          <w:tcPr>
            <w:tcW w:w="226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Six Months Ended June</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w w:val="99"/>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71"/>
              </w:rPr>
              <w:t>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840" w:type="dxa"/>
            <w:vAlign w:val="bottom"/>
            <w:tcBorders>
              <w:bottom w:val="single" w:sz="8" w:color="auto"/>
              <w:right w:val="single" w:sz="8" w:color="DDDDDD"/>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Total development expense incurred by the collaboration related to the advancement of LEQEMBI</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86.2</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5"/>
                <w:szCs w:val="15"/>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8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194.1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157"/>
        </w:trPr>
        <w:tc>
          <w:tcPr>
            <w:tcW w:w="66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Biogen's share of the LEQEMBI Collaboration development expense reflected in research and</w:t>
            </w:r>
          </w:p>
        </w:tc>
        <w:tc>
          <w:tcPr>
            <w:tcW w:w="14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40" w:type="dxa"/>
            <w:vAlign w:val="bottom"/>
            <w:tcBorders>
              <w:right w:val="single" w:sz="8" w:color="DBDBDB"/>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4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97.0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60"/>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LEQEMBI Collaboration prior to</w:t>
            </w:r>
          </w:p>
        </w:tc>
        <w:tc>
          <w:tcPr>
            <w:tcW w:w="14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17.1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4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27.6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97"/>
        </w:trPr>
        <w:tc>
          <w:tcPr>
            <w:tcW w:w="6600" w:type="dxa"/>
            <w:vAlign w:val="bottom"/>
            <w:gridSpan w:val="2"/>
          </w:tcPr>
          <w:p>
            <w:pPr>
              <w:ind w:left="20"/>
              <w:spacing w:after="0" w:line="197" w:lineRule="exact"/>
              <w:rPr>
                <w:sz w:val="20"/>
                <w:szCs w:val="20"/>
                <w:color w:val="auto"/>
              </w:rPr>
            </w:pPr>
            <w:r>
              <w:rPr>
                <w:rFonts w:ascii="Arial" w:cs="Arial" w:eastAsia="Arial" w:hAnsi="Arial"/>
                <w:sz w:val="14"/>
                <w:szCs w:val="14"/>
                <w:color w:val="auto"/>
              </w:rPr>
              <w:t>commercialization</w:t>
            </w:r>
            <w:r>
              <w:rPr>
                <w:rFonts w:ascii="Arial" w:cs="Arial" w:eastAsia="Arial" w:hAnsi="Arial"/>
                <w:sz w:val="18"/>
                <w:szCs w:val="18"/>
                <w:color w:val="auto"/>
                <w:vertAlign w:val="superscript"/>
              </w:rPr>
              <w:t>(1)</w:t>
            </w:r>
          </w:p>
        </w:tc>
        <w:tc>
          <w:tcPr>
            <w:tcW w:w="14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40" w:type="dxa"/>
            <w:vAlign w:val="bottom"/>
            <w:tcBorders>
              <w:right w:val="single" w:sz="8" w:color="DBDBDB"/>
            </w:tcBorders>
            <w:vMerge w:val="continue"/>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Biogen's share of the LEQEMBI Collaboration sales and marketing expense prior to</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840" w:type="dxa"/>
            <w:vAlign w:val="bottom"/>
            <w:tcBorders>
              <w:right w:val="single" w:sz="8" w:color="DBDBDB"/>
            </w:tcBorders>
            <w:shd w:val="clear" w:color="auto" w:fill="DBDBDB"/>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0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commercialization reflected in selling, general and administrative expense in our condensed</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840" w:type="dxa"/>
            <w:vAlign w:val="bottom"/>
            <w:tcBorders>
              <w:right w:val="single" w:sz="8" w:color="DBDBDB"/>
            </w:tcBorders>
            <w:shd w:val="clear" w:color="auto" w:fill="DBDBDB"/>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income</w:t>
            </w:r>
            <w:r>
              <w:rPr>
                <w:rFonts w:ascii="Arial" w:cs="Arial" w:eastAsia="Arial" w:hAnsi="Arial"/>
                <w:sz w:val="9"/>
                <w:szCs w:val="9"/>
                <w:color w:val="auto"/>
              </w:rPr>
              <w:t>(1)</w:t>
            </w:r>
          </w:p>
        </w:tc>
        <w:tc>
          <w:tcPr>
            <w:tcW w:w="14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179705</wp:posOffset>
            </wp:positionV>
            <wp:extent cx="2425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53" w:lineRule="exact"/>
        <w:rPr>
          <w:sz w:val="20"/>
          <w:szCs w:val="20"/>
          <w:color w:val="auto"/>
        </w:rPr>
      </w:pPr>
    </w:p>
    <w:p>
      <w:pPr>
        <w:ind w:right="280" w:firstLine="8"/>
        <w:spacing w:after="0" w:line="302" w:lineRule="auto"/>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Beginning in the first quarter of 2023 reimbursement to Eisai for our portion of the profit share is recognized in revenue from LEQEMBI Collaboration within our condensed consolidated statements of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ADUHELM Collaboration Agreement</w:t>
      </w:r>
    </w:p>
    <w:p>
      <w:pPr>
        <w:spacing w:after="0" w:line="12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LEQEMBI Collaboration also provided Eisai with an option to jointly develop and commercialize ADUHELM (aducanumab) (ADUHELM Option). In October 2017 Eisai exercised its ADUHELM Option and we entered into a new collaboration agreement for the joint development and commercialization of ADUHELM (the ADUHELM Collaboration Agreement).</w:t>
      </w:r>
    </w:p>
    <w:p>
      <w:pPr>
        <w:spacing w:after="0" w:line="7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Under our initial ADUHELM Collaboration Agreement, we would lead the ongoing development of ADUHELM, and we and Eisai would co-promote ADUHELM with a region-based profit split. Beginning in 2019, Eisai was reimbursing us for 45.0% of development and sales and marketing expense incurred by the collaboration for the advancement of ADUHELM.</w:t>
      </w:r>
    </w:p>
    <w:p>
      <w:pPr>
        <w:spacing w:after="0" w:line="7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March 2022 we amended our ADUHELM Collaboration Agreement with Eisai. As of the amendment date, we have sole decision making and commercialization rights worldwide on ADUHELM, and beginning January 1, 2023, Eisai receives only a tiered royalty based on net sales of ADUHELM, and no longer participates in sharing ADUHELM's global profits and losses. Eisai's share of development, commercialization and manufacturing expense was limited to $335.0 million for the period from January 1, 2022 to December 31, 2022, which was achieved as of December 31, 2022. Once this limit was achieved, we became responsible for all ADUHELM related costs.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640"/>
        <w:spacing w:after="0" w:line="273" w:lineRule="auto"/>
        <w:rPr>
          <w:sz w:val="20"/>
          <w:szCs w:val="20"/>
          <w:color w:val="auto"/>
        </w:rPr>
      </w:pPr>
      <w:r>
        <w:rPr>
          <w:rFonts w:ascii="Arial" w:cs="Arial" w:eastAsia="Arial" w:hAnsi="Arial"/>
          <w:sz w:val="18"/>
          <w:szCs w:val="18"/>
          <w:color w:val="auto"/>
        </w:rPr>
        <w:t>A summary of development expense and sales and marketing expense related to our initial ADUHELM Collaboration Agreement is as follows:</w:t>
      </w:r>
    </w:p>
    <w:tbl>
      <w:tblPr>
        <w:tblLayout w:type="fixed"/>
        <w:tblInd w:w="0" w:type="dxa"/>
        <w:tblCellMar>
          <w:top w:w="0" w:type="dxa"/>
          <w:left w:w="0" w:type="dxa"/>
          <w:bottom w:w="0" w:type="dxa"/>
          <w:right w:w="0" w:type="dxa"/>
        </w:tblCellMar>
      </w:tblPr>
      <w:tr>
        <w:trPr>
          <w:trHeight w:val="150"/>
        </w:trPr>
        <w:tc>
          <w:tcPr>
            <w:tcW w:w="7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right"/>
              <w:ind w:right="108"/>
              <w:spacing w:after="0" w:line="150" w:lineRule="exact"/>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right"/>
              <w:ind w:right="188"/>
              <w:spacing w:after="0" w:line="150" w:lineRule="exact"/>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89"/>
        </w:trPr>
        <w:tc>
          <w:tcPr>
            <w:tcW w:w="7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95"/>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7620" w:type="dxa"/>
            <w:vAlign w:val="bottom"/>
          </w:tcPr>
          <w:p>
            <w:pPr>
              <w:ind w:left="20"/>
              <w:spacing w:after="0"/>
              <w:rPr>
                <w:sz w:val="20"/>
                <w:szCs w:val="20"/>
                <w:color w:val="auto"/>
              </w:rPr>
            </w:pPr>
            <w:r>
              <w:rPr>
                <w:rFonts w:ascii="Arial" w:cs="Arial" w:eastAsia="Arial" w:hAnsi="Arial"/>
                <w:sz w:val="14"/>
                <w:szCs w:val="14"/>
                <w:color w:val="auto"/>
              </w:rPr>
              <w:t>Total ADUHELM Collaboration development expense</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61"/>
        </w:trPr>
        <w:tc>
          <w:tcPr>
            <w:tcW w:w="7620" w:type="dxa"/>
            <w:vAlign w:val="bottom"/>
          </w:tcPr>
          <w:p>
            <w:pPr>
              <w:ind w:left="20"/>
              <w:spacing w:after="0"/>
              <w:rPr>
                <w:sz w:val="20"/>
                <w:szCs w:val="20"/>
                <w:color w:val="auto"/>
              </w:rPr>
            </w:pPr>
            <w:r>
              <w:rPr>
                <w:rFonts w:ascii="Arial" w:cs="Arial" w:eastAsia="Arial" w:hAnsi="Arial"/>
                <w:sz w:val="14"/>
                <w:szCs w:val="14"/>
                <w:color w:val="auto"/>
              </w:rPr>
              <w:t>Biogen's share of ADUHELM Collaboration development expense reflected in research and development expense in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vMerge w:val="restart"/>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82"/>
        </w:trPr>
        <w:tc>
          <w:tcPr>
            <w:tcW w:w="7620" w:type="dxa"/>
            <w:vAlign w:val="bottom"/>
          </w:tcPr>
          <w:p>
            <w:pPr>
              <w:ind w:left="20"/>
              <w:spacing w:after="0"/>
              <w:rPr>
                <w:sz w:val="20"/>
                <w:szCs w:val="20"/>
                <w:color w:val="auto"/>
              </w:rPr>
            </w:pPr>
            <w:r>
              <w:rPr>
                <w:rFonts w:ascii="Arial" w:cs="Arial" w:eastAsia="Arial" w:hAnsi="Arial"/>
                <w:sz w:val="14"/>
                <w:szCs w:val="14"/>
                <w:color w:val="auto"/>
              </w:rPr>
              <w:t>our condensed consolidated statements of income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20" w:type="dxa"/>
            <w:vAlign w:val="bottom"/>
          </w:tcPr>
          <w:p>
            <w:pPr>
              <w:ind w:left="20"/>
              <w:spacing w:after="0"/>
              <w:rPr>
                <w:sz w:val="20"/>
                <w:szCs w:val="20"/>
                <w:color w:val="auto"/>
              </w:rPr>
            </w:pPr>
            <w:r>
              <w:rPr>
                <w:rFonts w:ascii="Arial" w:cs="Arial" w:eastAsia="Arial" w:hAnsi="Arial"/>
                <w:sz w:val="14"/>
                <w:szCs w:val="14"/>
                <w:color w:val="auto"/>
              </w:rPr>
              <w:t>Total sales and marketing expense incurred by the ADUHELM Collaboration Agreement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161"/>
        </w:trPr>
        <w:tc>
          <w:tcPr>
            <w:tcW w:w="7620" w:type="dxa"/>
            <w:vAlign w:val="bottom"/>
          </w:tcPr>
          <w:p>
            <w:pPr>
              <w:ind w:left="20"/>
              <w:spacing w:after="0"/>
              <w:rPr>
                <w:sz w:val="20"/>
                <w:szCs w:val="20"/>
                <w:color w:val="auto"/>
              </w:rPr>
            </w:pPr>
            <w:r>
              <w:rPr>
                <w:rFonts w:ascii="Arial" w:cs="Arial" w:eastAsia="Arial" w:hAnsi="Arial"/>
                <w:sz w:val="14"/>
                <w:szCs w:val="14"/>
                <w:color w:val="auto"/>
              </w:rPr>
              <w:t>Biogen's share of ADUHELM Collaboration sales and marketing expense reflected in selling, general and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620" w:type="dxa"/>
            <w:vAlign w:val="bottom"/>
          </w:tcPr>
          <w:p>
            <w:pPr>
              <w:ind w:left="20"/>
              <w:spacing w:after="0" w:line="143" w:lineRule="exact"/>
              <w:rPr>
                <w:sz w:val="20"/>
                <w:szCs w:val="20"/>
                <w:color w:val="auto"/>
              </w:rPr>
            </w:pPr>
            <w:r>
              <w:rPr>
                <w:rFonts w:ascii="Arial" w:cs="Arial" w:eastAsia="Arial" w:hAnsi="Arial"/>
                <w:sz w:val="14"/>
                <w:szCs w:val="14"/>
                <w:color w:val="auto"/>
              </w:rPr>
              <w:t>administrative expense and collaboration profit sharing/(loss reimbursement) in our condensed consolidated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20" w:type="dxa"/>
            <w:vAlign w:val="bottom"/>
          </w:tcPr>
          <w:p>
            <w:pPr>
              <w:ind w:left="20"/>
              <w:spacing w:after="0"/>
              <w:rPr>
                <w:sz w:val="20"/>
                <w:szCs w:val="20"/>
                <w:color w:val="auto"/>
              </w:rPr>
            </w:pPr>
            <w:r>
              <w:rPr>
                <w:rFonts w:ascii="Arial" w:cs="Arial" w:eastAsia="Arial" w:hAnsi="Arial"/>
                <w:sz w:val="14"/>
                <w:szCs w:val="14"/>
                <w:color w:val="auto"/>
              </w:rPr>
              <w:t>statements of income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6DAD46"/>
        </w:rPr>
        <w:t>ADUHELM Co-promotion Profits and Losses</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initial ADUHELM Collaboration Agreement, we recognized revenue on sales of ADUHELM in the U.S. to third parties as a component of product revenue in our condensed consolidated statements of income. We also recorded the related cost of revenue and sales and marketing expense in our condensed consolidated statements of income as these costs were incurred. Payments made to and received from Eisai for its 45.0% share of the co-promotion profits or losses in the U.S. were recognized in collaboration profit sharing/(loss reimbursement) in our condensed consolidated statements of income. For the three and six months ended June 30, 2022, we recognized net reductions to our operating expense of approximately $28.9 million and $210.6 million, respectively, to reflect Eisai's 45.0% share of net collaboration losses in the U.S.</w:t>
      </w:r>
    </w:p>
    <w:p>
      <w:pPr>
        <w:spacing w:after="0" w:line="8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first quarter of 2022, as a result of the final NCD, we recorded approximately $275.0 million of charges associated with the write-off of inventory and purchase commitments in excess of forecasted demand related to ADUHELM, as well as approximately $ 45.0 million of gross idle capacity charges, which were recognized in cost of sales within our condensed consolidated statements of income for the six months ended June 30, 2022. We recognized approximately $160.0 million related to Eisai's 45.0% share of these charges in collaboration profit sharing/(loss reimbursement) within our condensed consolidated statements of income for the six months ended June 30, 2022.</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Amounts receivable from Eisai related to the agreements discussed above were approximately $ 23.5 million and $88.0 million as of June 30, 2023 and December 31, 2022, respectively. Amounts payable to Eisai related to the agreements discussed above were $99.3 million and $81.2 million as of June 30, 2023 and December 31, 2022, respectively.</w:t>
      </w:r>
    </w:p>
    <w:p>
      <w:pPr>
        <w:spacing w:after="0" w:line="7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2022 Form 10-K.</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UCB</w:t>
      </w:r>
    </w:p>
    <w:p>
      <w:pPr>
        <w:spacing w:after="0" w:line="13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have a collaboration agreement with UCB, effective November 2003, to jointly develop and commercialize dapirolizumab pegol, an anti-CD40L pegylated Fab, for the potential treatment of SLE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84"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If marketing approval is obtained, both companies will co-promote dapirolizumab pegol and share profits and losses equally.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UCB collaboration agreement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 June</w:t>
            </w:r>
          </w:p>
        </w:tc>
        <w:tc>
          <w:tcPr>
            <w:tcW w:w="100" w:type="dxa"/>
            <w:vAlign w:val="bottom"/>
          </w:tcPr>
          <w:p>
            <w:pPr>
              <w:spacing w:after="0"/>
              <w:rPr>
                <w:sz w:val="14"/>
                <w:szCs w:val="14"/>
                <w:color w:val="auto"/>
              </w:rPr>
            </w:pPr>
          </w:p>
        </w:tc>
        <w:tc>
          <w:tcPr>
            <w:tcW w:w="228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rPr>
              <w:t>For the Six Months Ended June</w:t>
            </w:r>
          </w:p>
        </w:tc>
      </w:tr>
      <w:tr>
        <w:trPr>
          <w:trHeight w:val="189"/>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r>
      <w:tr>
        <w:trPr>
          <w:trHeight w:val="195"/>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right w:val="single" w:sz="8" w:color="DDDDDD"/>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040" w:type="dxa"/>
            <w:vAlign w:val="bottom"/>
            <w:tcBorders>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4"/>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24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14.3</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32.6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157"/>
        </w:trPr>
        <w:tc>
          <w:tcPr>
            <w:tcW w:w="6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Biogen's share of UCB collaboration development expense reflected in research and</w:t>
            </w:r>
          </w:p>
        </w:tc>
        <w:tc>
          <w:tcPr>
            <w:tcW w:w="240" w:type="dxa"/>
            <w:vAlign w:val="bottom"/>
            <w:shd w:val="clear" w:color="auto" w:fill="DBDBDB"/>
          </w:tcPr>
          <w:p>
            <w:pPr>
              <w:spacing w:after="0"/>
              <w:rPr>
                <w:sz w:val="13"/>
                <w:szCs w:val="13"/>
                <w:color w:val="auto"/>
              </w:rPr>
            </w:pPr>
          </w:p>
        </w:tc>
        <w:tc>
          <w:tcPr>
            <w:tcW w:w="880" w:type="dxa"/>
            <w:vAlign w:val="bottom"/>
            <w:tcBorders>
              <w:right w:val="single" w:sz="8" w:color="DBDBDB"/>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40" w:type="dxa"/>
            <w:vAlign w:val="bottom"/>
            <w:tcBorders>
              <w:right w:val="single" w:sz="8" w:color="DBDBDB"/>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4"/>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240" w:type="dxa"/>
            <w:vAlign w:val="bottom"/>
            <w:shd w:val="clear" w:color="auto" w:fill="DBDBDB"/>
          </w:tcPr>
          <w:p>
            <w:pPr>
              <w:spacing w:after="0"/>
              <w:rPr>
                <w:sz w:val="16"/>
                <w:szCs w:val="16"/>
                <w:color w:val="auto"/>
              </w:rPr>
            </w:pP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Sage Therapeutics, Inc.</w:t>
      </w:r>
    </w:p>
    <w:p>
      <w:pPr>
        <w:spacing w:after="0" w:line="13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zuranolone for the potential treatment of MDD and PPD and BIIB124 (SAGE-324) for the potential treatment of essential tremor with potential in other neurological conditions such as epilepsy.</w:t>
      </w:r>
    </w:p>
    <w:p>
      <w:pPr>
        <w:spacing w:after="0" w:line="6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Sage potential tiered royalties in the high teens to low twenties. We may pay Sage milestones totaling $225.0 million upon the first commercial sale of zuranolone in the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Sage collaboration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 June</w:t>
            </w:r>
          </w:p>
        </w:tc>
        <w:tc>
          <w:tcPr>
            <w:tcW w:w="100" w:type="dxa"/>
            <w:vAlign w:val="bottom"/>
          </w:tcPr>
          <w:p>
            <w:pPr>
              <w:spacing w:after="0"/>
              <w:rPr>
                <w:sz w:val="14"/>
                <w:szCs w:val="14"/>
                <w:color w:val="auto"/>
              </w:rPr>
            </w:pPr>
          </w:p>
        </w:tc>
        <w:tc>
          <w:tcPr>
            <w:tcW w:w="228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rPr>
              <w:t>For the Six Months Ended June</w:t>
            </w:r>
          </w:p>
        </w:tc>
      </w:tr>
      <w:tr>
        <w:trPr>
          <w:trHeight w:val="189"/>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r>
      <w:tr>
        <w:trPr>
          <w:trHeight w:val="195"/>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right w:val="single" w:sz="8" w:color="DDDDDD"/>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040" w:type="dxa"/>
            <w:vAlign w:val="bottom"/>
            <w:tcBorders>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4"/>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Total Sage collaboration development expense</w:t>
            </w:r>
          </w:p>
        </w:tc>
        <w:tc>
          <w:tcPr>
            <w:tcW w:w="24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52.1</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86.9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89.5</w:t>
            </w:r>
          </w:p>
        </w:tc>
      </w:tr>
      <w:tr>
        <w:trPr>
          <w:trHeight w:val="157"/>
        </w:trPr>
        <w:tc>
          <w:tcPr>
            <w:tcW w:w="6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Biogen's share of Sage collaboration development expense reflected in research and</w:t>
            </w:r>
          </w:p>
        </w:tc>
        <w:tc>
          <w:tcPr>
            <w:tcW w:w="240" w:type="dxa"/>
            <w:vAlign w:val="bottom"/>
            <w:shd w:val="clear" w:color="auto" w:fill="DBDBDB"/>
          </w:tcPr>
          <w:p>
            <w:pPr>
              <w:spacing w:after="0"/>
              <w:rPr>
                <w:sz w:val="13"/>
                <w:szCs w:val="13"/>
                <w:color w:val="auto"/>
              </w:rPr>
            </w:pPr>
          </w:p>
        </w:tc>
        <w:tc>
          <w:tcPr>
            <w:tcW w:w="880" w:type="dxa"/>
            <w:vAlign w:val="bottom"/>
            <w:tcBorders>
              <w:right w:val="single" w:sz="8" w:color="DBDBDB"/>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40" w:type="dxa"/>
            <w:vAlign w:val="bottom"/>
            <w:tcBorders>
              <w:right w:val="single" w:sz="8" w:color="DBDBDB"/>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2"/>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240" w:type="dxa"/>
            <w:vAlign w:val="bottom"/>
            <w:shd w:val="clear" w:color="auto" w:fill="DBDBDB"/>
          </w:tcPr>
          <w:p>
            <w:pPr>
              <w:spacing w:after="0"/>
              <w:rPr>
                <w:sz w:val="15"/>
                <w:szCs w:val="15"/>
                <w:color w:val="auto"/>
              </w:rPr>
            </w:pP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26.1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43.5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189"/>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Sage collaboration</w:t>
            </w:r>
          </w:p>
        </w:tc>
        <w:tc>
          <w:tcPr>
            <w:tcW w:w="240" w:type="dxa"/>
            <w:vAlign w:val="bottom"/>
            <w:shd w:val="clear" w:color="auto" w:fill="DBDBDB"/>
          </w:tcPr>
          <w:p>
            <w:pPr>
              <w:spacing w:after="0"/>
              <w:rPr>
                <w:sz w:val="16"/>
                <w:szCs w:val="16"/>
                <w:color w:val="auto"/>
              </w:rPr>
            </w:pP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60.1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98.3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41.4</w:t>
            </w:r>
          </w:p>
        </w:tc>
      </w:tr>
      <w:tr>
        <w:trPr>
          <w:trHeight w:val="169"/>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Biogen's share of Sage collaboration sales and marketing expense reflected in selling, general</w:t>
            </w:r>
          </w:p>
        </w:tc>
        <w:tc>
          <w:tcPr>
            <w:tcW w:w="240" w:type="dxa"/>
            <w:vAlign w:val="bottom"/>
            <w:shd w:val="clear" w:color="auto" w:fill="DBDBDB"/>
          </w:tcPr>
          <w:p>
            <w:pPr>
              <w:spacing w:after="0"/>
              <w:rPr>
                <w:sz w:val="14"/>
                <w:szCs w:val="14"/>
                <w:color w:val="auto"/>
              </w:rPr>
            </w:pPr>
          </w:p>
        </w:tc>
        <w:tc>
          <w:tcPr>
            <w:tcW w:w="880" w:type="dxa"/>
            <w:vAlign w:val="bottom"/>
            <w:tcBorders>
              <w:right w:val="single" w:sz="8" w:color="DBDBDB"/>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40" w:type="dxa"/>
            <w:vAlign w:val="bottom"/>
            <w:tcBorders>
              <w:right w:val="single" w:sz="8" w:color="DBDBDB"/>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1"/>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and administrative expense in our condensed consolidated statements of income</w:t>
            </w:r>
          </w:p>
        </w:tc>
        <w:tc>
          <w:tcPr>
            <w:tcW w:w="240" w:type="dxa"/>
            <w:vAlign w:val="bottom"/>
            <w:shd w:val="clear" w:color="auto" w:fill="DBDBDB"/>
          </w:tcPr>
          <w:p>
            <w:pPr>
              <w:spacing w:after="0"/>
              <w:rPr>
                <w:sz w:val="15"/>
                <w:szCs w:val="15"/>
                <w:color w:val="auto"/>
              </w:rPr>
            </w:pP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30.0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49.1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Denali Therapeutics Inc.</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August 2020 we entered into a collaboration and license agreement with Denali to co-develop and co-commercialize Denali's small molecule inhibitors of LRRK2 for Parkinson's disease and also entered into a separate agreement to obtain an exclusive option to license two preclinical programs from Denali's Transport Vehicle platform, including its ATV-enabled anti-amyloid beta program and a second program utilizing its Transport Vehicle technology.</w:t>
      </w:r>
    </w:p>
    <w:p>
      <w:pPr>
        <w:spacing w:after="0" w:line="8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April 2023 we exercised our option with Denali to license the ATV-enabled anti-amyloid beta program. In connection with this exercise, we assumed responsibility for all development and commercial activities and associated expenses related to this program. In addition, we made a one-time option exercise payment to Denali and, should certain milestones be achieved, may pay Denali additional development and commercial milestone payments and royalties based on future net sales.</w:t>
      </w:r>
    </w:p>
    <w:p>
      <w:pPr>
        <w:spacing w:after="0" w:line="8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Denali collaboration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 June</w:t>
            </w:r>
          </w:p>
        </w:tc>
        <w:tc>
          <w:tcPr>
            <w:tcW w:w="100" w:type="dxa"/>
            <w:vAlign w:val="bottom"/>
          </w:tcPr>
          <w:p>
            <w:pPr>
              <w:spacing w:after="0"/>
              <w:rPr>
                <w:sz w:val="14"/>
                <w:szCs w:val="14"/>
                <w:color w:val="auto"/>
              </w:rPr>
            </w:pPr>
          </w:p>
        </w:tc>
        <w:tc>
          <w:tcPr>
            <w:tcW w:w="228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rPr>
              <w:t>For the Six Months Ended June</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right w:val="single" w:sz="8" w:color="DDDDDD"/>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040" w:type="dxa"/>
            <w:vAlign w:val="bottom"/>
            <w:tcBorders>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Total Denali collaboration development expense</w:t>
            </w:r>
          </w:p>
        </w:tc>
        <w:tc>
          <w:tcPr>
            <w:tcW w:w="240" w:type="dxa"/>
            <w:vAlign w:val="bottom"/>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22.1</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38.7</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60"/>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Biogen's share of Denali collaboration development expense reflected in research and</w:t>
            </w:r>
          </w:p>
        </w:tc>
        <w:tc>
          <w:tcPr>
            <w:tcW w:w="240" w:type="dxa"/>
            <w:vAlign w:val="bottom"/>
            <w:shd w:val="clear" w:color="auto" w:fill="DBDBDB"/>
          </w:tcPr>
          <w:p>
            <w:pPr>
              <w:spacing w:after="0"/>
              <w:rPr>
                <w:sz w:val="13"/>
                <w:szCs w:val="13"/>
                <w:color w:val="auto"/>
              </w:rPr>
            </w:pPr>
          </w:p>
        </w:tc>
        <w:tc>
          <w:tcPr>
            <w:tcW w:w="88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026DCE"/>
              </w:rPr>
              <w:t>13.2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4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23.2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9"/>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240" w:type="dxa"/>
            <w:vAlign w:val="bottom"/>
            <w:shd w:val="clear" w:color="auto" w:fill="DBDBDB"/>
          </w:tcPr>
          <w:p>
            <w:pPr>
              <w:spacing w:after="0"/>
              <w:rPr>
                <w:sz w:val="16"/>
                <w:szCs w:val="16"/>
                <w:color w:val="auto"/>
              </w:rPr>
            </w:pPr>
          </w:p>
        </w:tc>
        <w:tc>
          <w:tcPr>
            <w:tcW w:w="880" w:type="dxa"/>
            <w:vAlign w:val="bottom"/>
            <w:tcBorders>
              <w:right w:val="single" w:sz="8" w:color="DBDBDB"/>
            </w:tcBorders>
            <w:vMerge w:val="continue"/>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tcBorders>
              <w:right w:val="single" w:sz="8" w:color="DBDBDB"/>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Research and Discovery Arrangements</w:t>
      </w:r>
    </w:p>
    <w:p>
      <w:pPr>
        <w:spacing w:after="0" w:line="122" w:lineRule="exact"/>
        <w:rPr>
          <w:sz w:val="20"/>
          <w:szCs w:val="20"/>
          <w:color w:val="auto"/>
        </w:rPr>
      </w:pPr>
    </w:p>
    <w:p>
      <w:pPr>
        <w:jc w:val="both"/>
        <w:ind w:right="260"/>
        <w:spacing w:after="0" w:line="275"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w:t>
      </w:r>
    </w:p>
    <w:p>
      <w:pPr>
        <w:spacing w:after="0" w:line="12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For the three and six months ended June 30, 2023, we recorded $2.6 million and $2.8 million, respectively, as research and development expense in our condensed consolidated statements of income related to other research and discovery related arrangements, compared to $18.0 million and $37.5 million, respectively, in the prior year comparative periods.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Samsung Bioepis Co.,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2019 Development and Commercialization Agreement</w:t>
      </w:r>
    </w:p>
    <w:p>
      <w:pPr>
        <w:spacing w:after="0" w:line="12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BYOOVIZ (ranibizumab-nuna), a ranibizumab biosimilar referencing LUCENTIS, and SB15, a proposed aflibercept biosimilar referencing EYLEA, in major markets worldwide, including the U.S., Canada, Europe, Japan and Australia. Samsung Bioepis will be responsible for development and will supply both products to us at a pre-specified gross margin of approximately 45.0%.</w:t>
      </w:r>
    </w:p>
    <w:p>
      <w:pPr>
        <w:spacing w:after="0" w:line="82"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In connection with this transaction, we may also pay Samsung Bioepis up to approximately $180.0 million in additional development, regulatory and sales-based milestones.</w:t>
      </w:r>
    </w:p>
    <w:p>
      <w:pPr>
        <w:spacing w:after="0" w:line="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also acquired an option to extend the term of our 2013 commercial agreement for BENEPALI, IMRALDI and FLIXABI by an additional five years, subject to payment of an option exercise fee of $60.0 million, and obtained an option to acquire exclusive rights to commercialize these products in China.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2013 Commercial Agreement</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reflect revenue on sales of BENEPALI, IMRALDI and FLIXABI to third parties in product revenue, net in our condensed consolidated statements of income and record the related cost of revenue and sales and marketing expense in our condensed consolidated statements of income to their respective line items when these costs are incurred.</w:t>
      </w:r>
    </w:p>
    <w:p>
      <w:pPr>
        <w:spacing w:after="0" w:line="7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share 50.0% of the profit or loss related to our commercial agreement with Samsung Bioepis, which is recognized in collaboration profit sharing/(loss reimbursement) in our condensed consolidated statements of income. For the three and six months ended June 30, 2023, we recognized net profit-sharing expense of $56.9 million and $114.0 million, respectively, to reflect Samsung Bioepis' 50.0% sharing of the net collaboration profits, compared to a net profit-sharing expense of $58.3 million and $122.7 million, respectively, in the prior year comparative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Services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Simultaneous with the formation of Samsung Bioepis, we also entered into a license agreement with Samsung Bioepis. Under the license agreement, we granted Samsung Bioepis an exclusive license to use, develop, manufacture and commercialize biosimilar products created by Samsung Bioepis using Biogen product-specific technology. In exchange, we receive single digit royalties on biosimilar products developed and commercialized by Samsung Bioepis. Royalty revenue under the license agreement is recognized as a component of contract manufacturing, royalty and other revenue in our condensed consolidated statements of income.</w:t>
      </w:r>
    </w:p>
    <w:p>
      <w:pPr>
        <w:spacing w:after="0" w:line="8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Amounts receivable from Samsung Bioepis related to the agreements discussed above were $7.0 million and $2.0 million as of June 30, 2023 and December 31, 2022, respectively. Amounts payable to Samsung Bioepis related to the agreements discussed above were $162.8 million and $40.5 million as of June 30, 2023 and December 31, 2022, respectively.</w:t>
      </w:r>
    </w:p>
    <w:p>
      <w:pPr>
        <w:spacing w:after="0" w:line="7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and our other significant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6823710" cy="3346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23710" cy="334645"/>
                    </a:xfrm>
                    <a:prstGeom prst="rect">
                      <a:avLst/>
                    </a:prstGeom>
                    <a:noFill/>
                  </pic:spPr>
                </pic:pic>
              </a:graphicData>
            </a:graphic>
          </wp:anchor>
        </w:drawing>
      </w:r>
    </w:p>
    <w:p>
      <w:pPr>
        <w:spacing w:after="0" w:line="364"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17:</w:t>
      </w:r>
      <w:r>
        <w:rPr>
          <w:sz w:val="20"/>
          <w:szCs w:val="20"/>
          <w:color w:val="auto"/>
        </w:rPr>
        <w:tab/>
      </w:r>
      <w:r>
        <w:rPr>
          <w:rFonts w:ascii="Arial" w:cs="Arial" w:eastAsia="Arial" w:hAnsi="Arial"/>
          <w:sz w:val="21"/>
          <w:szCs w:val="21"/>
          <w:b w:val="1"/>
          <w:bCs w:val="1"/>
          <w:color w:val="0070C0"/>
        </w:rPr>
        <w:t>Investments in Variable Interest Entities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Consolidated Variable Interest Entities</w:t>
      </w:r>
    </w:p>
    <w:p>
      <w:pPr>
        <w:spacing w:after="0" w:line="136"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Our condensed consolidated financial statements include the financial results of variable interest entities in which we are the primary beneficiary. The following are our significant variable interest entities.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Neurimmune SubOne AG</w:t>
      </w:r>
    </w:p>
    <w:p>
      <w:pPr>
        <w:spacing w:after="0" w:line="1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have a collaboration and license agreement with Neurimmune for the development and commercialization of antibodies for the potential treatment of Alzheimer's disease, including ADUHELM (as amended, the Neurimmune Agreement). We are responsible for the development, manufacturing and commercialization of all collaboration products. The Neurimmune Agreement is effective for the longer of the duration of certain patents relating to a licensed product or 12 years from the first commercial sale of a licensed product.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consolidate the results of Neurimmune as we determined that we are the primary beneficiary of Neurimmune because we have the power through the collaboration to direct the activities that most significantly impact the entity’s economic performance and we are required to fund 100.0% of the research and development costs incurred in support of the collaboration. Our royalty rates payable on products developed under the Neurimmune Agreement, including royalty rates payable on commercial sales of ADUHELM, range from the high single digits to sub-teens.</w:t>
      </w:r>
    </w:p>
    <w:p>
      <w:pPr>
        <w:spacing w:after="0" w:line="84"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During the first quarter of 2022, upon issuance of the final NCD related to ADUHELM, we recorded an increase in a valuation allowance of approximately $85.0 million to reduce the net value of a previously recorded deferred tax asset to zero. This adjustment to our net deferred tax asset is recorded with an equal and offsetting amount assigned to net income (loss) attributable to noncontrolling interests, net of tax in our condensed consolidated statements of income, resulting in a zero net impact to net income attributable to Biogen Inc.</w:t>
      </w:r>
    </w:p>
    <w:p>
      <w:pPr>
        <w:spacing w:after="0" w:line="8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Excluding the impact of the Neurimmune deferred tax asset, the assets and liabilities of Neurimmune are not significant to our condensed consolidated financial position or results of operations as it is a research and development organization. We have provided no financing to Neurimmune other than contractually required amounts.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Unconsolidated Variable Interest Entities</w:t>
      </w:r>
    </w:p>
    <w:p>
      <w:pPr>
        <w:spacing w:after="0" w:line="13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June 30, 2023 and December 31, 2022, the carrying value of our investments in certain biotechnology companies representing potential unconsolidated variable interest entities totaled $25.2 million and $27.8 million, respectively. Our maximum exposure to loss related to these variable interest entities is limited to the carrying value of our investments.</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 development expense in our condensed consolidated statements of income as they are incurred. We have provided no financing to these variable interest entities other than previous contractually required amounts.</w:t>
      </w:r>
    </w:p>
    <w:p>
      <w:pPr>
        <w:spacing w:after="0" w:line="7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auto"/>
        </w:rPr>
        <w:t xml:space="preserve">For additional information on our investments in Neurimmune and other variable interest entities, please read </w:t>
      </w:r>
      <w:r>
        <w:rPr>
          <w:rFonts w:ascii="Arial" w:cs="Arial" w:eastAsia="Arial" w:hAnsi="Arial"/>
          <w:sz w:val="18"/>
          <w:szCs w:val="18"/>
          <w:i w:val="1"/>
          <w:iCs w:val="1"/>
          <w:color w:val="auto"/>
        </w:rPr>
        <w:t>Note 20, Investments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Variable Interest Entities, </w:t>
      </w:r>
      <w:r>
        <w:rPr>
          <w:rFonts w:ascii="Arial" w:cs="Arial" w:eastAsia="Arial" w:hAnsi="Arial"/>
          <w:sz w:val="18"/>
          <w:szCs w:val="18"/>
          <w:color w:val="auto"/>
        </w:rPr>
        <w:t>to our consolidated financial statements included in our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6823710" cy="3346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23710" cy="334645"/>
                    </a:xfrm>
                    <a:prstGeom prst="rect">
                      <a:avLst/>
                    </a:prstGeom>
                    <a:noFill/>
                  </pic:spPr>
                </pic:pic>
              </a:graphicData>
            </a:graphic>
          </wp:anchor>
        </w:drawing>
      </w:r>
    </w:p>
    <w:p>
      <w:pPr>
        <w:spacing w:after="0" w:line="357"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FFFFFF"/>
        </w:rPr>
        <w:t>Note 18:</w:t>
      </w:r>
      <w:r>
        <w:rPr>
          <w:sz w:val="20"/>
          <w:szCs w:val="20"/>
          <w:color w:val="auto"/>
        </w:rPr>
        <w:tab/>
      </w:r>
      <w:r>
        <w:rPr>
          <w:rFonts w:ascii="Arial" w:cs="Arial" w:eastAsia="Arial" w:hAnsi="Arial"/>
          <w:sz w:val="21"/>
          <w:szCs w:val="21"/>
          <w:b w:val="1"/>
          <w:bCs w:val="1"/>
          <w:color w:val="0070C0"/>
        </w:rPr>
        <w:t>Litigation</w:t>
      </w:r>
    </w:p>
    <w:p>
      <w:pPr>
        <w:spacing w:after="0" w:line="23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We are currently involved in various claims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to our consolidated financial statements included in our 2022 Form 10-K.</w:t>
      </w:r>
    </w:p>
    <w:p>
      <w:pPr>
        <w:spacing w:after="0" w:line="7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 possible loss or range of loss can be made at this time, it is included in the potential loss contingency description below.</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Loss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ADUHELM Securities Litigation</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2023 the United States District Court for the District of Massachusetts (the District Court) dismissed the previously disclosed shareholder action related to ADUHELM that had been filed in February 2022 against us and certain current and former officers. In May 2023 the plaintiff filed a motion to alter the judgment and amend the complaint, which is pending. The second previously disclosed shareholder action related to ADUHELM, filed in November 2022 and dismissed by the District Court in September 2021, remains on appeal to the U.S. Court of Appeals for the First Circuit. Both actions alleged violations of federal securities laws under 15 U.S.C §78j(b) and §78t(a) and 17 C.F.R. §240.10b-5.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Derivative Action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and members of the Board of Directors are named as defendants in derivative actions filed by shareholders in February and July 2022, in</w:t>
      </w:r>
    </w:p>
    <w:p>
      <w:pPr>
        <w:spacing w:after="0" w:line="19"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the U.S. District Court for the District of Massachusetts. The actions allege violations of federal securities laws under 15 U.S.C. §78n(a) and 17 C.F.R. §240 14.a-9, and breaches of fiduciary duties and waste of corporate assets, and seek declaratory and injunctive relief, monetary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relief payable to Biogen, and attorneys’ fees and costs payable to the plaintiffs. The District Court has stayed both cases.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IMRALDI Patent Litigation</w:t>
      </w:r>
    </w:p>
    <w:p>
      <w:pPr>
        <w:spacing w:after="0" w:line="1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June 2022 Fresenius Kabi Deutschland GmbH (Fresenius Kabi) filed a claim for damages and injunctive relief against Biogen France SAS in the Tribunal de Grande Instance de Paris, alleging that IMRALDI, the adalimumab biosimilar product of Samsung Bioepis that Biogen commercializes in Europe, infringes the French counterpart of European Patent 3 145 488 (the EP ‘488 Patent), which expires in May 2035. In August 2022 Fresenius Kabi filed a claim for damages and injunctive relief against Biogen GmbH in the Düsseldorf Regional Court, alleging infringement of the German counterpart of the EP '488 Patent. A hearing in the Düsseldorf Regional Court has been set for December 2023. No hearing has been set in the French action.</w:t>
      </w:r>
    </w:p>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July 2019 Gedeon Richter Nyrt (Gedeon Richter) filed a claim for damages and injunctive relief against Biogen GmbH in the Düsseldorf Regional Court alleging infringement of the German counterpart of European Patent No. 3 212 667 (the EP '667 Patent, expiring in October 2035), and in November 2020 Gedeon Richter filed a claim for damages and injunctive relief against Biogen GmbH in the Düsseldorf Regional Court alleging infringement of a German utility model corresponding to the EP '667 Patent (expiring in October 2025). In July 2023 we and Gedeon Richter entered an agreement resolving the claims.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Litigation with Former Convergence Shareholders</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2015 Biogen acquired Convergence, a U.K. company. In 2019 Shareholder Representative Services LLC, on behalf of the former shareholders of Convergence, asserted claims of $200.0 million for alleged breaches of the contract pursuant to which we acquired Convergence. In June 2023 Shareholder Representative Services LLC and 24 former shareholders filed suit against us in the High Court of Justice of England and Wales on one of the previously asserted claims, seeking payment of $49.9 million, interest and costs. No trial date has been set.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ERISA Class Action Litigation</w:t>
      </w:r>
    </w:p>
    <w:p>
      <w:pPr>
        <w:spacing w:after="0" w:line="1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September 2020 the U.S. District Court for the District of Massachusetts consolidated two cases filed against us in July and August 2020 by participants in the Biogen 401(k) Savings Plan, alleging breach of fiduciary duty under ERISA and seeking a declaration of the action as a class action and monetary and other relief. In June 2023 the parties reached a settlement in principle, subject to approval of the settlement by the court.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Humana Patient Assistance Litigation</w:t>
      </w:r>
    </w:p>
    <w:p>
      <w:pPr>
        <w:spacing w:after="0" w:line="127"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In March 2023 the District Court for the District of Massachusetts dismissed the previously disclosed action filed against us by Humana in September 2020. Humana had alleged damages related to our providing MS patients with free medications and making charitable contributions to non-profit organizations that assist MS patients and had alleged violations of the federal RICO Act and state laws. In April 2023 Humana filed a motion to alter the judgment and amend the complaint, which is pending.</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Distributor Matter</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December 2022 we terminated our distribution agreement with the distributor of products for Biogen in various countries in the Middle East and northern Africa. The former distributor has asserted breach of contract. No suit has been filed.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Litigation</w:t>
      </w:r>
    </w:p>
    <w:p>
      <w:pPr>
        <w:spacing w:after="0" w:line="12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February 2023 Genentech, Inc. filed suit against us in the U.S. District Court for the Northern District of California, alleging that it is owed royalties on sales of TYSABRI that occurred after the expiration of a patent licensed by Genentech to Biogen, together with interest and costs. No trial date has been set.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Government Investigation</w:t>
      </w:r>
    </w:p>
    <w:p>
      <w:pPr>
        <w:spacing w:after="0" w:line="12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Company has received subpoenas from the Securities and Exchange Commission seeking information relating to ADUHELM, including healthcare sites and ADUHELM’s approval.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TYSABRI Biosimilar Patent Matter</w:t>
      </w:r>
    </w:p>
    <w:p>
      <w:pPr>
        <w:spacing w:after="0" w:line="127"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In September 2022, following Sandoz Inc.'s announcement that the FDA had accepted its biologics license application for a proposed biosimilar referring to TYSABRI, we filed an action in the U.S. District Court for the District of Delaware against Sandoz Inc., other Sandoz entities and Polpharma Biologics S.A. under the Biologics Price Competition and Innovation Act, 42 U.S.C. §262, seeking a declaratory judgment of patent infringement. No trial has been set.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Annulment Proceedings in the General Court of the European Union relating to TECFIDERA</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November 2020 Mylan Ireland filed an action in the General Court of the European Union (the General Court) to annul the EMA's decision not to validate its applications to market generic versions of TECFIDERA on the grounds that TECFIDERA benefits from regulatory data protection. No trial date has been set.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Hatch-Waxman Act Litigation relating to VUMERITY Orange-Book Listed Patents</w:t>
      </w:r>
    </w:p>
    <w:p>
      <w:pPr>
        <w:spacing w:after="0" w:line="1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July 2023 Biogen and Alkermes Pharma Ireland Limited filed patent infringement proceedings relating to VUMERITY Orange-Book listed patents (U.S. Patent Nos. 8,669,281, 9,090,558 and 10,080,733) pursuant to the Drug Price Competition and Patent Term Restoration Act of 1984 (the Hatch-Waxman Act) in the U.S. District Court for the District of Delaware against Zydus Worldwide DMCC. No trial date has been set.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Product Liability and Other Legal Proceedings</w:t>
      </w:r>
    </w:p>
    <w:p>
      <w:pPr>
        <w:spacing w:after="0" w:line="12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80"/>
        <w:spacing w:after="0" w:line="303"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(condensed consolidated financial statements) and the accompanying notes beginning on page 7 of this quarterly report on Form 10-Q and our audited consolidated financial statements and the accompanying notes included in our 2022 Form 10-K.</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70C0"/>
        </w:rPr>
        <w:t>EXECUTIVE SUMMARY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0070C0"/>
        </w:rPr>
        <w:t>INTRODUCTION</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worldwide. We have a broad portfolio of medicines to treat MS, have introduced the first approved treatment for SMA and co-developed two treatments to address a defining pathology of Alzheimer's disease. We are focused on advancing our pipeline in neurology, neuropsychiatry, specialized immunology and rare diseases. We support our drug discovery and development efforts through internal research and development programs and external collaborations.</w:t>
      </w:r>
    </w:p>
    <w:p>
      <w:pPr>
        <w:spacing w:after="0" w:line="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QALSODY for ALS, which was granted accelerated approval by the FDA during the second quarter of 2023; ADUHELM for the treatment of Alzheimer's disease; and FUMADERM for the treatment of severe plaque psoriasis. We also collaborate with Eisai on the commercialization of LEQEMBI for the treatment of Alzheimer's disease, which was granted traditional approval by the FDA in July 2023.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which was granted accelerated approval by the FDA during the fourth quarter of 2022; COLUMVI, a bispecific antibody for the treatment of non-Hodgkin's lymphoma, which was granted accelerated approval by the FDA during the second quarter of 2023; and have the option to add other potential anti-CD20 therapies, pursuant to our collaboration arrangements with Genentech, a wholly-owned member of the Roche Group. For additional information on our collaboration arrangements with Genentech,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audited consolidated financial statements included in our 2022 Form 10-K.</w:t>
      </w:r>
    </w:p>
    <w:p>
      <w:pPr>
        <w:spacing w:after="0" w:line="92"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In addition to continuing to invest in new potential innovation in MS and SMA we are advancing our mid-to-late stage programs including zuranolone for MDD and PPD, BIIB080 for Alzheimer's disease and both litifilimab and dapirolizumab pegol for certain forms of lupus.</w:t>
      </w:r>
    </w:p>
    <w:p>
      <w:pPr>
        <w:spacing w:after="0" w:line="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commercialize biosimilars of advanced biologics including BENEPALI, an etanercept biosimilar referencing ENBREL, IMRALDI, an adalimumab biosimilar referencing HUMIRA, and FLIXABI, an infliximab biosimilar referencing REMICADE, in certain countries in Europe, as well as BYOOVIZ, a ranibizumab biosimilar referencing LUCENTIS. We continue to develop potential biosimilar products including BIIB800, a proposed tocilizumab biosimilar referencing ACTEMRA, and SB15, a proposed aflibercept biosimilar referencing EYLEA. In February 2023 we announced that we are exploring strategic options for our biosimilars business.</w:t>
      </w:r>
    </w:p>
    <w:p>
      <w:pPr>
        <w:spacing w:after="0" w:line="7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continually review our manufacturing capacity, capabilities, processes and facilities. In order to support our future growth and drug development pipeline, we are expanding our large molecule production capacity by building a large-scale biologics manufacturing facility in Solothurn, Switzerland. In the second quarter of 2021 a portion of the facility (the first manufacturing suite) received a GMP multi-product license from the SWISSMEDIC and was placed into service. Solothurn has been approved for the manufacture of ADUHELM and LEQEMBI by the FDA. We estimate the second manufacturing suite will be operational by the end of 2023. We believe that the Solothurn facility will support our anticipated near to mid-term needs for the manufacturing of biologic assets, including the commercial launch of LEQEMBI. The plant represents a significant increase in our overall manufacturing capacity and is not yet being fully utilized, resulting in our recording of excess capacity charges. If we are unable to fully utilize our manufacturing facilities, we will incur additional excess capacity charges which would have a negative effect on our financial condition and results of operations.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and, unless we develop, acquire rights to and/or commercialize new products and technologies, we will be substantially dependent on sales from our products and our financial rights in our anti-CD20 therapeutic programs for many years.</w:t>
      </w:r>
    </w:p>
    <w:p>
      <w:pPr>
        <w:spacing w:after="0" w:line="76"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0070C0"/>
        </w:rPr>
        <w:t>BUSINESS ENVIRONMENT</w:t>
      </w:r>
    </w:p>
    <w:p>
      <w:pPr>
        <w:spacing w:after="0" w:line="10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biopharmaceutical industry and the markets in which we operate are intensely competitive. Many of our competitors are working to develop or have commercialized products similar to those we market or are developing and have considerable experience in undertaking clinical trials and in obtaining regulatory approval to market pharmaceutical products. In addition, the commercialization of certain of our own approved products, products of our collaborators and pipeline product candidates may negatively impact future sales of our existing products.</w:t>
      </w:r>
    </w:p>
    <w:p>
      <w:pPr>
        <w:spacing w:after="0" w:line="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and revenue streams continue to face increasing competition in many markets from generic versions, prodrugs and biosimilars of existing products as well as products approved under abbreviated regulatory pathways. Such products are likely to be sold at substantially lower prices than branded products. Accordingly, the introduction of such products as well as other lower-priced competing products may significantly reduce both the price that we are able to charge for our products and the volume of products we sell, which will negatively impact our revenue. In addition, in some markets, when a generic or biosimilar version of one of our products is commercialized, it may be automatically substituted for our product and significantly reduce our revenue in a short period of time.</w:t>
      </w:r>
    </w:p>
    <w:p>
      <w:pPr>
        <w:spacing w:after="0" w:line="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Sales of our products depend, to a significant extent, on the availability and extent of adequate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amount for which that product will be reimbursed.</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Drug prices are under significant scrutiny in the markets in which our products are prescribed, for example the IRA has certain provisions related to drug pricing. We expect drug pricing and other health care costs to continue to be subject to intense political and societal pressures on a global basis.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for the discovery and commercialization of new products and/or could cause a decline or volatility in our stock price.</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the impact of competition, pricing actions and other measures being taken worldwide designed to reduce healthcare costs and limit the overall level of government expenditures, our sales and operations could also be affected by other risks of doing business internationally, including the impact of public health epidemics, such as the COVID-19 pandemic, on employees, the global economy and the delivery of healthcare treatments, geopolitical events, supply chain disruptions, foreign currency exchange fluctuations, changes in intellectual property legal protections and changes in trade regulations and procedures.</w:t>
      </w:r>
    </w:p>
    <w:p>
      <w:pPr>
        <w:spacing w:after="0" w:line="7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For a detailed discussion on our business environment, please read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in our 2022 Form 10-K. For additional information on our competition and pricing risks that could negatively impact our product sales, please read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TECFIDERA</w:t>
      </w:r>
    </w:p>
    <w:p>
      <w:pPr>
        <w:spacing w:after="0" w:line="12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Multiple TECFIDERA generic entrants are now in North America, Brazil and certain E.U. countries and have deeply discounted prices compared to TECFIDERA. The generic competition for TECFIDERA has significantly reduced our TECFIDERA revenue and we expect that TECFIDERA revenue will continue to decline in the future.</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March 2023 the CJEU decided in favor of Biogen, the EMA and the EC in their appeal of a European General Court decision that had annulled the EMA's refusal to evaluate a generic version of TECFIDERA because of TECFIDERA's regulatory data and marketing protection. The CJEU set aside the General Court's judgment and dismissed the generic's action. On the basis of this favorable decision and the EC</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determination in May 2023 that TECFIDERA is entitled to an additional year of market protection for its pediatric indication, we believe that TECFIDERA is entitled to regulatory marketing protection in the E.U. until at least February 2, 2025, and are seeking to enforce this</w:t>
      </w:r>
    </w:p>
    <w:p>
      <w:pPr>
        <w:spacing w:after="0" w:line="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protection. As of June 30, 2023, some of the TECFIDERA generics have not yet fully exited some of the E.U. markets and some generic products remain in the channel. We expect removal of generics from the market will take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additional time. We are closely monitoring this situation and working to enforce our legal right to market protection. In addition, we will continue to enforce our EP 2 653 873 patent related to TECFIDERA, which expires in 2028.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18, Litigation,</w:t>
      </w:r>
      <w:r>
        <w:rPr>
          <w:rFonts w:ascii="Arial" w:cs="Arial" w:eastAsia="Arial" w:hAnsi="Arial"/>
          <w:sz w:val="18"/>
          <w:szCs w:val="18"/>
          <w:color w:val="auto"/>
        </w:rPr>
        <w:t xml:space="preserve"> to our condensed consolidated financial statements included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BUSINESS UPDATE REGARDING MACROECONOMIC CONDITIONS AND OTHER DISRUPTIONS</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Significant portions of our business are conducted in Europe, Asia and other international geographies. Factors such as the COVID-19 pandemic and other global health outbreaks, adverse weather events, geopolitical events, inflation, labor or raw material shortages and other supply chain disruptions could result in product shortages or other difficulties and delays or increased costs in manufacturing our products. Additionally, global disputes and interruptions in international relationships, including tariffs, trade protection measures, import or export licensing requirements and the imposition of trade sanctions or similar restrictions by the U.S. or other governments, affect our ability to do business. For example, tensions between the U.S. and China have led to a series of tariffs and sanctions being imposed by the U.S. on imports from China mainland, as well as other business restrictions.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CURRENT ECONOMIC CONDITIONS</w:t>
      </w:r>
    </w:p>
    <w:p>
      <w:pPr>
        <w:spacing w:after="0" w:line="12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Economic conditions remain vulnerable as markets continue to be impacted in part by elevated inflation, rising interest rates, global supply chain constraints and recent bank failures.</w:t>
      </w:r>
    </w:p>
    <w:p>
      <w:pPr>
        <w:spacing w:after="0" w:line="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Recently, concerns have arisen with respect to the financial condition of a number of banking institutions in the U.S., in particular those with exposure to certain types of depositors and large portfolios of investment securities. Additionally, in March 2023 SVB and Signature Bank were closed and taken over by the FDIC, which created significant market disruption and uncertainty with respect to the financial condition of a number of banking institutions in the U.S., in particular those with exposure to certain types of depositors and large portfolios of investment securities. While we do not have any direct exposure to SVB or Signature Bank, we do maintain our cash at financial institutions, often in balances that exceed the current FDIC insurance limits, and will continue to monitor our cash, cash equivalents and investments and take steps to identify any potential impact and minimize any disruptions on our business.</w:t>
      </w:r>
    </w:p>
    <w:p>
      <w:pPr>
        <w:spacing w:after="0" w:line="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If other banks and financial institutions enter receivership or become insolvent in the future due to financial conditions affecting the banking system and financial markets, our ability to access our cash, cash equivalents and investments, including transferring funds, making payments or receiving funds, may be threatened and could have a material adverse effect on our business and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GEOPOLITICAL TENSIONS</w:t>
      </w:r>
    </w:p>
    <w:p>
      <w:pPr>
        <w:spacing w:after="0" w:line="11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ongoing geopolitical tensions related to Russia's invasion of Ukraine have resulted in global business disruptions and economic volatility, including sanctions and other restrictions levied on the government and businesses in Russia. Although we do not have affiliates or employees, in either Russia or Ukraine, we do provide various therapies to patients in Russia through a distributor. In addition, new government sanctions on the export of certain manufacturing materials to Russia may delay or limit our ability to get new products approved.</w:t>
      </w:r>
    </w:p>
    <w:p>
      <w:pPr>
        <w:spacing w:after="0" w:line="8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impact of the conflict on our operations and financial performance remains uncertain and will depend on future developments, including the severity and duration of the conflict, its impact on regional and global economic conditions and whether the conflict spreads or has effects on countries outside Ukraine and Russia. Revenue generated from sales in these regions represented less than 2.0% of total product revenue for the three and six months ended June 30, 2023 and the year ended December 31, 2022.</w:t>
      </w:r>
    </w:p>
    <w:p>
      <w:pPr>
        <w:spacing w:after="0" w:line="82"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We will continue to monitor the ongoing conflict between Russia and Ukraine and assess any potential impacts on our business, supply chain, partners or customers, as well as any factors that could have an adverse effect on our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COVID-19</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length of time and full extent to which the COVID-19 pandemic directly or indirectly impacts our business, results of operations and financial condition, including sales, expense, reserves and allowances, the supply chain, manufacturing, clinical trials, research and development costs and employee-related costs, depends on future developments that are highly uncertain, subject to change and are difficult to predict, including the economic impact on local, regional, national and international customers and markets.</w:t>
      </w:r>
    </w:p>
    <w:p>
      <w:pPr>
        <w:spacing w:after="0" w:line="7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For additional information on the various risks posed by the COVID-19 pandemic and the conflict in Ukraine, please read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this report.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0070C0"/>
        </w:rPr>
        <w:t>INFLATION REDUCTION ACT OF 2022</w:t>
      </w:r>
    </w:p>
    <w:p>
      <w:pPr>
        <w:spacing w:after="0" w:line="9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June 30, 2023 and December 31, 2022. We expect additional guidance and regulations to be issued in future periods and will continue to assess its potential impact on our business and results of operations as further information becomes available.</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IRA also contains substantial drug pricing reforms that may have a significant impact on the pharmaceutical industry in the U.S. This includes allowing CMS to negotiate a maximum fair price for certain high-priced single source Medicare drugs, as well as redesigning Medicare Part D to reduce out-of-pocket prescription drug costs for beneficiaries, potentially resulting in higher contributions from plans and manufacturers. The IRA also establishes drug inflationary rebate requirements to penalize manufacturers from raising the prices of Medicare covered single-source drugs and biologics beyond the inflation-adjusted rate. Further, to incentivize biosimilar development, the IRA provides an 8.0% Medicare Part B add-on payment for qualifying biosimilar products for a five-year period.</w:t>
      </w:r>
    </w:p>
    <w:p>
      <w:pPr>
        <w:spacing w:after="0" w:line="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IRA's drug pricing controls and Medicare redesign may have an adverse impact on our sales (particularly for our products that are more substantially reliant on Medicare reimbursement), our business and our results of operations. However, the degree of impact from this legislation on our business depends on a number of implementation decisions. We will continue to assess as further information becomes available.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color w:val="0070C0"/>
        </w:rPr>
        <w:t>FINANCIAL HIGHLIGHTS</w:t>
      </w:r>
    </w:p>
    <w:p>
      <w:pPr>
        <w:spacing w:after="0" w:line="11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three months ended June 30, 2023, compared to the three months ended June 30, 2022, reflects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0637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1880"/>
        <w:spacing w:after="0"/>
        <w:tabs>
          <w:tab w:leader="none" w:pos="7080" w:val="left"/>
        </w:tabs>
        <w:rPr>
          <w:sz w:val="20"/>
          <w:szCs w:val="20"/>
          <w:color w:val="auto"/>
        </w:rPr>
      </w:pPr>
      <w:r>
        <w:rPr>
          <w:rFonts w:ascii="Arial" w:cs="Arial" w:eastAsia="Arial" w:hAnsi="Arial"/>
          <w:sz w:val="18"/>
          <w:szCs w:val="18"/>
          <w:color w:val="0070C0"/>
        </w:rPr>
        <w:t>TOTAL REVENUE</w:t>
      </w:r>
      <w:r>
        <w:rPr>
          <w:sz w:val="20"/>
          <w:szCs w:val="20"/>
          <w:color w:val="auto"/>
        </w:rPr>
        <w:tab/>
      </w:r>
      <w:r>
        <w:rPr>
          <w:rFonts w:ascii="Arial" w:cs="Arial" w:eastAsia="Arial" w:hAnsi="Arial"/>
          <w:sz w:val="17"/>
          <w:szCs w:val="17"/>
          <w:color w:val="0070C0"/>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63740" cy="917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6374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360" w:type="dxa"/>
            <w:vAlign w:val="bottom"/>
          </w:tcPr>
          <w:p>
            <w:pPr>
              <w:jc w:val="right"/>
              <w:spacing w:after="0"/>
              <w:rPr>
                <w:sz w:val="20"/>
                <w:szCs w:val="20"/>
                <w:color w:val="auto"/>
              </w:rPr>
            </w:pPr>
            <w:r>
              <w:rPr>
                <w:rFonts w:ascii="Arial" w:cs="Arial" w:eastAsia="Arial" w:hAnsi="Arial"/>
                <w:sz w:val="18"/>
                <w:szCs w:val="18"/>
                <w:color w:val="0070C0"/>
              </w:rPr>
              <w:t>Decreased</w:t>
            </w:r>
          </w:p>
        </w:tc>
        <w:tc>
          <w:tcPr>
            <w:tcW w:w="2620" w:type="dxa"/>
            <w:vAlign w:val="bottom"/>
          </w:tcPr>
          <w:p>
            <w:pPr>
              <w:spacing w:after="0"/>
              <w:rPr>
                <w:sz w:val="18"/>
                <w:szCs w:val="18"/>
                <w:color w:val="auto"/>
              </w:rPr>
            </w:pPr>
          </w:p>
        </w:tc>
        <w:tc>
          <w:tcPr>
            <w:tcW w:w="3420" w:type="dxa"/>
            <w:vAlign w:val="bottom"/>
          </w:tcPr>
          <w:p>
            <w:pPr>
              <w:jc w:val="center"/>
              <w:ind w:left="2130"/>
              <w:spacing w:after="0"/>
              <w:rPr>
                <w:sz w:val="20"/>
                <w:szCs w:val="20"/>
                <w:color w:val="auto"/>
              </w:rPr>
            </w:pPr>
            <w:r>
              <w:rPr>
                <w:rFonts w:ascii="Arial" w:cs="Arial" w:eastAsia="Arial" w:hAnsi="Arial"/>
                <w:sz w:val="18"/>
                <w:szCs w:val="18"/>
                <w:color w:val="0070C0"/>
              </w:rPr>
              <w:t>Decreased</w:t>
            </w: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0070C0"/>
                <w:w w:val="98"/>
              </w:rPr>
              <w:t>$133.1 million or</w:t>
            </w:r>
          </w:p>
        </w:tc>
        <w:tc>
          <w:tcPr>
            <w:tcW w:w="2620" w:type="dxa"/>
            <w:vAlign w:val="bottom"/>
          </w:tcPr>
          <w:p>
            <w:pPr>
              <w:jc w:val="right"/>
              <w:ind w:right="2110"/>
              <w:spacing w:after="0"/>
              <w:rPr>
                <w:sz w:val="20"/>
                <w:szCs w:val="20"/>
                <w:color w:val="auto"/>
              </w:rPr>
            </w:pPr>
            <w:r>
              <w:rPr>
                <w:rFonts w:ascii="Arial" w:cs="Arial" w:eastAsia="Arial" w:hAnsi="Arial"/>
                <w:sz w:val="18"/>
                <w:szCs w:val="18"/>
                <w:color w:val="0070C0"/>
                <w:w w:val="97"/>
              </w:rPr>
              <w:t>5.1%</w:t>
            </w:r>
          </w:p>
        </w:tc>
        <w:tc>
          <w:tcPr>
            <w:tcW w:w="3420" w:type="dxa"/>
            <w:vAlign w:val="bottom"/>
          </w:tcPr>
          <w:p>
            <w:pPr>
              <w:jc w:val="center"/>
              <w:ind w:left="2110"/>
              <w:spacing w:after="0"/>
              <w:rPr>
                <w:sz w:val="20"/>
                <w:szCs w:val="20"/>
                <w:color w:val="auto"/>
              </w:rPr>
            </w:pPr>
            <w:r>
              <w:rPr>
                <w:rFonts w:ascii="Arial" w:cs="Arial" w:eastAsia="Arial" w:hAnsi="Arial"/>
                <w:sz w:val="18"/>
                <w:szCs w:val="18"/>
                <w:color w:val="0070C0"/>
                <w:w w:val="99"/>
              </w:rPr>
              <w:t>$3.17 or 43.8%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70C0"/>
        </w:rPr>
        <w:t>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925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Decreased</w:t>
      </w:r>
    </w:p>
    <w:p>
      <w:pPr>
        <w:spacing w:after="0" w:line="21"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$209.1 million or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33178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55"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6"/>
          <w:szCs w:val="16"/>
          <w:color w:val="0070C0"/>
        </w:rPr>
      </w:pPr>
      <w:r>
        <w:rPr>
          <w:rFonts w:ascii="Arial" w:cs="Arial" w:eastAsia="Arial" w:hAnsi="Arial"/>
          <w:sz w:val="16"/>
          <w:szCs w:val="16"/>
          <w:color w:val="0070C0"/>
        </w:rPr>
        <w:t>MS revenue decreased $217.3 million, or 15.2%</w:t>
      </w:r>
    </w:p>
    <w:p>
      <w:pPr>
        <w:spacing w:after="0" w:line="17" w:lineRule="exact"/>
        <w:rPr>
          <w:rFonts w:ascii="Arial" w:cs="Arial" w:eastAsia="Arial" w:hAnsi="Arial"/>
          <w:sz w:val="16"/>
          <w:szCs w:val="16"/>
          <w:color w:val="0070C0"/>
        </w:rPr>
      </w:pPr>
    </w:p>
    <w:p>
      <w:pPr>
        <w:ind w:left="120" w:hanging="112"/>
        <w:spacing w:after="0"/>
        <w:tabs>
          <w:tab w:leader="none" w:pos="120" w:val="left"/>
        </w:tabs>
        <w:numPr>
          <w:ilvl w:val="0"/>
          <w:numId w:val="18"/>
        </w:numPr>
        <w:rPr>
          <w:rFonts w:ascii="Arial" w:cs="Arial" w:eastAsia="Arial" w:hAnsi="Arial"/>
          <w:sz w:val="16"/>
          <w:szCs w:val="16"/>
          <w:color w:val="0070C0"/>
        </w:rPr>
      </w:pPr>
      <w:r>
        <w:rPr>
          <w:rFonts w:ascii="Arial" w:cs="Arial" w:eastAsia="Arial" w:hAnsi="Arial"/>
          <w:sz w:val="16"/>
          <w:szCs w:val="16"/>
          <w:color w:val="0070C0"/>
        </w:rPr>
        <w:t>SMA revenue increased $6.0 million, or 1.4%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15" w:right="200" w:hanging="315"/>
        <w:spacing w:after="0" w:line="262" w:lineRule="auto"/>
        <w:tabs>
          <w:tab w:leader="none" w:pos="274" w:val="left"/>
        </w:tabs>
        <w:numPr>
          <w:ilvl w:val="0"/>
          <w:numId w:val="19"/>
        </w:numPr>
        <w:rPr>
          <w:rFonts w:ascii="Arial" w:cs="Arial" w:eastAsia="Arial" w:hAnsi="Arial"/>
          <w:sz w:val="16"/>
          <w:szCs w:val="16"/>
          <w:color w:val="0070C0"/>
        </w:rPr>
      </w:pPr>
      <w:r>
        <w:rPr>
          <w:rFonts w:ascii="Arial" w:cs="Arial" w:eastAsia="Arial" w:hAnsi="Arial"/>
          <w:sz w:val="16"/>
          <w:szCs w:val="16"/>
          <w:color w:val="auto"/>
        </w:rPr>
        <w:t>The decrease in MS product revenue was primarily due to a decrease in TECFIDERA demand as a result of multiple TECFIDERA generic entrants in North America, Brazil and certain E.U. countries and a decrease in Interferon demand due to competition as patients transition to higher efficacy therapies.</w:t>
      </w:r>
    </w:p>
    <w:p>
      <w:pPr>
        <w:spacing w:after="0" w:line="21" w:lineRule="exact"/>
        <w:rPr>
          <w:rFonts w:ascii="Arial" w:cs="Arial" w:eastAsia="Arial" w:hAnsi="Arial"/>
          <w:sz w:val="16"/>
          <w:szCs w:val="16"/>
          <w:color w:val="0070C0"/>
        </w:rPr>
      </w:pPr>
    </w:p>
    <w:p>
      <w:pPr>
        <w:ind w:left="315" w:right="180" w:hanging="315"/>
        <w:spacing w:after="0" w:line="270" w:lineRule="auto"/>
        <w:tabs>
          <w:tab w:leader="none" w:pos="274" w:val="left"/>
        </w:tabs>
        <w:numPr>
          <w:ilvl w:val="0"/>
          <w:numId w:val="19"/>
        </w:numPr>
        <w:rPr>
          <w:rFonts w:ascii="Arial" w:cs="Arial" w:eastAsia="Arial" w:hAnsi="Arial"/>
          <w:sz w:val="16"/>
          <w:szCs w:val="16"/>
          <w:b w:val="1"/>
          <w:bCs w:val="1"/>
          <w:color w:val="0070C0"/>
        </w:rPr>
      </w:pPr>
      <w:r>
        <w:rPr>
          <w:rFonts w:ascii="Arial" w:cs="Arial" w:eastAsia="Arial" w:hAnsi="Arial"/>
          <w:sz w:val="16"/>
          <w:szCs w:val="16"/>
          <w:color w:val="auto"/>
        </w:rPr>
        <w:t>The increase in SMA revenue was primarily due to an increase in U.S. SPINRAZA revenue driven by higher sales volumes resulting from patient growth and an increase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598170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36" w:lineRule="exact"/>
        <w:rPr>
          <w:sz w:val="20"/>
          <w:szCs w:val="20"/>
          <w:color w:val="auto"/>
        </w:rPr>
      </w:pPr>
    </w:p>
    <w:p>
      <w:pPr>
        <w:sectPr>
          <w:pgSz w:w="11900" w:h="16838" w:orient="portrait"/>
          <w:cols w:equalWidth="0" w:num="2">
            <w:col w:w="5185" w:space="720"/>
            <w:col w:w="5215"/>
          </w:cols>
          <w:pgMar w:left="320" w:top="126" w:right="459" w:bottom="1440" w:gutter="0" w:footer="0" w:header="0"/>
          <w:type w:val="continuous"/>
        </w:sectPr>
      </w:pP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0070C0"/>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0972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Increased</w:t>
      </w:r>
    </w:p>
    <w:p>
      <w:pPr>
        <w:spacing w:after="0" w:line="21"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$428.3 million or 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33178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spacing w:after="0" w:line="155"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6"/>
          <w:szCs w:val="16"/>
          <w:color w:val="0070C0"/>
        </w:rPr>
      </w:pPr>
      <w:r>
        <w:rPr>
          <w:rFonts w:ascii="Arial" w:cs="Arial" w:eastAsia="Arial" w:hAnsi="Arial"/>
          <w:sz w:val="16"/>
          <w:szCs w:val="16"/>
          <w:color w:val="0070C0"/>
        </w:rPr>
        <w:t>Cost of sales increased $108.7 million, or 22.5%</w:t>
      </w:r>
    </w:p>
    <w:p>
      <w:pPr>
        <w:spacing w:after="0" w:line="22" w:lineRule="exact"/>
        <w:rPr>
          <w:rFonts w:ascii="Arial" w:cs="Arial" w:eastAsia="Arial" w:hAnsi="Arial"/>
          <w:sz w:val="16"/>
          <w:szCs w:val="16"/>
          <w:color w:val="0070C0"/>
        </w:rPr>
      </w:pPr>
    </w:p>
    <w:p>
      <w:pPr>
        <w:ind w:left="120" w:hanging="112"/>
        <w:spacing w:after="0"/>
        <w:tabs>
          <w:tab w:leader="none" w:pos="120" w:val="left"/>
        </w:tabs>
        <w:numPr>
          <w:ilvl w:val="0"/>
          <w:numId w:val="20"/>
        </w:numPr>
        <w:rPr>
          <w:rFonts w:ascii="Arial" w:cs="Arial" w:eastAsia="Arial" w:hAnsi="Arial"/>
          <w:sz w:val="16"/>
          <w:szCs w:val="16"/>
          <w:color w:val="0070C0"/>
        </w:rPr>
      </w:pPr>
      <w:r>
        <w:rPr>
          <w:rFonts w:ascii="Arial" w:cs="Arial" w:eastAsia="Arial" w:hAnsi="Arial"/>
          <w:sz w:val="16"/>
          <w:szCs w:val="16"/>
          <w:color w:val="0070C0"/>
        </w:rPr>
        <w:t>R&amp;D expense increased $55.6 million, or 10.5%</w:t>
      </w:r>
    </w:p>
    <w:p>
      <w:pPr>
        <w:spacing w:after="0" w:line="12" w:lineRule="exact"/>
        <w:rPr>
          <w:rFonts w:ascii="Arial" w:cs="Arial" w:eastAsia="Arial" w:hAnsi="Arial"/>
          <w:sz w:val="16"/>
          <w:szCs w:val="16"/>
          <w:color w:val="0070C0"/>
        </w:rPr>
      </w:pPr>
    </w:p>
    <w:p>
      <w:pPr>
        <w:ind w:left="120" w:hanging="112"/>
        <w:spacing w:after="0"/>
        <w:tabs>
          <w:tab w:leader="none" w:pos="120" w:val="left"/>
        </w:tabs>
        <w:numPr>
          <w:ilvl w:val="0"/>
          <w:numId w:val="20"/>
        </w:numPr>
        <w:rPr>
          <w:rFonts w:ascii="Arial" w:cs="Arial" w:eastAsia="Arial" w:hAnsi="Arial"/>
          <w:sz w:val="16"/>
          <w:szCs w:val="16"/>
          <w:color w:val="0070C0"/>
        </w:rPr>
      </w:pPr>
      <w:r>
        <w:rPr>
          <w:rFonts w:ascii="Arial" w:cs="Arial" w:eastAsia="Arial" w:hAnsi="Arial"/>
          <w:sz w:val="16"/>
          <w:szCs w:val="16"/>
          <w:color w:val="0070C0"/>
        </w:rPr>
        <w:t>Decrease in other income of $307.4 million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left="315" w:right="340" w:hanging="315"/>
        <w:spacing w:after="0" w:line="261" w:lineRule="auto"/>
        <w:tabs>
          <w:tab w:leader="none" w:pos="274" w:val="left"/>
        </w:tabs>
        <w:numPr>
          <w:ilvl w:val="0"/>
          <w:numId w:val="21"/>
        </w:numPr>
        <w:rPr>
          <w:rFonts w:ascii="Arial" w:cs="Arial" w:eastAsia="Arial" w:hAnsi="Arial"/>
          <w:sz w:val="16"/>
          <w:szCs w:val="16"/>
          <w:color w:val="0070C0"/>
        </w:rPr>
      </w:pPr>
      <w:r>
        <w:rPr>
          <w:rFonts w:ascii="Arial" w:cs="Arial" w:eastAsia="Arial" w:hAnsi="Arial"/>
          <w:sz w:val="16"/>
          <w:szCs w:val="16"/>
          <w:color w:val="auto"/>
        </w:rPr>
        <w:t>The increase in cost of sales was primarily due to higher cost of sales associated with contract manufacturing revenue driven by increased production.</w:t>
      </w:r>
    </w:p>
    <w:p>
      <w:pPr>
        <w:spacing w:after="0" w:line="34" w:lineRule="exact"/>
        <w:rPr>
          <w:rFonts w:ascii="Arial" w:cs="Arial" w:eastAsia="Arial" w:hAnsi="Arial"/>
          <w:sz w:val="16"/>
          <w:szCs w:val="16"/>
          <w:color w:val="0070C0"/>
        </w:rPr>
      </w:pPr>
    </w:p>
    <w:p>
      <w:pPr>
        <w:ind w:left="315" w:right="120" w:hanging="315"/>
        <w:spacing w:after="0" w:line="270" w:lineRule="auto"/>
        <w:tabs>
          <w:tab w:leader="none" w:pos="274" w:val="left"/>
        </w:tabs>
        <w:numPr>
          <w:ilvl w:val="0"/>
          <w:numId w:val="21"/>
        </w:numPr>
        <w:rPr>
          <w:rFonts w:ascii="Arial" w:cs="Arial" w:eastAsia="Arial" w:hAnsi="Arial"/>
          <w:sz w:val="16"/>
          <w:szCs w:val="16"/>
          <w:b w:val="1"/>
          <w:bCs w:val="1"/>
          <w:color w:val="0070C0"/>
        </w:rPr>
      </w:pPr>
      <w:r>
        <w:rPr>
          <w:rFonts w:ascii="Arial" w:cs="Arial" w:eastAsia="Arial" w:hAnsi="Arial"/>
          <w:sz w:val="16"/>
          <w:szCs w:val="16"/>
          <w:color w:val="auto"/>
        </w:rPr>
        <w:t>The increase in research and development expense was partly due to increased spend on clinical trials and close out costs incurred during the second quarter of 2023 of approximately $20.1 million.</w:t>
      </w:r>
    </w:p>
    <w:p>
      <w:pPr>
        <w:spacing w:after="0" w:line="13" w:lineRule="exact"/>
        <w:rPr>
          <w:rFonts w:ascii="Arial" w:cs="Arial" w:eastAsia="Arial" w:hAnsi="Arial"/>
          <w:sz w:val="16"/>
          <w:szCs w:val="16"/>
          <w:b w:val="1"/>
          <w:bCs w:val="1"/>
          <w:color w:val="0070C0"/>
        </w:rPr>
      </w:pPr>
    </w:p>
    <w:p>
      <w:pPr>
        <w:ind w:left="315" w:hanging="315"/>
        <w:spacing w:after="0" w:line="259" w:lineRule="auto"/>
        <w:tabs>
          <w:tab w:leader="none" w:pos="263" w:val="left"/>
        </w:tabs>
        <w:numPr>
          <w:ilvl w:val="0"/>
          <w:numId w:val="21"/>
        </w:numPr>
        <w:rPr>
          <w:rFonts w:ascii="Arial" w:cs="Arial" w:eastAsia="Arial" w:hAnsi="Arial"/>
          <w:sz w:val="16"/>
          <w:szCs w:val="16"/>
          <w:b w:val="1"/>
          <w:bCs w:val="1"/>
          <w:i w:val="1"/>
          <w:iCs w:val="1"/>
          <w:color w:val="00587F"/>
        </w:rPr>
      </w:pPr>
      <w:r>
        <w:rPr>
          <w:rFonts w:ascii="Arial" w:cs="Arial" w:eastAsia="Arial" w:hAnsi="Arial"/>
          <w:sz w:val="16"/>
          <w:szCs w:val="16"/>
          <w:color w:val="auto"/>
        </w:rPr>
        <w:t>The unfavorable change in other (income) expense, net was primarily due to a pre-tax gain recorded during the second quarter of 2022 of approximately $1.5 billion related to the sale of our 49.9% equity interest in Samsung Bioepis, partially offset by a pre-tax charge recorded during the second quarter of 2022 of approximately $900.0 million, related to a litigation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372745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81" w:lineRule="exact"/>
        <w:rPr>
          <w:sz w:val="20"/>
          <w:szCs w:val="20"/>
          <w:color w:val="auto"/>
        </w:rPr>
      </w:pPr>
    </w:p>
    <w:p>
      <w:pPr>
        <w:sectPr>
          <w:pgSz w:w="11900" w:h="16838" w:orient="portrait"/>
          <w:cols w:equalWidth="0" w:num="2">
            <w:col w:w="5185" w:space="720"/>
            <w:col w:w="5215"/>
          </w:cols>
          <w:pgMar w:left="320" w:top="126" w:right="459" w:bottom="1440" w:gutter="0" w:footer="0" w:header="0"/>
          <w:type w:val="continuous"/>
        </w:sectPr>
      </w:pP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70C0"/>
        </w:rPr>
        <w:t>FINANCIAL CONDITION,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Pr>
          <w:p>
            <w:pPr>
              <w:spacing w:after="0"/>
              <w:rPr>
                <w:sz w:val="20"/>
                <w:szCs w:val="20"/>
                <w:color w:val="auto"/>
              </w:rPr>
            </w:pPr>
            <w:r>
              <w:rPr>
                <w:rFonts w:ascii="Arial" w:cs="Arial" w:eastAsia="Arial" w:hAnsi="Arial"/>
                <w:sz w:val="16"/>
                <w:szCs w:val="16"/>
                <w:color w:val="0070C0"/>
              </w:rPr>
              <w:t xml:space="preserve">•   </w:t>
            </w:r>
            <w:r>
              <w:rPr>
                <w:rFonts w:ascii="Arial" w:cs="Arial" w:eastAsia="Arial" w:hAnsi="Arial"/>
                <w:sz w:val="16"/>
                <w:szCs w:val="16"/>
                <w:color w:val="000000"/>
              </w:rPr>
              <w:t>We generated $942.3 million of net cash flow from operations for the</w:t>
            </w:r>
          </w:p>
        </w:tc>
        <w:tc>
          <w:tcPr>
            <w:tcW w:w="5380" w:type="dxa"/>
            <w:vAlign w:val="bottom"/>
          </w:tcPr>
          <w:p>
            <w:pPr>
              <w:ind w:left="340"/>
              <w:spacing w:after="0"/>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6"/>
                <w:szCs w:val="16"/>
                <w:color w:val="000000"/>
              </w:rPr>
              <w:t>There were no share repurchases of our common stock during the</w:t>
            </w:r>
          </w:p>
        </w:tc>
        <w:tc>
          <w:tcPr>
            <w:tcW w:w="0" w:type="dxa"/>
            <w:vAlign w:val="bottom"/>
          </w:tcPr>
          <w:p>
            <w:pPr>
              <w:spacing w:after="0"/>
              <w:rPr>
                <w:sz w:val="1"/>
                <w:szCs w:val="1"/>
                <w:color w:val="auto"/>
              </w:rPr>
            </w:pPr>
          </w:p>
        </w:tc>
      </w:tr>
      <w:tr>
        <w:trPr>
          <w:trHeight w:val="189"/>
        </w:trPr>
        <w:tc>
          <w:tcPr>
            <w:tcW w:w="5560" w:type="dxa"/>
            <w:vAlign w:val="bottom"/>
          </w:tcPr>
          <w:p>
            <w:pPr>
              <w:ind w:left="340"/>
              <w:spacing w:after="0"/>
              <w:rPr>
                <w:sz w:val="20"/>
                <w:szCs w:val="20"/>
                <w:color w:val="auto"/>
              </w:rPr>
            </w:pPr>
            <w:r>
              <w:rPr>
                <w:rFonts w:ascii="Arial" w:cs="Arial" w:eastAsia="Arial" w:hAnsi="Arial"/>
                <w:sz w:val="16"/>
                <w:szCs w:val="16"/>
                <w:color w:val="auto"/>
              </w:rPr>
              <w:t>six months ended June 30, 2023.</w:t>
            </w:r>
          </w:p>
        </w:tc>
        <w:tc>
          <w:tcPr>
            <w:tcW w:w="5380" w:type="dxa"/>
            <w:vAlign w:val="bottom"/>
          </w:tcPr>
          <w:p>
            <w:pPr>
              <w:ind w:left="660"/>
              <w:spacing w:after="0"/>
              <w:rPr>
                <w:sz w:val="20"/>
                <w:szCs w:val="20"/>
                <w:color w:val="auto"/>
              </w:rPr>
            </w:pPr>
            <w:r>
              <w:rPr>
                <w:rFonts w:ascii="Arial" w:cs="Arial" w:eastAsia="Arial" w:hAnsi="Arial"/>
                <w:sz w:val="16"/>
                <w:szCs w:val="16"/>
                <w:color w:val="auto"/>
              </w:rPr>
              <w:t>second quarter of 2023 under our 2020 Share Repurchase</w:t>
            </w:r>
          </w:p>
        </w:tc>
        <w:tc>
          <w:tcPr>
            <w:tcW w:w="0" w:type="dxa"/>
            <w:vAlign w:val="bottom"/>
          </w:tcPr>
          <w:p>
            <w:pPr>
              <w:spacing w:after="0"/>
              <w:rPr>
                <w:sz w:val="1"/>
                <w:szCs w:val="1"/>
                <w:color w:val="auto"/>
              </w:rPr>
            </w:pPr>
          </w:p>
        </w:tc>
      </w:tr>
      <w:tr>
        <w:trPr>
          <w:trHeight w:val="207"/>
        </w:trPr>
        <w:tc>
          <w:tcPr>
            <w:tcW w:w="5560" w:type="dxa"/>
            <w:vAlign w:val="bottom"/>
            <w:vMerge w:val="restart"/>
          </w:tcPr>
          <w:p>
            <w:pPr>
              <w:spacing w:after="0"/>
              <w:rPr>
                <w:sz w:val="20"/>
                <w:szCs w:val="20"/>
                <w:color w:val="auto"/>
              </w:rPr>
            </w:pPr>
            <w:r>
              <w:rPr>
                <w:rFonts w:ascii="Arial" w:cs="Arial" w:eastAsia="Arial" w:hAnsi="Arial"/>
                <w:sz w:val="16"/>
                <w:szCs w:val="16"/>
                <w:color w:val="0070C0"/>
              </w:rPr>
              <w:t xml:space="preserve">•   </w:t>
            </w:r>
            <w:r>
              <w:rPr>
                <w:rFonts w:ascii="Arial" w:cs="Arial" w:eastAsia="Arial" w:hAnsi="Arial"/>
                <w:sz w:val="16"/>
                <w:szCs w:val="16"/>
                <w:color w:val="000000"/>
              </w:rPr>
              <w:t>Cash, cash equivalents and marketable securities totaled</w:t>
            </w:r>
          </w:p>
        </w:tc>
        <w:tc>
          <w:tcPr>
            <w:tcW w:w="5380" w:type="dxa"/>
            <w:vAlign w:val="bottom"/>
          </w:tcPr>
          <w:p>
            <w:pPr>
              <w:ind w:left="660"/>
              <w:spacing w:after="0"/>
              <w:rPr>
                <w:sz w:val="20"/>
                <w:szCs w:val="20"/>
                <w:color w:val="auto"/>
              </w:rPr>
            </w:pPr>
            <w:r>
              <w:rPr>
                <w:rFonts w:ascii="Arial" w:cs="Arial" w:eastAsia="Arial" w:hAnsi="Arial"/>
                <w:sz w:val="16"/>
                <w:szCs w:val="16"/>
                <w:color w:val="auto"/>
              </w:rPr>
              <w:t>Program. Approximately $2.1 billion remained available under our</w:t>
            </w:r>
          </w:p>
        </w:tc>
        <w:tc>
          <w:tcPr>
            <w:tcW w:w="0" w:type="dxa"/>
            <w:vAlign w:val="bottom"/>
          </w:tcPr>
          <w:p>
            <w:pPr>
              <w:spacing w:after="0"/>
              <w:rPr>
                <w:sz w:val="1"/>
                <w:szCs w:val="1"/>
                <w:color w:val="auto"/>
              </w:rPr>
            </w:pPr>
          </w:p>
        </w:tc>
      </w:tr>
      <w:tr>
        <w:trPr>
          <w:trHeight w:val="50"/>
        </w:trPr>
        <w:tc>
          <w:tcPr>
            <w:tcW w:w="5560" w:type="dxa"/>
            <w:vAlign w:val="bottom"/>
            <w:vMerge w:val="continue"/>
          </w:tcPr>
          <w:p>
            <w:pPr>
              <w:spacing w:after="0"/>
              <w:rPr>
                <w:sz w:val="4"/>
                <w:szCs w:val="4"/>
                <w:color w:val="auto"/>
              </w:rPr>
            </w:pPr>
          </w:p>
        </w:tc>
        <w:tc>
          <w:tcPr>
            <w:tcW w:w="5380" w:type="dxa"/>
            <w:vAlign w:val="bottom"/>
            <w:vMerge w:val="restart"/>
          </w:tcPr>
          <w:p>
            <w:pPr>
              <w:ind w:left="660"/>
              <w:spacing w:after="0"/>
              <w:rPr>
                <w:sz w:val="20"/>
                <w:szCs w:val="20"/>
                <w:color w:val="auto"/>
              </w:rPr>
            </w:pPr>
            <w:r>
              <w:rPr>
                <w:rFonts w:ascii="Arial" w:cs="Arial" w:eastAsia="Arial" w:hAnsi="Arial"/>
                <w:sz w:val="16"/>
                <w:szCs w:val="16"/>
                <w:color w:val="auto"/>
              </w:rPr>
              <w:t>2020 Share Repurchase Program as of June 30, 2023.</w:t>
            </w:r>
          </w:p>
        </w:tc>
        <w:tc>
          <w:tcPr>
            <w:tcW w:w="0" w:type="dxa"/>
            <w:vAlign w:val="bottom"/>
          </w:tcPr>
          <w:p>
            <w:pPr>
              <w:spacing w:after="0"/>
              <w:rPr>
                <w:sz w:val="1"/>
                <w:szCs w:val="1"/>
                <w:color w:val="auto"/>
              </w:rPr>
            </w:pPr>
          </w:p>
        </w:tc>
      </w:tr>
      <w:tr>
        <w:trPr>
          <w:trHeight w:val="157"/>
        </w:trPr>
        <w:tc>
          <w:tcPr>
            <w:tcW w:w="5560" w:type="dxa"/>
            <w:vAlign w:val="bottom"/>
            <w:vMerge w:val="restart"/>
          </w:tcPr>
          <w:p>
            <w:pPr>
              <w:ind w:left="340"/>
              <w:spacing w:after="0"/>
              <w:rPr>
                <w:sz w:val="20"/>
                <w:szCs w:val="20"/>
                <w:color w:val="auto"/>
              </w:rPr>
            </w:pPr>
            <w:r>
              <w:rPr>
                <w:rFonts w:ascii="Arial" w:cs="Arial" w:eastAsia="Arial" w:hAnsi="Arial"/>
                <w:sz w:val="16"/>
                <w:szCs w:val="16"/>
                <w:color w:val="auto"/>
              </w:rPr>
              <w:t>approximately $7.3 billion as of June 30, 2023.</w:t>
            </w:r>
          </w:p>
        </w:tc>
        <w:tc>
          <w:tcPr>
            <w:tcW w:w="5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5560" w:type="dxa"/>
            <w:vAlign w:val="bottom"/>
            <w:vMerge w:val="continue"/>
          </w:tcPr>
          <w:p>
            <w:pPr>
              <w:spacing w:after="0"/>
              <w:rPr>
                <w:sz w:val="4"/>
                <w:szCs w:val="4"/>
                <w:color w:val="auto"/>
              </w:rPr>
            </w:pPr>
          </w:p>
        </w:tc>
        <w:tc>
          <w:tcPr>
            <w:tcW w:w="5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0070C0"/>
        </w:rPr>
        <w:t>RECENT DEVELOPMENTS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0070C0"/>
        </w:rPr>
        <w:t>DEVELOPMENTS IN KEY COLLABORATIVE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2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July 2023 the FDA granted traditional approval of LEQEMBI, an anti-amyloid antibody for the treatment of Alzheimer's disease, which was previously granted accelerated approval by the FDA in January 2023. Following the FDA's traditional approval of LEQEMBI, CMS confirmed broader coverage of LEQEMBI.</w:t>
      </w:r>
    </w:p>
    <w:p>
      <w:pPr>
        <w:spacing w:after="0" w:line="76"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Additionally, in March 2023 Eisai announced that the U.S. Veteran's Health Administration will be providing coverage of LEQEMBI to veterans living with early stages of Alzheimer's disease.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lecanemab in rest of world markets during 2023 consisted of the following:</w:t>
      </w:r>
    </w:p>
    <w:p>
      <w:pPr>
        <w:spacing w:after="0" w:line="117" w:lineRule="exact"/>
        <w:rPr>
          <w:sz w:val="20"/>
          <w:szCs w:val="20"/>
          <w:color w:val="auto"/>
        </w:rPr>
      </w:pPr>
    </w:p>
    <w:p>
      <w:pPr>
        <w:ind w:left="340" w:right="420" w:hanging="332"/>
        <w:spacing w:after="0" w:line="275" w:lineRule="auto"/>
        <w:tabs>
          <w:tab w:leader="none" w:pos="295" w:val="left"/>
        </w:tabs>
        <w:numPr>
          <w:ilvl w:val="0"/>
          <w:numId w:val="22"/>
        </w:numPr>
        <w:rPr>
          <w:rFonts w:ascii="Arial" w:cs="Arial" w:eastAsia="Arial" w:hAnsi="Arial"/>
          <w:sz w:val="18"/>
          <w:szCs w:val="18"/>
          <w:color w:val="0070C0"/>
        </w:rPr>
      </w:pPr>
      <w:r>
        <w:rPr>
          <w:rFonts w:ascii="Arial" w:cs="Arial" w:eastAsia="Arial" w:hAnsi="Arial"/>
          <w:sz w:val="18"/>
          <w:szCs w:val="18"/>
          <w:color w:val="auto"/>
        </w:rPr>
        <w:t>In January 2023 the EMA accepted for review the MAA for lecanemab and Eisai completed the submission of a MAA to the PMDA in Japan for lecanemab, which was granted Priority Review by the Japanese Ministry of Health, Labor and Welfare.</w:t>
      </w:r>
    </w:p>
    <w:p>
      <w:pPr>
        <w:spacing w:after="0" w:line="65" w:lineRule="exact"/>
        <w:rPr>
          <w:rFonts w:ascii="Arial" w:cs="Arial" w:eastAsia="Arial" w:hAnsi="Arial"/>
          <w:sz w:val="18"/>
          <w:szCs w:val="18"/>
          <w:color w:val="0070C0"/>
        </w:rPr>
      </w:pPr>
    </w:p>
    <w:p>
      <w:pPr>
        <w:ind w:left="280" w:hanging="272"/>
        <w:spacing w:after="0"/>
        <w:tabs>
          <w:tab w:leader="none" w:pos="280" w:val="left"/>
        </w:tabs>
        <w:numPr>
          <w:ilvl w:val="0"/>
          <w:numId w:val="22"/>
        </w:numPr>
        <w:rPr>
          <w:rFonts w:ascii="Arial" w:cs="Arial" w:eastAsia="Arial" w:hAnsi="Arial"/>
          <w:sz w:val="18"/>
          <w:szCs w:val="18"/>
          <w:color w:val="0070C0"/>
        </w:rPr>
      </w:pPr>
      <w:r>
        <w:rPr>
          <w:rFonts w:ascii="Arial" w:cs="Arial" w:eastAsia="Arial" w:hAnsi="Arial"/>
          <w:sz w:val="18"/>
          <w:szCs w:val="18"/>
          <w:color w:val="auto"/>
        </w:rPr>
        <w:t>In February 2023 the BLA for lecanemab was granted Priority Review by the NMPA of China.</w:t>
      </w:r>
    </w:p>
    <w:p>
      <w:pPr>
        <w:spacing w:after="0" w:line="117" w:lineRule="exact"/>
        <w:rPr>
          <w:rFonts w:ascii="Arial" w:cs="Arial" w:eastAsia="Arial" w:hAnsi="Arial"/>
          <w:sz w:val="18"/>
          <w:szCs w:val="18"/>
          <w:color w:val="0070C0"/>
        </w:rPr>
      </w:pPr>
    </w:p>
    <w:p>
      <w:pPr>
        <w:ind w:left="340" w:hanging="332"/>
        <w:spacing w:after="0" w:line="263" w:lineRule="auto"/>
        <w:tabs>
          <w:tab w:leader="none" w:pos="295" w:val="left"/>
        </w:tabs>
        <w:numPr>
          <w:ilvl w:val="0"/>
          <w:numId w:val="22"/>
        </w:numPr>
        <w:rPr>
          <w:rFonts w:ascii="Arial" w:cs="Arial" w:eastAsia="Arial" w:hAnsi="Arial"/>
          <w:sz w:val="18"/>
          <w:szCs w:val="18"/>
          <w:color w:val="0070C0"/>
        </w:rPr>
      </w:pPr>
      <w:r>
        <w:rPr>
          <w:rFonts w:ascii="Arial" w:cs="Arial" w:eastAsia="Arial" w:hAnsi="Arial"/>
          <w:sz w:val="18"/>
          <w:szCs w:val="18"/>
          <w:color w:val="auto"/>
        </w:rPr>
        <w:t>In May 2023 we and Eisai announced the submission of a MAA for lecanemab to the UK MHRA in Great Britain, which has been designated by the MHRA for the Innovative Licensing and Access Pathway. Additionally, in May 2023 Health Canada accepted for review the NDS for lecanemab.</w:t>
      </w:r>
    </w:p>
    <w:p>
      <w:pPr>
        <w:spacing w:after="0" w:line="75" w:lineRule="exact"/>
        <w:rPr>
          <w:rFonts w:ascii="Arial" w:cs="Arial" w:eastAsia="Arial" w:hAnsi="Arial"/>
          <w:sz w:val="18"/>
          <w:szCs w:val="18"/>
          <w:color w:val="0070C0"/>
        </w:rPr>
      </w:pPr>
    </w:p>
    <w:p>
      <w:pPr>
        <w:ind w:left="280" w:hanging="272"/>
        <w:spacing w:after="0"/>
        <w:tabs>
          <w:tab w:leader="none" w:pos="280" w:val="left"/>
        </w:tabs>
        <w:numPr>
          <w:ilvl w:val="0"/>
          <w:numId w:val="22"/>
        </w:numPr>
        <w:rPr>
          <w:rFonts w:ascii="Arial" w:cs="Arial" w:eastAsia="Arial" w:hAnsi="Arial"/>
          <w:sz w:val="18"/>
          <w:szCs w:val="18"/>
          <w:color w:val="0070C0"/>
        </w:rPr>
      </w:pPr>
      <w:r>
        <w:rPr>
          <w:rFonts w:ascii="Arial" w:cs="Arial" w:eastAsia="Arial" w:hAnsi="Arial"/>
          <w:sz w:val="18"/>
          <w:szCs w:val="18"/>
          <w:color w:val="auto"/>
        </w:rPr>
        <w:t>In June 2023 we and Eisai announced the submission of a MAA for lecanemab to the Ministry of Food and Drug Safety in South Korea.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Zuranolone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the FDA accepted the NDA and granted Priority Review for zuranolone.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070C0"/>
        </w:rPr>
        <w:t>OTHER KEY DEVELOPMENTS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FIT FOR GROWTH</w:t>
      </w:r>
    </w:p>
    <w:p>
      <w:pPr>
        <w:spacing w:after="0" w:line="16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July 2023 we announced a new Fit for Growth program which is expected to generate approximately $1.0 billion in gross operating expense savings, of which approximately $ 300.0 million will be reinvested into product launches and research and development programs, resulting in approximately $700.0 million in net operating expense savings by 2025. The Fit for Growth program is currently estimated to include net headcount reduction of approximately 1,000.</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QALSODY (tofersen)</w:t>
      </w:r>
    </w:p>
    <w:p>
      <w:pPr>
        <w:spacing w:after="0" w:line="1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April 2023 the FDA approved QALSODY for the treatment of ALS in adults who have a mutation in the SOD1 gene. This indication is approved under accelerated approval based on reduction in plasma neurofilament light chain observed in patients treated with QALSODY. Continued approval for this indication may be contingent upon verification of clinical benefit in confirmatory trial(s).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COLUMVI (glofitamab)</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June 2023 the FDA approved COLUMVI for the treatment of adult patients with B-cell non-Hodgkin's lymphoma. This indication is approved under accelerated approval based on response rate and durability of response in the Phase 1/2 study. Continued approval for this indication may be contingent upon verification and description of clinical benefit in confirmatory trial.</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TECFIDERA</w:t>
      </w:r>
    </w:p>
    <w:p>
      <w:pPr>
        <w:spacing w:after="0" w:line="10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March 2023 the CJEU decided in favor of Biogen, the EMA and the EC in their appeal of a European General Court decision that had annulled the EMA's refusal to evaluate a generic version of TECFIDERA because of TECFIDERA's regulatory data and marketing protection.</w:t>
      </w:r>
    </w:p>
    <w:p>
      <w:pPr>
        <w:spacing w:after="0" w:line="1"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The CJEU set aside the General Court's judgment and dismissed the generic's action. On the basis of this favorable decision and the EC determination in May 2023 that TECFIDERA is entitled to an additional year of market protection for its pediatric indication, we believe that TECFIDERA is entitled to</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regulatory marketing protection in the E.U. until at least February 2, 2025, and are seeking to enforce this protection. As of June 30, 2023, some of the TECFIDERA generics have not yet fully exited some of the E.U. markets and some generic products remain in the channel. We expect removal of generics from the market will take additional time. We are closely monitoring this situation and working to enforce our legal right to market protection. In addition, we will continue to enforce our EP 2 653 873 patent related to TECFIDERA, which expires in 2028.</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auto"/>
        </w:rPr>
        <w:t>DENALI COLLABORATION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June 2023 we and Denali announced plans to terminate the Phase 3 LIGHTHOUSE study for BIIB122, a small molecule inhibitor of</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LRRK2 in Parkinson's disease. The protocol for the Phase 2b LUMA study for BIIB122 in patients with early-stage Parkinson’s disease will be amended to now include eligible patients with a LRRK2 genetic mutation in addition to continuing to enroll eligible patients with early-stage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idiopathic Parkinson’s disease.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BIIB093</w:t>
      </w:r>
    </w:p>
    <w:p>
      <w:pPr>
        <w:spacing w:after="0" w:line="9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April 2023 we announced that we will be terminating the development of BIIB093 (glibenclamide IV), currently in a Phase 3 study for large hemispheric infarction and a Phase 2 study for brain contusion, due to operational challenges and other strategic considerations. In connection with this termination, we recorded close-out costs of approximately $13.2 million in research and development within our condensed consolidated statements of income for the three and six months ended June 30, 2023.</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BIIB131</w:t>
      </w:r>
    </w:p>
    <w:p>
      <w:pPr>
        <w:spacing w:after="0" w:line="94"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In April 2023 we announced that we will be pausing the initiation of a Phase 2b study for BIIB131 (TMS-007) for acute ischemic stroke and will continue to assess whether to initiate this study.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BIIB132</w:t>
      </w:r>
    </w:p>
    <w:p>
      <w:pPr>
        <w:spacing w:after="0" w:line="94" w:lineRule="exact"/>
        <w:rPr>
          <w:sz w:val="20"/>
          <w:szCs w:val="20"/>
          <w:color w:val="auto"/>
        </w:rPr>
      </w:pPr>
    </w:p>
    <w:p>
      <w:pPr>
        <w:ind w:right="500"/>
        <w:spacing w:after="0" w:line="244" w:lineRule="auto"/>
        <w:rPr>
          <w:sz w:val="20"/>
          <w:szCs w:val="20"/>
          <w:color w:val="auto"/>
        </w:rPr>
      </w:pPr>
      <w:r>
        <w:rPr>
          <w:rFonts w:ascii="Arial" w:cs="Arial" w:eastAsia="Arial" w:hAnsi="Arial"/>
          <w:sz w:val="18"/>
          <w:szCs w:val="18"/>
          <w:color w:val="auto"/>
        </w:rPr>
        <w:t>In April 2023 we announced that we will be discontinuing further development of BIIB132 in spinocerebellar ataxia type 3, as part of our ongoing research and development prioritization initiative.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00587F"/>
        </w:rPr>
        <w:t>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0070C0"/>
        </w:rPr>
        <w:t>REVENUE</w:t>
      </w:r>
    </w:p>
    <w:p>
      <w:pPr>
        <w:spacing w:after="0" w:line="10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The following revenue discussion should be read in conjunction with </w:t>
      </w:r>
      <w:r>
        <w:rPr>
          <w:rFonts w:ascii="Arial" w:cs="Arial" w:eastAsia="Arial" w:hAnsi="Arial"/>
          <w:sz w:val="18"/>
          <w:szCs w:val="18"/>
          <w:i w:val="1"/>
          <w:iCs w:val="1"/>
          <w:color w:val="auto"/>
        </w:rPr>
        <w:t>Note 4, Revenue</w:t>
      </w:r>
      <w:r>
        <w:rPr>
          <w:rFonts w:ascii="Arial" w:cs="Arial" w:eastAsia="Arial" w:hAnsi="Arial"/>
          <w:sz w:val="18"/>
          <w:szCs w:val="18"/>
          <w:color w:val="auto"/>
        </w:rPr>
        <w:t>, to our condensed consolidated financial statements included in this report.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Revenue is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8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320" w:type="dxa"/>
            <w:vAlign w:val="bottom"/>
            <w:tcBorders>
              <w:bottom w:val="single" w:sz="8" w:color="auto"/>
            </w:tcBorders>
            <w:shd w:val="clear" w:color="auto" w:fill="DDDDDD"/>
          </w:tcPr>
          <w:p>
            <w:pPr>
              <w:spacing w:after="0"/>
              <w:rPr>
                <w:sz w:val="16"/>
                <w:szCs w:val="16"/>
                <w:color w:val="auto"/>
              </w:rPr>
            </w:pPr>
          </w:p>
        </w:tc>
        <w:tc>
          <w:tcPr>
            <w:tcW w:w="1260" w:type="dxa"/>
            <w:vAlign w:val="bottom"/>
            <w:tcBorders>
              <w:bottom w:val="single" w:sz="8" w:color="auto"/>
            </w:tcBorders>
            <w:gridSpan w:val="3"/>
            <w:shd w:val="clear" w:color="auto" w:fill="DDDDDD"/>
          </w:tcPr>
          <w:p>
            <w:pPr>
              <w:jc w:val="right"/>
              <w:ind w:right="240"/>
              <w:spacing w:after="0"/>
              <w:rPr>
                <w:sz w:val="20"/>
                <w:szCs w:val="20"/>
                <w:color w:val="auto"/>
              </w:rPr>
            </w:pPr>
            <w:r>
              <w:rPr>
                <w:rFonts w:ascii="Arial" w:cs="Arial" w:eastAsia="Arial" w:hAnsi="Arial"/>
                <w:sz w:val="14"/>
                <w:szCs w:val="14"/>
                <w:b w:val="1"/>
                <w:bCs w:val="1"/>
                <w:color w:val="257ACB"/>
              </w:rPr>
              <w:t>2023</w:t>
            </w:r>
          </w:p>
        </w:tc>
        <w:tc>
          <w:tcPr>
            <w:tcW w:w="620" w:type="dxa"/>
            <w:vAlign w:val="bottom"/>
            <w:tcBorders>
              <w:bottom w:val="single" w:sz="8" w:color="auto"/>
            </w:tcBorders>
            <w:shd w:val="clear" w:color="auto" w:fill="DDDDDD"/>
          </w:tcPr>
          <w:p>
            <w:pPr>
              <w:spacing w:after="0"/>
              <w:rPr>
                <w:sz w:val="16"/>
                <w:szCs w:val="16"/>
                <w:color w:val="auto"/>
              </w:rPr>
            </w:pPr>
          </w:p>
        </w:tc>
        <w:tc>
          <w:tcPr>
            <w:tcW w:w="160" w:type="dxa"/>
            <w:vAlign w:val="bottom"/>
            <w:tcBorders>
              <w:bottom w:val="single" w:sz="8" w:color="auto"/>
              <w:right w:val="single" w:sz="8" w:color="DDDDDD"/>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0070C0"/>
              </w:rPr>
              <w:t>$ Change</w:t>
            </w:r>
          </w:p>
        </w:tc>
        <w:tc>
          <w:tcPr>
            <w:tcW w:w="80" w:type="dxa"/>
            <w:vAlign w:val="bottom"/>
          </w:tcPr>
          <w:p>
            <w:pPr>
              <w:spacing w:after="0"/>
              <w:rPr>
                <w:sz w:val="16"/>
                <w:szCs w:val="16"/>
                <w:color w:val="auto"/>
              </w:rPr>
            </w:pPr>
          </w:p>
        </w:tc>
        <w:tc>
          <w:tcPr>
            <w:tcW w:w="1180" w:type="dxa"/>
            <w:vAlign w:val="bottom"/>
            <w:tcBorders>
              <w:bottom w:val="single" w:sz="8" w:color="auto"/>
            </w:tcBorders>
            <w:gridSpan w:val="2"/>
            <w:shd w:val="clear" w:color="auto" w:fill="DBDBDB"/>
          </w:tcPr>
          <w:p>
            <w:pPr>
              <w:jc w:val="right"/>
              <w:ind w:right="240"/>
              <w:spacing w:after="0"/>
              <w:rPr>
                <w:sz w:val="20"/>
                <w:szCs w:val="20"/>
                <w:color w:val="auto"/>
              </w:rPr>
            </w:pPr>
            <w:r>
              <w:rPr>
                <w:rFonts w:ascii="Arial" w:cs="Arial" w:eastAsia="Arial" w:hAnsi="Arial"/>
                <w:sz w:val="14"/>
                <w:szCs w:val="14"/>
                <w:b w:val="1"/>
                <w:bCs w:val="1"/>
                <w:color w:val="0070C0"/>
              </w:rPr>
              <w:t>% Change</w:t>
            </w:r>
          </w:p>
        </w:tc>
      </w:tr>
      <w:tr>
        <w:trPr>
          <w:trHeight w:val="190"/>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Product revenue:</w:t>
            </w:r>
          </w:p>
        </w:tc>
        <w:tc>
          <w:tcPr>
            <w:tcW w:w="3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60" w:type="dxa"/>
            <w:vAlign w:val="bottom"/>
            <w:tcBorders>
              <w:right w:val="single" w:sz="8" w:color="DDDDDD"/>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r>
      <w:tr>
        <w:trPr>
          <w:trHeight w:val="208"/>
        </w:trPr>
        <w:tc>
          <w:tcPr>
            <w:tcW w:w="400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801.0</w:t>
            </w:r>
          </w:p>
        </w:tc>
        <w:tc>
          <w:tcPr>
            <w:tcW w:w="100" w:type="dxa"/>
            <w:vAlign w:val="bottom"/>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32.6</w:t>
            </w:r>
          </w:p>
        </w:tc>
        <w:tc>
          <w:tcPr>
            <w:tcW w:w="1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894.1</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34.5 %</w:t>
            </w:r>
          </w:p>
        </w:tc>
        <w:tc>
          <w:tcPr>
            <w:tcW w:w="100" w:type="dxa"/>
            <w:vAlign w:val="bottom"/>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(93.1)</w:t>
            </w:r>
          </w:p>
        </w:tc>
        <w:tc>
          <w:tcPr>
            <w:tcW w:w="80" w:type="dxa"/>
            <w:vAlign w:val="bottom"/>
          </w:tcPr>
          <w:p>
            <w:pPr>
              <w:spacing w:after="0"/>
              <w:rPr>
                <w:sz w:val="18"/>
                <w:szCs w:val="18"/>
                <w:color w:val="auto"/>
              </w:rPr>
            </w:pPr>
          </w:p>
        </w:tc>
        <w:tc>
          <w:tcPr>
            <w:tcW w:w="118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0070C0"/>
              </w:rPr>
              <w:t>(10.4)%</w:t>
            </w:r>
          </w:p>
        </w:tc>
      </w:tr>
      <w:tr>
        <w:trPr>
          <w:trHeight w:val="189"/>
        </w:trPr>
        <w:tc>
          <w:tcPr>
            <w:tcW w:w="400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32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1,044.8</w:t>
            </w:r>
          </w:p>
        </w:tc>
        <w:tc>
          <w:tcPr>
            <w:tcW w:w="100" w:type="dxa"/>
            <w:vAlign w:val="bottom"/>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42.5</w:t>
            </w:r>
          </w:p>
        </w:tc>
        <w:tc>
          <w:tcPr>
            <w:tcW w:w="160" w:type="dxa"/>
            <w:vAlign w:val="bottom"/>
            <w:tcBorders>
              <w:bottom w:val="single" w:sz="8" w:color="auto"/>
              <w:right w:val="single" w:sz="8" w:color="DBDBDB"/>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1,160.8</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(116.0)</w:t>
            </w:r>
          </w:p>
        </w:tc>
        <w:tc>
          <w:tcPr>
            <w:tcW w:w="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(10.0)</w:t>
            </w:r>
          </w:p>
        </w:tc>
        <w:tc>
          <w:tcPr>
            <w:tcW w:w="140" w:type="dxa"/>
            <w:vAlign w:val="bottom"/>
            <w:tcBorders>
              <w:bottom w:val="single" w:sz="8" w:color="auto"/>
            </w:tcBorders>
            <w:shd w:val="clear" w:color="auto" w:fill="DBDBDB"/>
          </w:tcPr>
          <w:p>
            <w:pPr>
              <w:spacing w:after="0"/>
              <w:rPr>
                <w:sz w:val="16"/>
                <w:szCs w:val="16"/>
                <w:color w:val="auto"/>
              </w:rPr>
            </w:pPr>
          </w:p>
        </w:tc>
      </w:tr>
      <w:tr>
        <w:trPr>
          <w:trHeight w:val="190"/>
        </w:trPr>
        <w:tc>
          <w:tcPr>
            <w:tcW w:w="4000" w:type="dxa"/>
            <w:vAlign w:val="bottom"/>
            <w:gridSpan w:val="2"/>
          </w:tcPr>
          <w:p>
            <w:pPr>
              <w:ind w:left="360"/>
              <w:spacing w:after="0"/>
              <w:rPr>
                <w:sz w:val="20"/>
                <w:szCs w:val="20"/>
                <w:color w:val="auto"/>
              </w:rPr>
            </w:pPr>
            <w:r>
              <w:rPr>
                <w:rFonts w:ascii="Arial" w:cs="Arial" w:eastAsia="Arial" w:hAnsi="Arial"/>
                <w:sz w:val="14"/>
                <w:szCs w:val="14"/>
                <w:color w:val="auto"/>
              </w:rPr>
              <w:t>Total product revenue</w:t>
            </w:r>
          </w:p>
        </w:tc>
        <w:tc>
          <w:tcPr>
            <w:tcW w:w="32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1,845.8</w:t>
            </w:r>
          </w:p>
        </w:tc>
        <w:tc>
          <w:tcPr>
            <w:tcW w:w="100" w:type="dxa"/>
            <w:vAlign w:val="bottom"/>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75.1</w:t>
            </w:r>
          </w:p>
        </w:tc>
        <w:tc>
          <w:tcPr>
            <w:tcW w:w="160" w:type="dxa"/>
            <w:vAlign w:val="bottom"/>
            <w:tcBorders>
              <w:right w:val="single" w:sz="8" w:color="DBDBDB"/>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2,054.9</w:t>
            </w:r>
          </w:p>
        </w:tc>
        <w:tc>
          <w:tcPr>
            <w:tcW w:w="1320" w:type="dxa"/>
            <w:vAlign w:val="bottom"/>
            <w:gridSpan w:val="3"/>
          </w:tcPr>
          <w:p>
            <w:pPr>
              <w:jc w:val="right"/>
              <w:ind w:right="108"/>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(209.1)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0070C0"/>
              </w:rPr>
              <w:t>(10.2)</w:t>
            </w:r>
          </w:p>
        </w:tc>
        <w:tc>
          <w:tcPr>
            <w:tcW w:w="140" w:type="dxa"/>
            <w:vAlign w:val="bottom"/>
            <w:shd w:val="clear" w:color="auto" w:fill="DBDBDB"/>
          </w:tcPr>
          <w:p>
            <w:pPr>
              <w:spacing w:after="0"/>
              <w:rPr>
                <w:sz w:val="16"/>
                <w:szCs w:val="16"/>
                <w:color w:val="auto"/>
              </w:rPr>
            </w:pPr>
          </w:p>
        </w:tc>
      </w:tr>
      <w:tr>
        <w:trPr>
          <w:trHeight w:val="196"/>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Revenue from LEQEMBI Collaboration</w:t>
            </w:r>
          </w:p>
        </w:tc>
        <w:tc>
          <w:tcPr>
            <w:tcW w:w="32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(20.7)</w:t>
            </w:r>
          </w:p>
        </w:tc>
        <w:tc>
          <w:tcPr>
            <w:tcW w:w="100" w:type="dxa"/>
            <w:vAlign w:val="bottom"/>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60" w:type="dxa"/>
            <w:vAlign w:val="bottom"/>
            <w:tcBorders>
              <w:right w:val="single" w:sz="8" w:color="DBDBDB"/>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(20.7)</w:t>
            </w:r>
          </w:p>
        </w:tc>
        <w:tc>
          <w:tcPr>
            <w:tcW w:w="80" w:type="dxa"/>
            <w:vAlign w:val="bottom"/>
          </w:tcPr>
          <w:p>
            <w:pPr>
              <w:spacing w:after="0"/>
              <w:rPr>
                <w:sz w:val="17"/>
                <w:szCs w:val="17"/>
                <w:color w:val="auto"/>
              </w:rPr>
            </w:pPr>
          </w:p>
        </w:tc>
        <w:tc>
          <w:tcPr>
            <w:tcW w:w="118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0070C0"/>
              </w:rPr>
              <w:t>nm</w:t>
            </w:r>
          </w:p>
        </w:tc>
      </w:tr>
      <w:tr>
        <w:trPr>
          <w:trHeight w:val="201"/>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20" w:type="dxa"/>
            <w:vAlign w:val="bottom"/>
            <w:shd w:val="clear" w:color="auto" w:fill="DBDBDB"/>
          </w:tcPr>
          <w:p>
            <w:pPr>
              <w:spacing w:after="0"/>
              <w:rPr>
                <w:sz w:val="17"/>
                <w:szCs w:val="17"/>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433.4</w:t>
            </w:r>
          </w:p>
        </w:tc>
        <w:tc>
          <w:tcPr>
            <w:tcW w:w="100" w:type="dxa"/>
            <w:vAlign w:val="bottom"/>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17.7</w:t>
            </w:r>
          </w:p>
        </w:tc>
        <w:tc>
          <w:tcPr>
            <w:tcW w:w="160" w:type="dxa"/>
            <w:vAlign w:val="bottom"/>
            <w:tcBorders>
              <w:right w:val="single" w:sz="8" w:color="DBDBDB"/>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436.3</w:t>
            </w:r>
          </w:p>
        </w:tc>
        <w:tc>
          <w:tcPr>
            <w:tcW w:w="1320" w:type="dxa"/>
            <w:vAlign w:val="bottom"/>
            <w:gridSpan w:val="3"/>
          </w:tcPr>
          <w:p>
            <w:pPr>
              <w:jc w:val="right"/>
              <w:ind w:right="10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(2.9)</w:t>
            </w:r>
          </w:p>
        </w:tc>
        <w:tc>
          <w:tcPr>
            <w:tcW w:w="8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140" w:type="dxa"/>
            <w:vAlign w:val="bottom"/>
            <w:shd w:val="clear" w:color="auto" w:fill="DBDBDB"/>
          </w:tcPr>
          <w:p>
            <w:pPr>
              <w:spacing w:after="0"/>
              <w:rPr>
                <w:sz w:val="17"/>
                <w:szCs w:val="17"/>
                <w:color w:val="auto"/>
              </w:rPr>
            </w:pPr>
          </w:p>
        </w:tc>
      </w:tr>
      <w:tr>
        <w:trPr>
          <w:trHeight w:val="203"/>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3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197.5</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8.0</w:t>
            </w:r>
          </w:p>
        </w:tc>
        <w:tc>
          <w:tcPr>
            <w:tcW w:w="160" w:type="dxa"/>
            <w:vAlign w:val="bottom"/>
            <w:tcBorders>
              <w:bottom w:val="single" w:sz="8" w:color="auto"/>
              <w:right w:val="single" w:sz="8" w:color="DBDBDB"/>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99.6</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101.7</w:t>
            </w:r>
          </w:p>
        </w:tc>
        <w:tc>
          <w:tcPr>
            <w:tcW w:w="140" w:type="dxa"/>
            <w:vAlign w:val="bottom"/>
            <w:tcBorders>
              <w:bottom w:val="single" w:sz="8" w:color="auto"/>
            </w:tcBorders>
          </w:tcPr>
          <w:p>
            <w:pPr>
              <w:spacing w:after="0"/>
              <w:rPr>
                <w:sz w:val="17"/>
                <w:szCs w:val="17"/>
                <w:color w:val="auto"/>
              </w:rPr>
            </w:pPr>
          </w:p>
        </w:tc>
      </w:tr>
      <w:tr>
        <w:trPr>
          <w:trHeight w:val="203"/>
        </w:trPr>
        <w:tc>
          <w:tcPr>
            <w:tcW w:w="400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2,456.0</w:t>
            </w:r>
          </w:p>
        </w:tc>
        <w:tc>
          <w:tcPr>
            <w:tcW w:w="100" w:type="dxa"/>
            <w:vAlign w:val="bottom"/>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2,589.1</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(133.1)</w:t>
            </w:r>
          </w:p>
        </w:tc>
        <w:tc>
          <w:tcPr>
            <w:tcW w:w="8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0070C0"/>
              </w:rPr>
              <w:t>(5.1)%</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-925195</wp:posOffset>
            </wp:positionV>
            <wp:extent cx="65151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510" cy="3860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-410845</wp:posOffset>
            </wp:positionV>
            <wp:extent cx="746125" cy="394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6125" cy="39433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Six Months Ended June 30,</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85"/>
        </w:trPr>
        <w:tc>
          <w:tcPr>
            <w:tcW w:w="3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320" w:type="dxa"/>
            <w:vAlign w:val="bottom"/>
            <w:tcBorders>
              <w:bottom w:val="single" w:sz="8" w:color="auto"/>
            </w:tcBorders>
            <w:shd w:val="clear" w:color="auto" w:fill="DDDDDD"/>
          </w:tcPr>
          <w:p>
            <w:pPr>
              <w:spacing w:after="0"/>
              <w:rPr>
                <w:sz w:val="16"/>
                <w:szCs w:val="16"/>
                <w:color w:val="auto"/>
              </w:rPr>
            </w:pPr>
          </w:p>
        </w:tc>
        <w:tc>
          <w:tcPr>
            <w:tcW w:w="1260" w:type="dxa"/>
            <w:vAlign w:val="bottom"/>
            <w:tcBorders>
              <w:bottom w:val="single" w:sz="8" w:color="auto"/>
            </w:tcBorders>
            <w:gridSpan w:val="3"/>
            <w:shd w:val="clear" w:color="auto" w:fill="DDDDDD"/>
          </w:tcPr>
          <w:p>
            <w:pPr>
              <w:jc w:val="right"/>
              <w:ind w:right="240"/>
              <w:spacing w:after="0"/>
              <w:rPr>
                <w:sz w:val="20"/>
                <w:szCs w:val="20"/>
                <w:color w:val="auto"/>
              </w:rPr>
            </w:pPr>
            <w:r>
              <w:rPr>
                <w:rFonts w:ascii="Arial" w:cs="Arial" w:eastAsia="Arial" w:hAnsi="Arial"/>
                <w:sz w:val="14"/>
                <w:szCs w:val="14"/>
                <w:b w:val="1"/>
                <w:bCs w:val="1"/>
                <w:color w:val="257ACB"/>
              </w:rPr>
              <w:t>2023</w:t>
            </w:r>
          </w:p>
        </w:tc>
        <w:tc>
          <w:tcPr>
            <w:tcW w:w="620" w:type="dxa"/>
            <w:vAlign w:val="bottom"/>
            <w:tcBorders>
              <w:bottom w:val="single" w:sz="8" w:color="auto"/>
            </w:tcBorders>
            <w:shd w:val="clear" w:color="auto" w:fill="DDDDDD"/>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0070C0"/>
              </w:rPr>
              <w:t>$ Change</w:t>
            </w:r>
          </w:p>
        </w:tc>
        <w:tc>
          <w:tcPr>
            <w:tcW w:w="80" w:type="dxa"/>
            <w:vAlign w:val="bottom"/>
          </w:tcPr>
          <w:p>
            <w:pPr>
              <w:spacing w:after="0"/>
              <w:rPr>
                <w:sz w:val="16"/>
                <w:szCs w:val="16"/>
                <w:color w:val="auto"/>
              </w:rPr>
            </w:pPr>
          </w:p>
        </w:tc>
        <w:tc>
          <w:tcPr>
            <w:tcW w:w="1180" w:type="dxa"/>
            <w:vAlign w:val="bottom"/>
            <w:tcBorders>
              <w:bottom w:val="single" w:sz="8" w:color="auto"/>
            </w:tcBorders>
            <w:gridSpan w:val="2"/>
            <w:shd w:val="clear" w:color="auto" w:fill="DBDBDB"/>
          </w:tcPr>
          <w:p>
            <w:pPr>
              <w:jc w:val="right"/>
              <w:ind w:right="240"/>
              <w:spacing w:after="0"/>
              <w:rPr>
                <w:sz w:val="20"/>
                <w:szCs w:val="20"/>
                <w:color w:val="auto"/>
              </w:rPr>
            </w:pPr>
            <w:r>
              <w:rPr>
                <w:rFonts w:ascii="Arial" w:cs="Arial" w:eastAsia="Arial" w:hAnsi="Arial"/>
                <w:sz w:val="14"/>
                <w:szCs w:val="14"/>
                <w:b w:val="1"/>
                <w:bCs w:val="1"/>
                <w:color w:val="0070C0"/>
              </w:rPr>
              <w:t>% Change</w:t>
            </w:r>
          </w:p>
        </w:tc>
      </w:tr>
      <w:tr>
        <w:trPr>
          <w:trHeight w:val="184"/>
        </w:trPr>
        <w:tc>
          <w:tcPr>
            <w:tcW w:w="4000" w:type="dxa"/>
            <w:vAlign w:val="bottom"/>
            <w:gridSpan w:val="3"/>
          </w:tcPr>
          <w:p>
            <w:pPr>
              <w:ind w:left="20"/>
              <w:spacing w:after="0"/>
              <w:rPr>
                <w:sz w:val="20"/>
                <w:szCs w:val="20"/>
                <w:color w:val="auto"/>
              </w:rPr>
            </w:pPr>
            <w:r>
              <w:rPr>
                <w:rFonts w:ascii="Arial" w:cs="Arial" w:eastAsia="Arial" w:hAnsi="Arial"/>
                <w:sz w:val="14"/>
                <w:szCs w:val="14"/>
                <w:color w:val="auto"/>
              </w:rPr>
              <w:t>Product revenue:</w:t>
            </w:r>
          </w:p>
        </w:tc>
        <w:tc>
          <w:tcPr>
            <w:tcW w:w="3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r>
      <w:tr>
        <w:trPr>
          <w:trHeight w:val="214"/>
        </w:trPr>
        <w:tc>
          <w:tcPr>
            <w:tcW w:w="4000" w:type="dxa"/>
            <w:vAlign w:val="bottom"/>
            <w:gridSpan w:val="3"/>
          </w:tcPr>
          <w:p>
            <w:pPr>
              <w:ind w:left="140"/>
              <w:spacing w:after="0"/>
              <w:rPr>
                <w:sz w:val="20"/>
                <w:szCs w:val="20"/>
                <w:color w:val="auto"/>
              </w:rPr>
            </w:pPr>
            <w:r>
              <w:rPr>
                <w:rFonts w:ascii="Arial" w:cs="Arial" w:eastAsia="Arial" w:hAnsi="Arial"/>
                <w:sz w:val="14"/>
                <w:szCs w:val="14"/>
                <w:color w:val="auto"/>
              </w:rPr>
              <w:t>United States</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1,502.4</w:t>
            </w:r>
          </w:p>
        </w:tc>
        <w:tc>
          <w:tcPr>
            <w:tcW w:w="100" w:type="dxa"/>
            <w:vAlign w:val="bottom"/>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30.6</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1,769.3</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34.6 %</w:t>
            </w:r>
          </w:p>
        </w:tc>
        <w:tc>
          <w:tcPr>
            <w:tcW w:w="100" w:type="dxa"/>
            <w:vAlign w:val="bottom"/>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(266.9)</w:t>
            </w:r>
          </w:p>
        </w:tc>
        <w:tc>
          <w:tcPr>
            <w:tcW w:w="80" w:type="dxa"/>
            <w:vAlign w:val="bottom"/>
          </w:tcPr>
          <w:p>
            <w:pPr>
              <w:spacing w:after="0"/>
              <w:rPr>
                <w:sz w:val="18"/>
                <w:szCs w:val="18"/>
                <w:color w:val="auto"/>
              </w:rPr>
            </w:pPr>
          </w:p>
        </w:tc>
        <w:tc>
          <w:tcPr>
            <w:tcW w:w="118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0070C0"/>
              </w:rPr>
              <w:t>(15.1)%</w:t>
            </w:r>
          </w:p>
        </w:tc>
      </w:tr>
      <w:tr>
        <w:trPr>
          <w:trHeight w:val="189"/>
        </w:trPr>
        <w:tc>
          <w:tcPr>
            <w:tcW w:w="4000" w:type="dxa"/>
            <w:vAlign w:val="bottom"/>
            <w:gridSpan w:val="3"/>
          </w:tcPr>
          <w:p>
            <w:pPr>
              <w:ind w:left="140"/>
              <w:spacing w:after="0"/>
              <w:rPr>
                <w:sz w:val="20"/>
                <w:szCs w:val="20"/>
                <w:color w:val="auto"/>
              </w:rPr>
            </w:pPr>
            <w:r>
              <w:rPr>
                <w:rFonts w:ascii="Arial" w:cs="Arial" w:eastAsia="Arial" w:hAnsi="Arial"/>
                <w:sz w:val="14"/>
                <w:szCs w:val="14"/>
                <w:color w:val="auto"/>
              </w:rPr>
              <w:t>Rest of world</w:t>
            </w:r>
          </w:p>
        </w:tc>
        <w:tc>
          <w:tcPr>
            <w:tcW w:w="32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2,106.7</w:t>
            </w:r>
          </w:p>
        </w:tc>
        <w:tc>
          <w:tcPr>
            <w:tcW w:w="100" w:type="dxa"/>
            <w:vAlign w:val="bottom"/>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42.8</w:t>
            </w:r>
          </w:p>
        </w:tc>
        <w:tc>
          <w:tcPr>
            <w:tcW w:w="16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2,351.9</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(245.2)</w:t>
            </w:r>
          </w:p>
        </w:tc>
        <w:tc>
          <w:tcPr>
            <w:tcW w:w="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(10.4)</w:t>
            </w:r>
          </w:p>
        </w:tc>
        <w:tc>
          <w:tcPr>
            <w:tcW w:w="140" w:type="dxa"/>
            <w:vAlign w:val="bottom"/>
            <w:tcBorders>
              <w:bottom w:val="single" w:sz="8" w:color="auto"/>
            </w:tcBorders>
            <w:shd w:val="clear" w:color="auto" w:fill="DBDBDB"/>
          </w:tcPr>
          <w:p>
            <w:pPr>
              <w:spacing w:after="0"/>
              <w:rPr>
                <w:sz w:val="16"/>
                <w:szCs w:val="16"/>
                <w:color w:val="auto"/>
              </w:rPr>
            </w:pPr>
          </w:p>
        </w:tc>
      </w:tr>
      <w:tr>
        <w:trPr>
          <w:trHeight w:val="190"/>
        </w:trPr>
        <w:tc>
          <w:tcPr>
            <w:tcW w:w="4000" w:type="dxa"/>
            <w:vAlign w:val="bottom"/>
            <w:gridSpan w:val="3"/>
          </w:tcPr>
          <w:p>
            <w:pPr>
              <w:ind w:left="360"/>
              <w:spacing w:after="0"/>
              <w:rPr>
                <w:sz w:val="20"/>
                <w:szCs w:val="20"/>
                <w:color w:val="auto"/>
              </w:rPr>
            </w:pPr>
            <w:r>
              <w:rPr>
                <w:rFonts w:ascii="Arial" w:cs="Arial" w:eastAsia="Arial" w:hAnsi="Arial"/>
                <w:sz w:val="14"/>
                <w:szCs w:val="14"/>
                <w:color w:val="auto"/>
              </w:rPr>
              <w:t>Total product revenue</w:t>
            </w:r>
          </w:p>
        </w:tc>
        <w:tc>
          <w:tcPr>
            <w:tcW w:w="32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3,609.1</w:t>
            </w:r>
          </w:p>
        </w:tc>
        <w:tc>
          <w:tcPr>
            <w:tcW w:w="100" w:type="dxa"/>
            <w:vAlign w:val="bottom"/>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73.4</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4,121.2</w:t>
            </w:r>
          </w:p>
        </w:tc>
        <w:tc>
          <w:tcPr>
            <w:tcW w:w="1320" w:type="dxa"/>
            <w:vAlign w:val="bottom"/>
            <w:gridSpan w:val="3"/>
          </w:tcPr>
          <w:p>
            <w:pPr>
              <w:jc w:val="right"/>
              <w:ind w:right="108"/>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(512.1)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0070C0"/>
              </w:rPr>
              <w:t>(12.4)</w:t>
            </w:r>
          </w:p>
        </w:tc>
        <w:tc>
          <w:tcPr>
            <w:tcW w:w="140" w:type="dxa"/>
            <w:vAlign w:val="bottom"/>
            <w:shd w:val="clear" w:color="auto" w:fill="DBDBDB"/>
          </w:tcPr>
          <w:p>
            <w:pPr>
              <w:spacing w:after="0"/>
              <w:rPr>
                <w:sz w:val="16"/>
                <w:szCs w:val="16"/>
                <w:color w:val="auto"/>
              </w:rPr>
            </w:pPr>
          </w:p>
        </w:tc>
      </w:tr>
      <w:tr>
        <w:trPr>
          <w:trHeight w:val="197"/>
        </w:trPr>
        <w:tc>
          <w:tcPr>
            <w:tcW w:w="4000" w:type="dxa"/>
            <w:vAlign w:val="bottom"/>
            <w:gridSpan w:val="3"/>
          </w:tcPr>
          <w:p>
            <w:pPr>
              <w:ind w:left="20"/>
              <w:spacing w:after="0"/>
              <w:rPr>
                <w:sz w:val="20"/>
                <w:szCs w:val="20"/>
                <w:color w:val="auto"/>
              </w:rPr>
            </w:pPr>
            <w:r>
              <w:rPr>
                <w:rFonts w:ascii="Arial" w:cs="Arial" w:eastAsia="Arial" w:hAnsi="Arial"/>
                <w:sz w:val="14"/>
                <w:szCs w:val="14"/>
                <w:color w:val="auto"/>
              </w:rPr>
              <w:t>Revenue from LEQEMBI Collaboration</w:t>
            </w:r>
          </w:p>
        </w:tc>
        <w:tc>
          <w:tcPr>
            <w:tcW w:w="32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(39.6)</w:t>
            </w:r>
          </w:p>
        </w:tc>
        <w:tc>
          <w:tcPr>
            <w:tcW w:w="100" w:type="dxa"/>
            <w:vAlign w:val="bottom"/>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(39.6)</w:t>
            </w:r>
          </w:p>
        </w:tc>
        <w:tc>
          <w:tcPr>
            <w:tcW w:w="80" w:type="dxa"/>
            <w:vAlign w:val="bottom"/>
          </w:tcPr>
          <w:p>
            <w:pPr>
              <w:spacing w:after="0"/>
              <w:rPr>
                <w:sz w:val="17"/>
                <w:szCs w:val="17"/>
                <w:color w:val="auto"/>
              </w:rPr>
            </w:pPr>
          </w:p>
        </w:tc>
        <w:tc>
          <w:tcPr>
            <w:tcW w:w="118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0070C0"/>
              </w:rPr>
              <w:t>nm</w:t>
            </w:r>
          </w:p>
        </w:tc>
      </w:tr>
      <w:tr>
        <w:trPr>
          <w:trHeight w:val="201"/>
        </w:trPr>
        <w:tc>
          <w:tcPr>
            <w:tcW w:w="4000" w:type="dxa"/>
            <w:vAlign w:val="bottom"/>
            <w:gridSpan w:val="3"/>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20" w:type="dxa"/>
            <w:vAlign w:val="bottom"/>
            <w:shd w:val="clear" w:color="auto" w:fill="DBDBDB"/>
          </w:tcPr>
          <w:p>
            <w:pPr>
              <w:spacing w:after="0"/>
              <w:rPr>
                <w:sz w:val="17"/>
                <w:szCs w:val="17"/>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832.9</w:t>
            </w:r>
          </w:p>
        </w:tc>
        <w:tc>
          <w:tcPr>
            <w:tcW w:w="100" w:type="dxa"/>
            <w:vAlign w:val="bottom"/>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16.9</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835.7</w:t>
            </w:r>
          </w:p>
        </w:tc>
        <w:tc>
          <w:tcPr>
            <w:tcW w:w="1320" w:type="dxa"/>
            <w:vAlign w:val="bottom"/>
            <w:gridSpan w:val="3"/>
          </w:tcPr>
          <w:p>
            <w:pPr>
              <w:jc w:val="right"/>
              <w:ind w:right="10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(2.8)</w:t>
            </w:r>
          </w:p>
        </w:tc>
        <w:tc>
          <w:tcPr>
            <w:tcW w:w="8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(0.3)</w:t>
            </w:r>
          </w:p>
        </w:tc>
        <w:tc>
          <w:tcPr>
            <w:tcW w:w="140" w:type="dxa"/>
            <w:vAlign w:val="bottom"/>
            <w:shd w:val="clear" w:color="auto" w:fill="DBDBDB"/>
          </w:tcPr>
          <w:p>
            <w:pPr>
              <w:spacing w:after="0"/>
              <w:rPr>
                <w:sz w:val="17"/>
                <w:szCs w:val="17"/>
                <w:color w:val="auto"/>
              </w:rPr>
            </w:pPr>
          </w:p>
        </w:tc>
      </w:tr>
      <w:tr>
        <w:trPr>
          <w:trHeight w:val="203"/>
        </w:trPr>
        <w:tc>
          <w:tcPr>
            <w:tcW w:w="4000" w:type="dxa"/>
            <w:vAlign w:val="bottom"/>
            <w:gridSpan w:val="3"/>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3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516.6</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10.5</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352.6</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215.0</w:t>
            </w:r>
          </w:p>
        </w:tc>
        <w:tc>
          <w:tcPr>
            <w:tcW w:w="140" w:type="dxa"/>
            <w:vAlign w:val="bottom"/>
            <w:tcBorders>
              <w:bottom w:val="single" w:sz="8" w:color="auto"/>
            </w:tcBorders>
          </w:tcPr>
          <w:p>
            <w:pPr>
              <w:spacing w:after="0"/>
              <w:rPr>
                <w:sz w:val="17"/>
                <w:szCs w:val="17"/>
                <w:color w:val="auto"/>
              </w:rPr>
            </w:pPr>
          </w:p>
        </w:tc>
      </w:tr>
      <w:tr>
        <w:trPr>
          <w:trHeight w:val="216"/>
        </w:trPr>
        <w:tc>
          <w:tcPr>
            <w:tcW w:w="4000" w:type="dxa"/>
            <w:vAlign w:val="bottom"/>
            <w:gridSpan w:val="3"/>
          </w:tcPr>
          <w:p>
            <w:pPr>
              <w:ind w:left="360"/>
              <w:spacing w:after="0"/>
              <w:rPr>
                <w:sz w:val="20"/>
                <w:szCs w:val="20"/>
                <w:color w:val="auto"/>
              </w:rPr>
            </w:pPr>
            <w:r>
              <w:rPr>
                <w:rFonts w:ascii="Arial" w:cs="Arial" w:eastAsia="Arial" w:hAnsi="Arial"/>
                <w:sz w:val="14"/>
                <w:szCs w:val="14"/>
                <w:color w:val="auto"/>
              </w:rPr>
              <w:t>Total revenue</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4,919.0</w:t>
            </w:r>
          </w:p>
        </w:tc>
        <w:tc>
          <w:tcPr>
            <w:tcW w:w="100" w:type="dxa"/>
            <w:vAlign w:val="bottom"/>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5,120.9</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(201.9)</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0070C0"/>
              </w:rPr>
              <w:t>(3.9)%</w:t>
            </w:r>
          </w:p>
        </w:tc>
      </w:tr>
      <w:tr>
        <w:trPr>
          <w:trHeight w:val="20"/>
        </w:trPr>
        <w:tc>
          <w:tcPr>
            <w:tcW w:w="3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3820" w:type="dxa"/>
            <w:vAlign w:val="bottom"/>
            <w:tcBorders>
              <w:bottom w:val="single" w:sz="8" w:color="auto"/>
            </w:tcBorders>
          </w:tcPr>
          <w:p>
            <w:pPr>
              <w:spacing w:after="0"/>
              <w:rPr>
                <w:sz w:val="11"/>
                <w:szCs w:val="11"/>
                <w:color w:val="auto"/>
              </w:rPr>
            </w:pPr>
          </w:p>
        </w:tc>
        <w:tc>
          <w:tcPr>
            <w:tcW w:w="18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324"/>
        </w:trPr>
        <w:tc>
          <w:tcPr>
            <w:tcW w:w="4000" w:type="dxa"/>
            <w:vAlign w:val="bottom"/>
            <w:gridSpan w:val="3"/>
          </w:tcPr>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-1255395</wp:posOffset>
            </wp:positionV>
            <wp:extent cx="651510" cy="386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510" cy="3860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-741045</wp:posOffset>
            </wp:positionV>
            <wp:extent cx="746125" cy="403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6125" cy="40322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0070C0"/>
        </w:rPr>
        <w:t>PRODUCT REVENUE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11"/>
          </w:tcPr>
          <w:p>
            <w:pPr>
              <w:jc w:val="right"/>
              <w:ind w:right="488"/>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gridSpan w:val="3"/>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2023</w:t>
            </w:r>
          </w:p>
        </w:tc>
        <w:tc>
          <w:tcPr>
            <w:tcW w:w="66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Rest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center"/>
              <w:ind w:left="188"/>
              <w:spacing w:after="0" w:line="143"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Rest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jc w:val="center"/>
              <w:ind w:left="28"/>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right="68"/>
              <w:spacing w:after="0" w:line="143" w:lineRule="exact"/>
              <w:rPr>
                <w:sz w:val="20"/>
                <w:szCs w:val="20"/>
                <w:color w:val="auto"/>
              </w:rPr>
            </w:pPr>
            <w:r>
              <w:rPr>
                <w:rFonts w:ascii="Arial" w:cs="Arial" w:eastAsia="Arial" w:hAnsi="Arial"/>
                <w:sz w:val="14"/>
                <w:szCs w:val="14"/>
                <w:b w:val="1"/>
                <w:bCs w:val="1"/>
                <w:color w:val="0070C0"/>
              </w:rPr>
              <w:t>$</w:t>
            </w:r>
          </w:p>
        </w:tc>
        <w:tc>
          <w:tcPr>
            <w:tcW w:w="80" w:type="dxa"/>
            <w:vAlign w:val="bottom"/>
          </w:tcPr>
          <w:p>
            <w:pPr>
              <w:spacing w:after="0"/>
              <w:rPr>
                <w:sz w:val="12"/>
                <w:szCs w:val="12"/>
                <w:color w:val="auto"/>
              </w:rPr>
            </w:pPr>
          </w:p>
        </w:tc>
        <w:tc>
          <w:tcPr>
            <w:tcW w:w="8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75"/>
        </w:trPr>
        <w:tc>
          <w:tcPr>
            <w:tcW w:w="1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Change</w:t>
            </w:r>
          </w:p>
        </w:tc>
        <w:tc>
          <w:tcPr>
            <w:tcW w:w="80" w:type="dxa"/>
            <w:vAlign w:val="bottom"/>
          </w:tcPr>
          <w:p>
            <w:pPr>
              <w:spacing w:after="0"/>
              <w:rPr>
                <w:sz w:val="15"/>
                <w:szCs w:val="15"/>
                <w:color w:val="auto"/>
              </w:rPr>
            </w:pPr>
          </w:p>
        </w:tc>
        <w:tc>
          <w:tcPr>
            <w:tcW w:w="860" w:type="dxa"/>
            <w:vAlign w:val="bottom"/>
            <w:tcBorders>
              <w:bottom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636.7</w:t>
            </w:r>
          </w:p>
        </w:tc>
        <w:tc>
          <w:tcPr>
            <w:tcW w:w="120" w:type="dxa"/>
            <w:vAlign w:val="bottom"/>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572.6</w:t>
            </w:r>
          </w:p>
        </w:tc>
        <w:tc>
          <w:tcPr>
            <w:tcW w:w="120" w:type="dxa"/>
            <w:vAlign w:val="bottom"/>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1,209.3</w:t>
            </w:r>
          </w:p>
        </w:tc>
        <w:tc>
          <w:tcPr>
            <w:tcW w:w="100" w:type="dxa"/>
            <w:vAlign w:val="bottom"/>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65.5</w:t>
            </w:r>
          </w:p>
        </w:tc>
        <w:tc>
          <w:tcPr>
            <w:tcW w:w="160" w:type="dxa"/>
            <w:vAlign w:val="bottom"/>
            <w:shd w:val="clear" w:color="auto" w:fill="DBDBDB"/>
          </w:tcPr>
          <w:p>
            <w:pPr>
              <w:spacing w:after="0"/>
              <w:rPr>
                <w:sz w:val="20"/>
                <w:szCs w:val="20"/>
                <w:color w:val="auto"/>
              </w:rPr>
            </w:pPr>
            <w:r>
              <w:rPr>
                <w:rFonts w:ascii="Arial" w:cs="Arial" w:eastAsia="Arial" w:hAnsi="Arial"/>
                <w:sz w:val="14"/>
                <w:szCs w:val="14"/>
                <w:color w:val="0070C0"/>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753.7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672.9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1,426.6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69.4 %</w:t>
            </w:r>
          </w:p>
        </w:tc>
        <w:tc>
          <w:tcPr>
            <w:tcW w:w="100" w:type="dxa"/>
            <w:vAlign w:val="bottom"/>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(217.3)</w:t>
            </w:r>
          </w:p>
        </w:tc>
        <w:tc>
          <w:tcPr>
            <w:tcW w:w="80" w:type="dxa"/>
            <w:vAlign w:val="bottom"/>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(15.2)%</w:t>
            </w:r>
          </w:p>
        </w:tc>
        <w:tc>
          <w:tcPr>
            <w:tcW w:w="0" w:type="dxa"/>
            <w:vAlign w:val="bottom"/>
          </w:tcPr>
          <w:p>
            <w:pPr>
              <w:spacing w:after="0"/>
              <w:rPr>
                <w:sz w:val="1"/>
                <w:szCs w:val="1"/>
                <w:color w:val="auto"/>
              </w:rPr>
            </w:pPr>
          </w:p>
        </w:tc>
      </w:tr>
      <w:tr>
        <w:trPr>
          <w:trHeight w:val="191"/>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6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155.8</w:t>
            </w:r>
          </w:p>
        </w:tc>
        <w:tc>
          <w:tcPr>
            <w:tcW w:w="12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281.3</w:t>
            </w:r>
          </w:p>
        </w:tc>
        <w:tc>
          <w:tcPr>
            <w:tcW w:w="12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437.1</w:t>
            </w:r>
          </w:p>
        </w:tc>
        <w:tc>
          <w:tcPr>
            <w:tcW w:w="100" w:type="dxa"/>
            <w:vAlign w:val="bottom"/>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23.7</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291.3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431.1</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6.0</w:t>
            </w:r>
          </w:p>
        </w:tc>
        <w:tc>
          <w:tcPr>
            <w:tcW w:w="8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0070C0"/>
              </w:rPr>
              <w:t>1.4</w:t>
            </w:r>
          </w:p>
        </w:tc>
        <w:tc>
          <w:tcPr>
            <w:tcW w:w="0" w:type="dxa"/>
            <w:vAlign w:val="bottom"/>
          </w:tcPr>
          <w:p>
            <w:pPr>
              <w:spacing w:after="0"/>
              <w:rPr>
                <w:sz w:val="1"/>
                <w:szCs w:val="1"/>
                <w:color w:val="auto"/>
              </w:rPr>
            </w:pPr>
          </w:p>
        </w:tc>
      </w:tr>
      <w:tr>
        <w:trPr>
          <w:trHeight w:val="203"/>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6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w:t>
            </w:r>
          </w:p>
        </w:tc>
        <w:tc>
          <w:tcPr>
            <w:tcW w:w="12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188.1</w:t>
            </w:r>
          </w:p>
        </w:tc>
        <w:tc>
          <w:tcPr>
            <w:tcW w:w="12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195.1</w:t>
            </w:r>
          </w:p>
        </w:tc>
        <w:tc>
          <w:tcPr>
            <w:tcW w:w="100" w:type="dxa"/>
            <w:vAlign w:val="bottom"/>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10.6</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194.4</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8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0070C0"/>
              </w:rPr>
              <w:t>0.4</w:t>
            </w:r>
          </w:p>
        </w:tc>
        <w:tc>
          <w:tcPr>
            <w:tcW w:w="0" w:type="dxa"/>
            <w:vAlign w:val="bottom"/>
          </w:tcPr>
          <w:p>
            <w:pPr>
              <w:spacing w:after="0"/>
              <w:rPr>
                <w:sz w:val="1"/>
                <w:szCs w:val="1"/>
                <w:color w:val="auto"/>
              </w:rPr>
            </w:pPr>
          </w:p>
        </w:tc>
      </w:tr>
      <w:tr>
        <w:trPr>
          <w:trHeight w:val="201"/>
        </w:trPr>
        <w:tc>
          <w:tcPr>
            <w:tcW w:w="2000" w:type="dxa"/>
            <w:vAlign w:val="bottom"/>
            <w:gridSpan w:val="2"/>
          </w:tcPr>
          <w:p>
            <w:pPr>
              <w:ind w:left="20"/>
              <w:spacing w:after="0" w:line="201"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w:t>
            </w:r>
          </w:p>
        </w:tc>
        <w:tc>
          <w:tcPr>
            <w:tcW w:w="120" w:type="dxa"/>
            <w:vAlign w:val="bottom"/>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4.3</w:t>
            </w:r>
          </w:p>
        </w:tc>
        <w:tc>
          <w:tcPr>
            <w:tcW w:w="100" w:type="dxa"/>
            <w:vAlign w:val="bottom"/>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0.2</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1.5</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070C0"/>
              </w:rPr>
              <w:t>53.6</w:t>
            </w:r>
          </w:p>
        </w:tc>
        <w:tc>
          <w:tcPr>
            <w:tcW w:w="0" w:type="dxa"/>
            <w:vAlign w:val="bottom"/>
          </w:tcPr>
          <w:p>
            <w:pPr>
              <w:spacing w:after="0"/>
              <w:rPr>
                <w:sz w:val="1"/>
                <w:szCs w:val="1"/>
                <w:color w:val="auto"/>
              </w:rPr>
            </w:pPr>
          </w:p>
        </w:tc>
      </w:tr>
      <w:tr>
        <w:trPr>
          <w:trHeight w:val="216"/>
        </w:trPr>
        <w:tc>
          <w:tcPr>
            <w:tcW w:w="2000" w:type="dxa"/>
            <w:vAlign w:val="bottom"/>
            <w:gridSpan w:val="2"/>
          </w:tcPr>
          <w:p>
            <w:pPr>
              <w:ind w:left="120"/>
              <w:spacing w:after="0"/>
              <w:rPr>
                <w:sz w:val="20"/>
                <w:szCs w:val="20"/>
                <w:color w:val="auto"/>
              </w:rPr>
            </w:pPr>
            <w:r>
              <w:rPr>
                <w:rFonts w:ascii="Arial" w:cs="Arial" w:eastAsia="Arial" w:hAnsi="Arial"/>
                <w:sz w:val="14"/>
                <w:szCs w:val="14"/>
                <w:color w:val="auto"/>
              </w:rPr>
              <w:t>Total product revenue</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801.0</w:t>
            </w:r>
          </w:p>
        </w:tc>
        <w:tc>
          <w:tcPr>
            <w:tcW w:w="12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1,044.8</w:t>
            </w:r>
          </w:p>
        </w:tc>
        <w:tc>
          <w:tcPr>
            <w:tcW w:w="12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1,845.8</w:t>
            </w:r>
          </w:p>
        </w:tc>
        <w:tc>
          <w:tcPr>
            <w:tcW w:w="100" w:type="dxa"/>
            <w:vAlign w:val="bottom"/>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100.0</w:t>
            </w:r>
          </w:p>
        </w:tc>
        <w:tc>
          <w:tcPr>
            <w:tcW w:w="16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1,160.8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2,054.9</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(209.1)</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(10.2)%</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color w:val="auto"/>
              </w:rPr>
              <w:t>For the 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gridSpan w:val="3"/>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2023</w:t>
            </w:r>
          </w:p>
        </w:tc>
        <w:tc>
          <w:tcPr>
            <w:tcW w:w="660" w:type="dxa"/>
            <w:vAlign w:val="bottom"/>
            <w:tcBorders>
              <w:bottom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Rest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center"/>
              <w:ind w:left="188"/>
              <w:spacing w:after="0" w:line="143"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Rest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jc w:val="center"/>
              <w:ind w:left="28"/>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40" w:type="dxa"/>
            <w:vAlign w:val="bottom"/>
            <w:shd w:val="clear" w:color="auto" w:fill="DBDBDB"/>
          </w:tcPr>
          <w:p>
            <w:pPr>
              <w:jc w:val="center"/>
              <w:ind w:right="68"/>
              <w:spacing w:after="0" w:line="143" w:lineRule="exact"/>
              <w:rPr>
                <w:sz w:val="20"/>
                <w:szCs w:val="20"/>
                <w:color w:val="auto"/>
              </w:rPr>
            </w:pPr>
            <w:r>
              <w:rPr>
                <w:rFonts w:ascii="Arial" w:cs="Arial" w:eastAsia="Arial" w:hAnsi="Arial"/>
                <w:sz w:val="14"/>
                <w:szCs w:val="14"/>
                <w:b w:val="1"/>
                <w:bCs w:val="1"/>
                <w:color w:val="0070C0"/>
              </w:rPr>
              <w:t>$</w:t>
            </w:r>
          </w:p>
        </w:tc>
        <w:tc>
          <w:tcPr>
            <w:tcW w:w="80" w:type="dxa"/>
            <w:vAlign w:val="bottom"/>
          </w:tcPr>
          <w:p>
            <w:pPr>
              <w:spacing w:after="0"/>
              <w:rPr>
                <w:sz w:val="12"/>
                <w:szCs w:val="12"/>
                <w:color w:val="auto"/>
              </w:rPr>
            </w:pPr>
          </w:p>
        </w:tc>
        <w:tc>
          <w:tcPr>
            <w:tcW w:w="8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9"/>
        </w:trPr>
        <w:tc>
          <w:tcPr>
            <w:tcW w:w="1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Change</w:t>
            </w:r>
          </w:p>
        </w:tc>
        <w:tc>
          <w:tcPr>
            <w:tcW w:w="80" w:type="dxa"/>
            <w:vAlign w:val="bottom"/>
          </w:tcPr>
          <w:p>
            <w:pPr>
              <w:spacing w:after="0"/>
              <w:rPr>
                <w:sz w:val="16"/>
                <w:szCs w:val="16"/>
                <w:color w:val="auto"/>
              </w:rPr>
            </w:pPr>
          </w:p>
        </w:tc>
        <w:tc>
          <w:tcPr>
            <w:tcW w:w="86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1,182.8</w:t>
            </w:r>
          </w:p>
        </w:tc>
        <w:tc>
          <w:tcPr>
            <w:tcW w:w="120" w:type="dxa"/>
            <w:vAlign w:val="bottom"/>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1,151.7</w:t>
            </w:r>
          </w:p>
        </w:tc>
        <w:tc>
          <w:tcPr>
            <w:tcW w:w="120" w:type="dxa"/>
            <w:vAlign w:val="bottom"/>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2,334.5</w:t>
            </w:r>
          </w:p>
        </w:tc>
        <w:tc>
          <w:tcPr>
            <w:tcW w:w="100" w:type="dxa"/>
            <w:vAlign w:val="bottom"/>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64.7</w:t>
            </w:r>
          </w:p>
        </w:tc>
        <w:tc>
          <w:tcPr>
            <w:tcW w:w="160" w:type="dxa"/>
            <w:vAlign w:val="bottom"/>
            <w:shd w:val="clear" w:color="auto" w:fill="DBDBDB"/>
          </w:tcPr>
          <w:p>
            <w:pPr>
              <w:spacing w:after="0"/>
              <w:rPr>
                <w:sz w:val="20"/>
                <w:szCs w:val="20"/>
                <w:color w:val="auto"/>
              </w:rPr>
            </w:pPr>
            <w:r>
              <w:rPr>
                <w:rFonts w:ascii="Arial" w:cs="Arial" w:eastAsia="Arial" w:hAnsi="Arial"/>
                <w:sz w:val="14"/>
                <w:szCs w:val="14"/>
                <w:color w:val="0070C0"/>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1,462.8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1,358.3</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2,821.1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68.5 %</w:t>
            </w:r>
          </w:p>
        </w:tc>
        <w:tc>
          <w:tcPr>
            <w:tcW w:w="100" w:type="dxa"/>
            <w:vAlign w:val="bottom"/>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(486.6)</w:t>
            </w:r>
          </w:p>
        </w:tc>
        <w:tc>
          <w:tcPr>
            <w:tcW w:w="80" w:type="dxa"/>
            <w:vAlign w:val="bottom"/>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(17.2)%</w:t>
            </w:r>
          </w:p>
        </w:tc>
        <w:tc>
          <w:tcPr>
            <w:tcW w:w="0" w:type="dxa"/>
            <w:vAlign w:val="bottom"/>
          </w:tcPr>
          <w:p>
            <w:pPr>
              <w:spacing w:after="0"/>
              <w:rPr>
                <w:sz w:val="1"/>
                <w:szCs w:val="1"/>
                <w:color w:val="auto"/>
              </w:rPr>
            </w:pPr>
          </w:p>
        </w:tc>
      </w:tr>
      <w:tr>
        <w:trPr>
          <w:trHeight w:val="190"/>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6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302.5</w:t>
            </w:r>
          </w:p>
        </w:tc>
        <w:tc>
          <w:tcPr>
            <w:tcW w:w="12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577.9</w:t>
            </w:r>
          </w:p>
        </w:tc>
        <w:tc>
          <w:tcPr>
            <w:tcW w:w="12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880.4</w:t>
            </w:r>
          </w:p>
        </w:tc>
        <w:tc>
          <w:tcPr>
            <w:tcW w:w="100" w:type="dxa"/>
            <w:vAlign w:val="bottom"/>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24.4</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600.5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903.6</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(23.2)</w:t>
            </w:r>
          </w:p>
        </w:tc>
        <w:tc>
          <w:tcPr>
            <w:tcW w:w="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0070C0"/>
              </w:rPr>
              <w:t>(2.6)</w:t>
            </w:r>
          </w:p>
        </w:tc>
        <w:tc>
          <w:tcPr>
            <w:tcW w:w="0" w:type="dxa"/>
            <w:vAlign w:val="bottom"/>
          </w:tcPr>
          <w:p>
            <w:pPr>
              <w:spacing w:after="0"/>
              <w:rPr>
                <w:sz w:val="1"/>
                <w:szCs w:val="1"/>
                <w:color w:val="auto"/>
              </w:rPr>
            </w:pPr>
          </w:p>
        </w:tc>
      </w:tr>
      <w:tr>
        <w:trPr>
          <w:trHeight w:val="189"/>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6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15.2</w:t>
            </w:r>
          </w:p>
        </w:tc>
        <w:tc>
          <w:tcPr>
            <w:tcW w:w="12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372.3</w:t>
            </w:r>
          </w:p>
        </w:tc>
        <w:tc>
          <w:tcPr>
            <w:tcW w:w="12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387.5</w:t>
            </w:r>
          </w:p>
        </w:tc>
        <w:tc>
          <w:tcPr>
            <w:tcW w:w="100" w:type="dxa"/>
            <w:vAlign w:val="bottom"/>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10.7</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388.2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388.7</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w:t>
            </w:r>
          </w:p>
        </w:tc>
        <w:tc>
          <w:tcPr>
            <w:tcW w:w="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0070C0"/>
              </w:rPr>
              <w:t>(0.3)</w:t>
            </w:r>
          </w:p>
        </w:tc>
        <w:tc>
          <w:tcPr>
            <w:tcW w:w="0" w:type="dxa"/>
            <w:vAlign w:val="bottom"/>
          </w:tcPr>
          <w:p>
            <w:pPr>
              <w:spacing w:after="0"/>
              <w:rPr>
                <w:sz w:val="1"/>
                <w:szCs w:val="1"/>
                <w:color w:val="auto"/>
              </w:rPr>
            </w:pPr>
          </w:p>
        </w:tc>
      </w:tr>
      <w:tr>
        <w:trPr>
          <w:trHeight w:val="215"/>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w:t>
            </w:r>
          </w:p>
        </w:tc>
        <w:tc>
          <w:tcPr>
            <w:tcW w:w="12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4.8</w:t>
            </w:r>
          </w:p>
        </w:tc>
        <w:tc>
          <w:tcPr>
            <w:tcW w:w="12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6.7</w:t>
            </w:r>
          </w:p>
        </w:tc>
        <w:tc>
          <w:tcPr>
            <w:tcW w:w="100" w:type="dxa"/>
            <w:vAlign w:val="bottom"/>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0.2</w:t>
            </w:r>
          </w:p>
        </w:tc>
        <w:tc>
          <w:tcPr>
            <w:tcW w:w="160" w:type="dxa"/>
            <w:vAlign w:val="bottom"/>
            <w:tcBorders>
              <w:bottom w:val="single" w:sz="8" w:color="auto"/>
            </w:tcBorders>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(1.1)</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0070C0"/>
              </w:rPr>
              <w:t>(14.1)</w:t>
            </w:r>
          </w:p>
        </w:tc>
        <w:tc>
          <w:tcPr>
            <w:tcW w:w="0" w:type="dxa"/>
            <w:vAlign w:val="bottom"/>
          </w:tcPr>
          <w:p>
            <w:pPr>
              <w:spacing w:after="0"/>
              <w:rPr>
                <w:sz w:val="1"/>
                <w:szCs w:val="1"/>
                <w:color w:val="auto"/>
              </w:rPr>
            </w:pPr>
          </w:p>
        </w:tc>
      </w:tr>
      <w:tr>
        <w:trPr>
          <w:trHeight w:val="203"/>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Total product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1,502.4</w:t>
            </w:r>
          </w:p>
        </w:tc>
        <w:tc>
          <w:tcPr>
            <w:tcW w:w="120" w:type="dxa"/>
            <w:vAlign w:val="bottom"/>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2,106.7</w:t>
            </w:r>
          </w:p>
        </w:tc>
        <w:tc>
          <w:tcPr>
            <w:tcW w:w="120" w:type="dxa"/>
            <w:vAlign w:val="bottom"/>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3,609.1</w:t>
            </w:r>
          </w:p>
        </w:tc>
        <w:tc>
          <w:tcPr>
            <w:tcW w:w="100" w:type="dxa"/>
            <w:vAlign w:val="bottom"/>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100.0</w:t>
            </w:r>
          </w:p>
        </w:tc>
        <w:tc>
          <w:tcPr>
            <w:tcW w:w="160" w:type="dxa"/>
            <w:vAlign w:val="bottom"/>
            <w:shd w:val="clear" w:color="auto" w:fill="DBDBDB"/>
          </w:tcPr>
          <w:p>
            <w:pPr>
              <w:spacing w:after="0"/>
              <w:rPr>
                <w:sz w:val="20"/>
                <w:szCs w:val="20"/>
                <w:color w:val="auto"/>
              </w:rPr>
            </w:pPr>
            <w:r>
              <w:rPr>
                <w:rFonts w:ascii="Arial" w:cs="Arial" w:eastAsia="Arial" w:hAnsi="Arial"/>
                <w:sz w:val="14"/>
                <w:szCs w:val="14"/>
                <w:color w:val="0070C0"/>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1,769.3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2,351.9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4,121.2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(512.1)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070C0"/>
              </w:rPr>
              <w:t>(12.4)%</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6597015</wp:posOffset>
            </wp:positionH>
            <wp:positionV relativeFrom="paragraph">
              <wp:posOffset>-1979930</wp:posOffset>
            </wp:positionV>
            <wp:extent cx="540385" cy="660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0385" cy="66040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-676910</wp:posOffset>
            </wp:positionV>
            <wp:extent cx="540385" cy="659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0385" cy="6597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24174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74"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ADUHELM and QALSODY, which became commercially available in the U.S. during the second quarter of 2023.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ind w:left="5900" w:hanging="161"/>
        <w:spacing w:after="0" w:line="268"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TECFIDERA revenue decreased $143.7 million, from $397.9</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$254.2 million in 2023, or 36.1%, driven by a decrease in TECFIDERA demand as a result of multiple TECFIDERA generic entrants in North America, Brazil and certain E.U.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2571750" cy="2143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ind w:left="5900" w:right="280" w:hanging="161"/>
        <w:spacing w:after="0" w:line="268"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Interferon revenue decreased $47.8 million, from $350.2</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$302.4 million in 2023, or 13.6%, driven by a decrease in sales volumes as patients transition to higher efficacy therapies.</w:t>
      </w:r>
    </w:p>
    <w:p>
      <w:pPr>
        <w:spacing w:after="0" w:line="18" w:lineRule="exact"/>
        <w:rPr>
          <w:sz w:val="20"/>
          <w:szCs w:val="20"/>
          <w:color w:val="auto"/>
        </w:rPr>
      </w:pPr>
    </w:p>
    <w:p>
      <w:pPr>
        <w:ind w:left="5900" w:right="160" w:hanging="161"/>
        <w:spacing w:after="0" w:line="262"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VUMERITY revenue increased $9.4 million, from $136.8</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$146.2 million in 2023, or 6.9%, primarily due to an increase in rest of world VUMERITY driven by higher sales volumes.</w:t>
      </w:r>
    </w:p>
    <w:p>
      <w:pPr>
        <w:spacing w:after="0" w:line="37" w:lineRule="exact"/>
        <w:rPr>
          <w:sz w:val="20"/>
          <w:szCs w:val="20"/>
          <w:color w:val="auto"/>
        </w:rPr>
      </w:pPr>
    </w:p>
    <w:p>
      <w:pPr>
        <w:ind w:left="5900" w:right="20" w:hanging="161"/>
        <w:spacing w:after="0" w:line="262"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TYSABRI revenue decreased $33.1 million, from $516.2</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$483.1 million in 2023, or 6.4%, primarily due to a decrease in U.S. TYSABRI revenue driven by increased competition and higher discounts and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900" w:hanging="161"/>
        <w:spacing w:after="0" w:line="268"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TECFIDERA revenue decreased $279.1 million, from $807.8</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$528.7 million in 2023, or 34.6%, driven by a decrease in TECFIDERA demand as a result of multiple TECFIDERA generic entrants in North America, Brazil and certain E.U.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2571750" cy="2143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ind w:left="5900" w:right="120" w:hanging="161"/>
        <w:spacing w:after="0" w:line="263"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Interferon revenue decreased $111.8 million, from $659.8</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$548.0 million in 2023, or 16.9%, driven by a decrease in sales volumes as patients transition to higher efficacy therapies, as well as pricing pressure and the unfavorable impact of channel dynamics in the U.S.</w:t>
      </w:r>
    </w:p>
    <w:p>
      <w:pPr>
        <w:spacing w:after="0" w:line="22" w:lineRule="exact"/>
        <w:rPr>
          <w:sz w:val="20"/>
          <w:szCs w:val="20"/>
          <w:color w:val="auto"/>
        </w:rPr>
      </w:pPr>
    </w:p>
    <w:p>
      <w:pPr>
        <w:ind w:left="5900" w:right="20" w:hanging="161"/>
        <w:spacing w:after="0" w:line="258"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VUMERITY revenue decreased $10.4 million, from $264.8</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$254.4 million in 2023, or 3.9%, primarily due to a decrease in U.S. VUMERITY revenue driven by unfavorable channel dynamics and a favorable Medicaid-related sales adjustment in the first quarter of 2022 related to VUMERITY. The decrease was partially offset by an increase in rest of world VUMERITY revenue driven by higher sales volumes.</w:t>
      </w:r>
    </w:p>
    <w:p>
      <w:pPr>
        <w:spacing w:after="0" w:line="28"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TYSABRI revenue decreased $81.1 million, from $1,037.0</w:t>
      </w:r>
    </w:p>
    <w:p>
      <w:pPr>
        <w:spacing w:after="0" w:line="2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million in 2022 to $955.9 million in 2023, or 7.8%, primarily due to a</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decrease in U.S. TYSABRI revenue driven by higher discounts and</w:t>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allowances, increased competition and unfavorable channel</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41210"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1270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MS revenue includes sales from TECFIDERA, VUMERITY, AVONEX, PLEGRIDY, TYSABRI and FAMPYRA.</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2023 we expect total MS revenue will continue to decline as a result of increasing competition for many of our MS products in both the U.S. and rest of world markets. We are also aware of a potential biosimilar entrant of TYSABRI that may enter the U.S. and European markets in 2023, which received a positive CHMP opinion in the E.U. in July 2023.</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we have resolved previously reported manufacturing issues at our VUMERITY contract manufacturer. In addition, we are in the process of securing regulatory approval for a secondary source of supply. We do not anticipate a supply shortage in 2023 and are currently focused on rebuilding adequate inventory.</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SPINAL MUSCULAR ATROPHY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ind w:left="5860" w:right="100" w:hanging="323"/>
        <w:spacing w:after="0" w:line="262" w:lineRule="auto"/>
        <w:tabs>
          <w:tab w:leader="none" w:pos="5840" w:val="left"/>
        </w:tabs>
        <w:rPr>
          <w:sz w:val="20"/>
          <w:szCs w:val="20"/>
          <w:color w:val="auto"/>
        </w:rPr>
      </w:pPr>
      <w:r>
        <w:rPr>
          <w:rFonts w:ascii="Arial" w:cs="Arial" w:eastAsia="Arial" w:hAnsi="Arial"/>
          <w:sz w:val="16"/>
          <w:szCs w:val="16"/>
          <w:b w:val="1"/>
          <w:bCs w:val="1"/>
          <w:color w:val="0070C0"/>
        </w:rPr>
        <w:t>•</w:t>
      </w:r>
      <w:r>
        <w:rPr>
          <w:sz w:val="20"/>
          <w:szCs w:val="20"/>
          <w:color w:val="auto"/>
        </w:rPr>
        <w:tab/>
      </w:r>
      <w:r>
        <w:rPr>
          <w:rFonts w:ascii="Arial" w:cs="Arial" w:eastAsia="Arial" w:hAnsi="Arial"/>
          <w:sz w:val="17"/>
          <w:szCs w:val="17"/>
          <w:color w:val="auto"/>
        </w:rPr>
        <w:t>U.S. SPINRAZA revenue increased $16.0 million, from $139.8 million in 2022 to $155.8 million in 2023, or 11.4%, primarily due to an increase in sales volumes resulting from patient growth and an increase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2571750" cy="2143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ind w:left="5860" w:right="80" w:hanging="323"/>
        <w:spacing w:after="0" w:line="259"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Rest of world SPINRAZA revenue decreased $10.0 million, from $291.3 million in 2022 to $281.3 million in 2023, or 3.4%, primarily due to unfavorable pricing and the unfavorable impact of foreign currency exchange. The decrease was partially offset by an increase in sales volume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1239520</wp:posOffset>
            </wp:positionV>
            <wp:extent cx="7141210"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60" w:right="120" w:hanging="323"/>
        <w:spacing w:after="0" w:line="262" w:lineRule="auto"/>
        <w:tabs>
          <w:tab w:leader="none" w:pos="5840" w:val="left"/>
        </w:tabs>
        <w:rPr>
          <w:sz w:val="20"/>
          <w:szCs w:val="20"/>
          <w:color w:val="auto"/>
        </w:rPr>
      </w:pPr>
      <w:r>
        <w:rPr>
          <w:rFonts w:ascii="Arial" w:cs="Arial" w:eastAsia="Arial" w:hAnsi="Arial"/>
          <w:sz w:val="16"/>
          <w:szCs w:val="16"/>
          <w:b w:val="1"/>
          <w:bCs w:val="1"/>
          <w:color w:val="0070C0"/>
        </w:rPr>
        <w:t>•</w:t>
      </w:r>
      <w:r>
        <w:rPr>
          <w:sz w:val="20"/>
          <w:szCs w:val="20"/>
          <w:color w:val="auto"/>
        </w:rPr>
        <w:tab/>
      </w:r>
      <w:r>
        <w:rPr>
          <w:rFonts w:ascii="Arial" w:cs="Arial" w:eastAsia="Arial" w:hAnsi="Arial"/>
          <w:sz w:val="17"/>
          <w:szCs w:val="17"/>
          <w:color w:val="auto"/>
        </w:rPr>
        <w:t>U.S. SPINRAZA revenue decreased $0.6 million, from $303.1 million in 2022 to $302.5 million in 2023, or 0.2%, primarily due to a decrease in sales volumes resulting from unfavorable channel dynamics, partially offset by an increase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2571750" cy="21431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ind w:left="5860" w:right="120" w:hanging="323"/>
        <w:spacing w:after="0" w:line="259"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Rest of world SPINRAZA revenue decreased $22.6 million, from $600.5 million in 2022 to $577.9 million in 2023, or 3.8%, primarily due to the unfavorable impact of foreign currency exchange and a decrease in pricing, partially offset by sales volume growth in certain Asian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1205230</wp:posOffset>
            </wp:positionV>
            <wp:extent cx="7141210"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SMA revenue includes sales from SPINRAZA.</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Despite competition from a gene therapy product and an oral product, we anticipate SPINRAZA revenue to be relatively flat in 2023. Moderate growth in the U.S. as well as continued access expansion in emerging markets is expected to offset increased competition and the impact of loading dose dynamics.</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BIOSIMILARS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ind w:left="5860" w:right="160" w:hanging="323"/>
        <w:spacing w:after="0" w:line="259" w:lineRule="auto"/>
        <w:tabs>
          <w:tab w:leader="none" w:pos="5840" w:val="left"/>
        </w:tabs>
        <w:rPr>
          <w:sz w:val="20"/>
          <w:szCs w:val="20"/>
          <w:color w:val="auto"/>
        </w:rPr>
      </w:pPr>
      <w:r>
        <w:rPr>
          <w:rFonts w:ascii="Arial" w:cs="Arial" w:eastAsia="Arial" w:hAnsi="Arial"/>
          <w:sz w:val="17"/>
          <w:szCs w:val="17"/>
          <w:i w:val="1"/>
          <w:iCs w:val="1"/>
          <w:color w:val="0070C0"/>
        </w:rPr>
        <w:t>•</w:t>
      </w:r>
      <w:r>
        <w:rPr>
          <w:sz w:val="20"/>
          <w:szCs w:val="20"/>
          <w:color w:val="auto"/>
        </w:rPr>
        <w:tab/>
      </w:r>
      <w:r>
        <w:rPr>
          <w:rFonts w:ascii="Arial" w:cs="Arial" w:eastAsia="Arial" w:hAnsi="Arial"/>
          <w:sz w:val="17"/>
          <w:szCs w:val="17"/>
          <w:color w:val="auto"/>
        </w:rPr>
        <w:t>For the three months ended June 30, 2023, compared to the same period of 2022, the increase in biosimilar revenue was primarily due to an increase in sales volumes related to the continued launch of BYOOVIZ in the U.S. and rest of world, offset by the unfavorable impact of foreign currency exchange and unfavorable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2571750" cy="30003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1750" cy="3000375"/>
                    </a:xfrm>
                    <a:prstGeom prst="rect">
                      <a:avLst/>
                    </a:prstGeom>
                    <a:noFill/>
                  </pic:spPr>
                </pic:pic>
              </a:graphicData>
            </a:graphic>
          </wp:anchor>
        </w:drawing>
      </w:r>
    </w:p>
    <w:p>
      <w:pPr>
        <w:spacing w:after="0" w:line="59" w:lineRule="exact"/>
        <w:rPr>
          <w:sz w:val="20"/>
          <w:szCs w:val="20"/>
          <w:color w:val="auto"/>
        </w:rPr>
      </w:pPr>
    </w:p>
    <w:p>
      <w:pPr>
        <w:ind w:left="5860" w:right="100" w:hanging="323"/>
        <w:spacing w:after="0" w:line="259" w:lineRule="auto"/>
        <w:tabs>
          <w:tab w:leader="none" w:pos="5840" w:val="left"/>
        </w:tabs>
        <w:rPr>
          <w:sz w:val="20"/>
          <w:szCs w:val="20"/>
          <w:color w:val="auto"/>
        </w:rPr>
      </w:pPr>
      <w:r>
        <w:rPr>
          <w:rFonts w:ascii="Arial" w:cs="Arial" w:eastAsia="Arial" w:hAnsi="Arial"/>
          <w:sz w:val="17"/>
          <w:szCs w:val="17"/>
          <w:i w:val="1"/>
          <w:iCs w:val="1"/>
          <w:color w:val="0070C0"/>
        </w:rPr>
        <w:t>•</w:t>
      </w:r>
      <w:r>
        <w:rPr>
          <w:sz w:val="20"/>
          <w:szCs w:val="20"/>
          <w:color w:val="auto"/>
        </w:rPr>
        <w:tab/>
      </w:r>
      <w:r>
        <w:rPr>
          <w:rFonts w:ascii="Arial" w:cs="Arial" w:eastAsia="Arial" w:hAnsi="Arial"/>
          <w:sz w:val="17"/>
          <w:szCs w:val="17"/>
          <w:color w:val="auto"/>
        </w:rPr>
        <w:t>For the six months ended June 30, 2023, compared to the same period in 2022, the decrease in biosimilar revenue was primarily due to the unfavorable impact of foreign currency exchange and unfavorable pricing, offset by an increase in sales volumes related to the continued launch of BYOOVIZ in the U.S. and rest of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1898015</wp:posOffset>
            </wp:positionV>
            <wp:extent cx="7141210"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Biosimilars revenue includes sales from BENEPALI, IMRALDI, FLIXABI and BYOOVIZ. BYOOVIZ launched in the U.S. in June 2022 and became commercially available in July 2022 through major distributors in the U.S. In 2023 BYOOVIZ became commercially available in Canada and certain countries in Europe.</w:t>
      </w:r>
    </w:p>
    <w:p>
      <w:pPr>
        <w:spacing w:after="0" w:line="7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In 2023 we anticipate modest growth in revenue from our biosimilars business driven by the continued launch of BYOOVIZ in the U.S. and rest of world, offset in part by continued price reductions in certain markets.</w:t>
      </w:r>
    </w:p>
    <w:p>
      <w:pPr>
        <w:spacing w:after="0" w:line="6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are currently working with our contract manufacturer for IMRALDI to address facility regulatory inspection deficiencies at two filling locations, which could impact supply and have an adverse impact on 2023 IMRALDI sales, if not resolved. Manufacturing of BENEPALI also utilizes one of these facilities and therefore could have an adverse impact on 2023 BENEPALI sales. We are working with our existing secondary supplier for BENEPALI with the aim to secure additional capacity.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we announced that we are exploring strategic options for our biosimilars business.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070C0"/>
        </w:rPr>
        <w:t>REVENUE FROM LEQEMBI COLLABORATION</w:t>
      </w:r>
    </w:p>
    <w:p>
      <w:pPr>
        <w:spacing w:after="0" w:line="10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July 2023 the FDA granted traditional approval of LEQEMBI. Prior to receiving traditional approval, LEQEMBI had been granted accelerated approval by the FDA in January 2023, at which time it became commercially available in the U.S. Upon commercialization of LEQEMBI, we began recognizing our portion of the profit share on a net basis as a separate component of total revenue within revenue from LEQEMBI collaboration in our condensed consolidated income statements, as we are not the principal.</w:t>
      </w:r>
    </w:p>
    <w:p>
      <w:pPr>
        <w:spacing w:after="0" w:line="8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For the three and six months ended June 30, 2023, we recognized reductions to revenue of approximately $20.7 million and $39.6 million, respectively, reflecting our net profit-share of the LEQEMBI Collaboration results in the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 2023 we anticipate we will continue to recognize a loss on the profit share, with commercial expense exceeding initial revenue.</w:t>
      </w:r>
    </w:p>
    <w:p>
      <w:pPr>
        <w:spacing w:after="0" w:line="11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0070C0"/>
        </w:rPr>
        <w:t>REVENUE FROM ANTI-CD20 THERAPEUTIC PROGRAMS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we refer to RITUXAN and RITUXAN HYCELA collectively as RITUXAN.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230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For the Six Months Ended June</w:t>
            </w:r>
          </w:p>
        </w:tc>
      </w:tr>
      <w:tr>
        <w:trPr>
          <w:trHeight w:val="200"/>
        </w:trPr>
        <w:tc>
          <w:tcPr>
            <w:tcW w:w="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71"/>
              </w:rPr>
              <w:t>30,</w:t>
            </w:r>
          </w:p>
        </w:tc>
        <w:tc>
          <w:tcPr>
            <w:tcW w:w="860" w:type="dxa"/>
            <w:vAlign w:val="bottom"/>
            <w:tcBorders>
              <w:bottom w:val="single" w:sz="8" w:color="auto"/>
            </w:tcBorders>
          </w:tcPr>
          <w:p>
            <w:pPr>
              <w:spacing w:after="0"/>
              <w:rPr>
                <w:sz w:val="17"/>
                <w:szCs w:val="17"/>
                <w:color w:val="auto"/>
              </w:rPr>
            </w:pPr>
          </w:p>
        </w:tc>
      </w:tr>
      <w:tr>
        <w:trPr>
          <w:trHeight w:val="185"/>
        </w:trPr>
        <w:tc>
          <w:tcPr>
            <w:tcW w:w="6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00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right w:val="single" w:sz="8" w:color="DDDDDD"/>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4"/>
        </w:trPr>
        <w:tc>
          <w:tcPr>
            <w:tcW w:w="6500" w:type="dxa"/>
            <w:vAlign w:val="bottom"/>
            <w:gridSpan w:val="4"/>
          </w:tcPr>
          <w:p>
            <w:pPr>
              <w:ind w:left="20"/>
              <w:spacing w:after="0"/>
              <w:rPr>
                <w:sz w:val="20"/>
                <w:szCs w:val="20"/>
                <w:color w:val="auto"/>
              </w:rPr>
            </w:pPr>
            <w:r>
              <w:rPr>
                <w:rFonts w:ascii="Arial" w:cs="Arial" w:eastAsia="Arial" w:hAnsi="Arial"/>
                <w:sz w:val="14"/>
                <w:szCs w:val="14"/>
                <w:color w:val="auto"/>
              </w:rPr>
              <w:t>Royalty revenue on sales of OCREVUS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325.5</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291.8</w:t>
            </w:r>
          </w:p>
        </w:tc>
        <w:tc>
          <w:tcPr>
            <w:tcW w:w="80" w:type="dxa"/>
            <w:vAlign w:val="bottom"/>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8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609.1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544.1</w:t>
            </w:r>
          </w:p>
        </w:tc>
      </w:tr>
      <w:tr>
        <w:trPr>
          <w:trHeight w:val="223"/>
        </w:trPr>
        <w:tc>
          <w:tcPr>
            <w:tcW w:w="6500" w:type="dxa"/>
            <w:vAlign w:val="bottom"/>
            <w:gridSpan w:val="4"/>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18"/>
                <w:szCs w:val="18"/>
                <w:color w:val="auto"/>
                <w:vertAlign w:val="superscript"/>
              </w:rPr>
              <w:t>(1)</w:t>
            </w: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103.6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139.9</w:t>
            </w:r>
          </w:p>
        </w:tc>
        <w:tc>
          <w:tcPr>
            <w:tcW w:w="80" w:type="dxa"/>
            <w:vAlign w:val="bottom"/>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216.1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283.1</w:t>
            </w:r>
          </w:p>
        </w:tc>
      </w:tr>
      <w:tr>
        <w:trPr>
          <w:trHeight w:val="181"/>
        </w:trPr>
        <w:tc>
          <w:tcPr>
            <w:tcW w:w="6500" w:type="dxa"/>
            <w:vAlign w:val="bottom"/>
            <w:gridSpan w:val="4"/>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4.3</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6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7.7</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216"/>
        </w:trPr>
        <w:tc>
          <w:tcPr>
            <w:tcW w:w="40" w:type="dxa"/>
            <w:vAlign w:val="bottom"/>
          </w:tcPr>
          <w:p>
            <w:pPr>
              <w:spacing w:after="0"/>
              <w:rPr>
                <w:sz w:val="18"/>
                <w:szCs w:val="18"/>
                <w:color w:val="auto"/>
              </w:rPr>
            </w:pPr>
          </w:p>
        </w:tc>
        <w:tc>
          <w:tcPr>
            <w:tcW w:w="6460" w:type="dxa"/>
            <w:vAlign w:val="bottom"/>
            <w:gridSpan w:val="3"/>
          </w:tcPr>
          <w:p>
            <w:pPr>
              <w:ind w:left="80"/>
              <w:spacing w:after="0"/>
              <w:rPr>
                <w:sz w:val="20"/>
                <w:szCs w:val="20"/>
                <w:color w:val="auto"/>
              </w:rPr>
            </w:pPr>
            <w:r>
              <w:rPr>
                <w:rFonts w:ascii="Arial" w:cs="Arial" w:eastAsia="Arial" w:hAnsi="Arial"/>
                <w:sz w:val="14"/>
                <w:szCs w:val="14"/>
                <w:color w:val="auto"/>
              </w:rPr>
              <w:t>Total revenue from anti-CD20 therapeutic programs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433.4</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436.3</w:t>
            </w:r>
          </w:p>
        </w:tc>
        <w:tc>
          <w:tcPr>
            <w:tcW w:w="80" w:type="dxa"/>
            <w:vAlign w:val="bottom"/>
          </w:tcPr>
          <w:p>
            <w:pPr>
              <w:spacing w:after="0"/>
              <w:rPr>
                <w:sz w:val="18"/>
                <w:szCs w:val="18"/>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8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832.9</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835.7</w:t>
            </w: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78"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LUNSUMIO became commercially available in the U.S. during the first quarter of 2023.</w:t>
      </w:r>
    </w:p>
    <w:p>
      <w:pPr>
        <w:spacing w:after="0" w:line="80"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For the three and six months ended June 30, 2023, compared to the same periods in 2022, the increases in royalty revenue on sales of OCREVUS were primarily due to sales growth of OCREVUS in the U.S.</w:t>
      </w:r>
    </w:p>
    <w:p>
      <w:pPr>
        <w:spacing w:after="0" w:line="6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For the three and six months ended June 30, 2023, compared to the same periods in 2022, the decreases in our share of pre-tax profits in the U.S. for RITUXAN, GAZYVA and LUNSUMIO were primarily due to decreases in sales volumes of RITUXAN in the U.S. resulting from competition from multiple biosimilar products. In April 2023 the pre-tax profit share for RITUXAN, GAZYVA and LUNSUMIO decreased from 37.5% to 35.0%.</w:t>
      </w:r>
    </w:p>
    <w:p>
      <w:pPr>
        <w:spacing w:after="0" w:line="82"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Prior to regulatory approval, we record our share of the expense incurred by the collaboration for the development of anti-CD20 products in research and development expense and pre-commercialization costs within selling, general and administrative expense in our condensed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0070C0"/>
        </w:rPr>
        <w:t>CONTRACT MANUFACTURING, ROYALTY AND OTHER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and is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 June</w:t>
            </w:r>
          </w:p>
        </w:tc>
        <w:tc>
          <w:tcPr>
            <w:tcW w:w="100" w:type="dxa"/>
            <w:vAlign w:val="bottom"/>
          </w:tcPr>
          <w:p>
            <w:pPr>
              <w:spacing w:after="0"/>
              <w:rPr>
                <w:sz w:val="14"/>
                <w:szCs w:val="14"/>
                <w:color w:val="auto"/>
              </w:rPr>
            </w:pPr>
          </w:p>
        </w:tc>
        <w:tc>
          <w:tcPr>
            <w:tcW w:w="22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For the Six Months Ended June</w:t>
            </w:r>
          </w:p>
        </w:tc>
      </w:tr>
      <w:tr>
        <w:trPr>
          <w:trHeight w:val="189"/>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71"/>
              </w:rPr>
              <w:t>30,</w:t>
            </w:r>
          </w:p>
        </w:tc>
        <w:tc>
          <w:tcPr>
            <w:tcW w:w="880" w:type="dxa"/>
            <w:vAlign w:val="bottom"/>
            <w:tcBorders>
              <w:bottom w:val="single" w:sz="8" w:color="auto"/>
            </w:tcBorders>
          </w:tcPr>
          <w:p>
            <w:pPr>
              <w:spacing w:after="0"/>
              <w:rPr>
                <w:sz w:val="16"/>
                <w:szCs w:val="16"/>
                <w:color w:val="auto"/>
              </w:rPr>
            </w:pPr>
          </w:p>
        </w:tc>
      </w:tr>
      <w:tr>
        <w:trPr>
          <w:trHeight w:val="18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880" w:type="dxa"/>
            <w:vAlign w:val="bottom"/>
            <w:tcBorders>
              <w:bottom w:val="single" w:sz="8" w:color="auto"/>
              <w:right w:val="single" w:sz="8" w:color="DDDDDD"/>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040" w:type="dxa"/>
            <w:vAlign w:val="bottom"/>
            <w:tcBorders>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4"/>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260" w:type="dxa"/>
            <w:vAlign w:val="bottom"/>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183.1</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490.0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128.7</w:t>
            </w:r>
          </w:p>
        </w:tc>
      </w:tr>
      <w:tr>
        <w:trPr>
          <w:trHeight w:val="214"/>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26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14.4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26.6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r>
      <w:tr>
        <w:trPr>
          <w:trHeight w:val="203"/>
        </w:trPr>
        <w:tc>
          <w:tcPr>
            <w:tcW w:w="636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260" w:type="dxa"/>
            <w:vAlign w:val="bottom"/>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197.5</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516.6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164.0</w:t>
            </w: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three and six months ended June 30, 2023, compared to the same periods in 2022, the increases in contract manufacturing revenue were primarily driven by higher volumes due to the timing of batch production, which includes batches related to LEQEMBI that we began recognizing in the first quarter of 2023 upon the accelerated approval of LEQEMBI in the U.S.</w:t>
      </w:r>
    </w:p>
    <w:p>
      <w:pPr>
        <w:spacing w:after="0" w:line="7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0070C0"/>
        </w:rPr>
        <w:t>RESERVES FOR DISCOUNTS AND ALLOWANCES</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ind w:left="80"/>
              <w:spacing w:after="0"/>
              <w:rPr>
                <w:sz w:val="20"/>
                <w:szCs w:val="20"/>
                <w:color w:val="auto"/>
              </w:rPr>
            </w:pPr>
            <w:r>
              <w:rPr>
                <w:rFonts w:ascii="Arial" w:cs="Arial" w:eastAsia="Arial" w:hAnsi="Arial"/>
                <w:sz w:val="14"/>
                <w:szCs w:val="14"/>
                <w:color w:val="auto"/>
              </w:rPr>
              <w:t>For the Three Months Ended June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71"/>
              </w:rPr>
              <w:t>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For the Six Months Ended June 30,</w:t>
            </w:r>
          </w:p>
        </w:tc>
      </w:tr>
      <w:tr>
        <w:trPr>
          <w:trHeight w:val="18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right w:val="single" w:sz="8" w:color="DBDBDB"/>
            </w:tcBorders>
            <w:shd w:val="clear" w:color="auto" w:fill="DBDBDB"/>
          </w:tcPr>
          <w:p>
            <w:pPr>
              <w:jc w:val="right"/>
              <w:ind w:right="328"/>
              <w:spacing w:after="0"/>
              <w:rPr>
                <w:sz w:val="20"/>
                <w:szCs w:val="20"/>
                <w:color w:val="auto"/>
              </w:rPr>
            </w:pPr>
            <w:r>
              <w:rPr>
                <w:rFonts w:ascii="Arial" w:cs="Arial" w:eastAsia="Arial" w:hAnsi="Arial"/>
                <w:sz w:val="14"/>
                <w:szCs w:val="14"/>
                <w:color w:val="0070C0"/>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0070C0"/>
              </w:rPr>
              <w:t>2023</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2022</w:t>
            </w:r>
          </w:p>
        </w:tc>
      </w:tr>
      <w:tr>
        <w:trPr>
          <w:trHeight w:val="184"/>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Contractual adjustments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070C0"/>
              </w:rPr>
              <w:t>675.2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668.1</w:t>
            </w:r>
          </w:p>
        </w:tc>
        <w:tc>
          <w:tcPr>
            <w:tcW w:w="120" w:type="dxa"/>
            <w:vAlign w:val="bottom"/>
          </w:tcPr>
          <w:p>
            <w:pPr>
              <w:spacing w:after="0"/>
              <w:rPr>
                <w:sz w:val="16"/>
                <w:szCs w:val="16"/>
                <w:color w:val="auto"/>
              </w:rPr>
            </w:pPr>
          </w:p>
        </w:tc>
        <w:tc>
          <w:tcPr>
            <w:tcW w:w="2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070C0"/>
                <w:w w:val="76"/>
              </w:rPr>
              <w:t>$</w:t>
            </w:r>
          </w:p>
        </w:tc>
        <w:tc>
          <w:tcPr>
            <w:tcW w:w="9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1,305.1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1,287.4</w:t>
            </w:r>
          </w:p>
        </w:tc>
      </w:tr>
      <w:tr>
        <w:trPr>
          <w:trHeight w:val="203"/>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Discounts</w:t>
            </w:r>
          </w:p>
        </w:tc>
        <w:tc>
          <w:tcPr>
            <w:tcW w:w="240" w:type="dxa"/>
            <w:vAlign w:val="bottom"/>
            <w:shd w:val="clear" w:color="auto" w:fill="DBDBDB"/>
          </w:tcPr>
          <w:p>
            <w:pPr>
              <w:spacing w:after="0"/>
              <w:rPr>
                <w:sz w:val="17"/>
                <w:szCs w:val="17"/>
                <w:color w:val="auto"/>
              </w:rPr>
            </w:pP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070C0"/>
              </w:rPr>
              <w:t>201.4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171.4</w:t>
            </w:r>
          </w:p>
        </w:tc>
        <w:tc>
          <w:tcPr>
            <w:tcW w:w="12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382.6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336.6</w:t>
            </w:r>
          </w:p>
        </w:tc>
      </w:tr>
      <w:tr>
        <w:trPr>
          <w:trHeight w:val="201"/>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Returns</w:t>
            </w: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070C0"/>
              </w:rPr>
              <w:t>9.5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14.0</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16"/>
        </w:trPr>
        <w:tc>
          <w:tcPr>
            <w:tcW w:w="6420" w:type="dxa"/>
            <w:vAlign w:val="bottom"/>
            <w:gridSpan w:val="2"/>
          </w:tcPr>
          <w:p>
            <w:pPr>
              <w:ind w:left="240"/>
              <w:spacing w:after="0"/>
              <w:rPr>
                <w:sz w:val="20"/>
                <w:szCs w:val="20"/>
                <w:color w:val="auto"/>
              </w:rPr>
            </w:pPr>
            <w:r>
              <w:rPr>
                <w:rFonts w:ascii="Arial" w:cs="Arial" w:eastAsia="Arial" w:hAnsi="Arial"/>
                <w:sz w:val="14"/>
                <w:szCs w:val="14"/>
                <w:color w:val="auto"/>
              </w:rPr>
              <w:t>Total discounts and allowances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886.1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839.8</w:t>
            </w:r>
          </w:p>
        </w:tc>
        <w:tc>
          <w:tcPr>
            <w:tcW w:w="120" w:type="dxa"/>
            <w:vAlign w:val="bottom"/>
          </w:tcPr>
          <w:p>
            <w:pPr>
              <w:spacing w:after="0"/>
              <w:rPr>
                <w:sz w:val="18"/>
                <w:szCs w:val="18"/>
                <w:color w:val="auto"/>
              </w:rPr>
            </w:pPr>
          </w:p>
        </w:tc>
        <w:tc>
          <w:tcPr>
            <w:tcW w:w="2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w w:val="76"/>
              </w:rPr>
              <w:t>$</w:t>
            </w:r>
          </w:p>
        </w:tc>
        <w:tc>
          <w:tcPr>
            <w:tcW w:w="9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1,701.7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1,625.8</w:t>
            </w: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For the three and six months ended June 30, 2023, reserves for discounts and allowances as a percentage of gross product revenue were 32.1% and 31.8%, respectively, compared to 29.2% and 28.1%, respectively, in the prior year comparative periods.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CONTRACTUAL ADJUSTMENTS</w:t>
      </w:r>
    </w:p>
    <w:p>
      <w:pPr>
        <w:spacing w:after="0" w:line="126" w:lineRule="exact"/>
        <w:rPr>
          <w:sz w:val="20"/>
          <w:szCs w:val="20"/>
          <w:color w:val="auto"/>
        </w:rPr>
      </w:pPr>
    </w:p>
    <w:p>
      <w:pPr>
        <w:jc w:val="both"/>
        <w:ind w:right="780"/>
        <w:spacing w:after="0" w:line="263" w:lineRule="auto"/>
        <w:rPr>
          <w:sz w:val="20"/>
          <w:szCs w:val="20"/>
          <w:color w:val="auto"/>
        </w:rPr>
      </w:pPr>
      <w:r>
        <w:rPr>
          <w:rFonts w:ascii="Arial" w:cs="Arial" w:eastAsia="Arial" w:hAnsi="Arial"/>
          <w:sz w:val="18"/>
          <w:szCs w:val="18"/>
          <w:color w:val="auto"/>
        </w:rPr>
        <w:t>Contractual adjustments primarily relate to Medicaid and managed care rebates in the U.S., pharmacy rebates, co-payment (copay) assistance, Veterans Administration, 340B discounts, specialty pharmacy program fees and other government rebates or applicable allowances.</w:t>
      </w:r>
    </w:p>
    <w:p>
      <w:pPr>
        <w:spacing w:after="0" w:line="7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For the three and six months ended June 30, 2023, compared to the same periods in 2022, the increases in contractual adjustments were primarily due to higher government rebates in rest of world as well as higher medicaid and managed care rebates in the U.S., partially offset by lower government rebates in the U.S. as a result of a contract pharmacy change made during the first quarter of 2023 related to our Interferons.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DISCOUNTS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Discounts include trade term discounts and wholesaler incentives.</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For the three and six months ended June 30, 2023, compared to the same periods in 2022, the increases in discounts were primarily driven by higher purchase and volume discounts, partially offset by decreases in gross sales of TECFIDERA.</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RETURNS</w:t>
      </w:r>
    </w:p>
    <w:p>
      <w:pPr>
        <w:spacing w:after="0" w:line="11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product returns are recognized in the period the related revenue is recognized, resulting in a reduction to product sales.</w:t>
      </w:r>
    </w:p>
    <w:p>
      <w:pPr>
        <w:spacing w:after="0" w:line="7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4, Revenue,</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color w:val="0070C0"/>
        </w:rPr>
        <w:t>COST AND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cost and expense is as follows:</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80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sales, excluding amortization and impairment of acquired intangible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 and administrative</w:t>
      </w:r>
    </w:p>
    <w:p>
      <w:pPr>
        <w:spacing w:after="0" w:line="28" w:lineRule="exact"/>
        <w:rPr>
          <w:sz w:val="20"/>
          <w:szCs w:val="20"/>
          <w:color w:val="auto"/>
        </w:rPr>
      </w:pPr>
    </w:p>
    <w:p>
      <w:pPr>
        <w:ind w:left="20" w:right="1560"/>
        <w:spacing w:after="0" w:line="301" w:lineRule="auto"/>
        <w:rPr>
          <w:sz w:val="20"/>
          <w:szCs w:val="20"/>
          <w:color w:val="auto"/>
        </w:rPr>
      </w:pPr>
      <w:r>
        <w:rPr>
          <w:rFonts w:ascii="Arial" w:cs="Arial" w:eastAsia="Arial" w:hAnsi="Arial"/>
          <w:sz w:val="14"/>
          <w:szCs w:val="14"/>
          <w:color w:val="auto"/>
        </w:rPr>
        <w:t>Amortization and impairment of acquired intangible assets Collaboration profit sharing/(loss reimbursement)</w:t>
      </w:r>
    </w:p>
    <w:p>
      <w:pPr>
        <w:spacing w:after="0" w:line="1" w:lineRule="exact"/>
        <w:rPr>
          <w:sz w:val="20"/>
          <w:szCs w:val="20"/>
          <w:color w:val="auto"/>
        </w:rPr>
      </w:pPr>
    </w:p>
    <w:p>
      <w:pPr>
        <w:ind w:left="20" w:right="920"/>
        <w:spacing w:after="0" w:line="291" w:lineRule="auto"/>
        <w:rPr>
          <w:sz w:val="20"/>
          <w:szCs w:val="20"/>
          <w:color w:val="auto"/>
        </w:rPr>
      </w:pPr>
      <w:r>
        <w:rPr>
          <w:rFonts w:ascii="Arial" w:cs="Arial" w:eastAsia="Arial" w:hAnsi="Arial"/>
          <w:sz w:val="14"/>
          <w:szCs w:val="14"/>
          <w:color w:val="auto"/>
        </w:rPr>
        <w:t>(Gain) loss on fair value remeasurement of contingent consideration Restructuring charges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cost and expense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43" w:lineRule="exact"/>
        <w:rPr>
          <w:sz w:val="20"/>
          <w:szCs w:val="20"/>
          <w:color w:val="auto"/>
        </w:rPr>
      </w:pPr>
    </w:p>
    <w:p>
      <w:pPr>
        <w:ind w:left="40"/>
        <w:spacing w:after="0" w:line="291" w:lineRule="auto"/>
        <w:rPr>
          <w:sz w:val="20"/>
          <w:szCs w:val="20"/>
          <w:color w:val="auto"/>
        </w:rPr>
      </w:pPr>
      <w:r>
        <w:rPr>
          <w:rFonts w:ascii="Arial" w:cs="Arial" w:eastAsia="Arial" w:hAnsi="Arial"/>
          <w:sz w:val="14"/>
          <w:szCs w:val="14"/>
          <w:color w:val="auto"/>
        </w:rPr>
        <w:t>Cost of sales, excluding amortization and impairment of acquired intangible assets Research and development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Selling, general and administrative</w:t>
      </w:r>
    </w:p>
    <w:p>
      <w:pPr>
        <w:spacing w:after="0" w:line="42" w:lineRule="exact"/>
        <w:rPr>
          <w:sz w:val="20"/>
          <w:szCs w:val="20"/>
          <w:color w:val="auto"/>
        </w:rPr>
      </w:pPr>
    </w:p>
    <w:p>
      <w:pPr>
        <w:ind w:left="40" w:right="1540"/>
        <w:spacing w:after="0" w:line="291" w:lineRule="auto"/>
        <w:rPr>
          <w:sz w:val="20"/>
          <w:szCs w:val="20"/>
          <w:color w:val="auto"/>
        </w:rPr>
      </w:pPr>
      <w:r>
        <w:rPr>
          <w:rFonts w:ascii="Arial" w:cs="Arial" w:eastAsia="Arial" w:hAnsi="Arial"/>
          <w:sz w:val="14"/>
          <w:szCs w:val="14"/>
          <w:color w:val="auto"/>
        </w:rPr>
        <w:t>Amortization and impairment of acquired intangible assets Collaboration profit sharing/(loss reimbursement)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 loss on fair value remeasurement of contingent consideration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Restructuring charges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24174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For the Three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ACB"/>
              </w:rPr>
              <w:t>2023</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1100" w:type="dxa"/>
            <w:vAlign w:val="bottom"/>
            <w:tcBorders>
              <w:top w:val="single" w:sz="8" w:color="auto"/>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 Change</w:t>
            </w:r>
          </w:p>
        </w:tc>
        <w:tc>
          <w:tcPr>
            <w:tcW w:w="80" w:type="dxa"/>
            <w:vAlign w:val="bottom"/>
            <w:tcBorders>
              <w:top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2"/>
            <w:shd w:val="clear" w:color="auto" w:fill="DBDBDB"/>
          </w:tcPr>
          <w:p>
            <w:pPr>
              <w:jc w:val="right"/>
              <w:ind w:right="288"/>
              <w:spacing w:after="0"/>
              <w:rPr>
                <w:sz w:val="20"/>
                <w:szCs w:val="20"/>
                <w:color w:val="auto"/>
              </w:rPr>
            </w:pPr>
            <w:r>
              <w:rPr>
                <w:rFonts w:ascii="Arial" w:cs="Arial" w:eastAsia="Arial" w:hAnsi="Arial"/>
                <w:sz w:val="14"/>
                <w:szCs w:val="14"/>
                <w:b w:val="1"/>
                <w:bCs w:val="1"/>
                <w:color w:val="0070C0"/>
              </w:rPr>
              <w:t>% Change</w:t>
            </w:r>
          </w:p>
        </w:tc>
      </w:tr>
      <w:tr>
        <w:trPr>
          <w:trHeight w:val="184"/>
        </w:trPr>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592.7</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484.0</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108.7</w:t>
            </w:r>
          </w:p>
        </w:tc>
        <w:tc>
          <w:tcPr>
            <w:tcW w:w="80" w:type="dxa"/>
            <w:vAlign w:val="bottom"/>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584.2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528.6</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55.6</w:t>
            </w:r>
          </w:p>
        </w:tc>
        <w:tc>
          <w:tcPr>
            <w:tcW w:w="8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10.5</w:t>
            </w:r>
          </w:p>
        </w:tc>
        <w:tc>
          <w:tcPr>
            <w:tcW w:w="140" w:type="dxa"/>
            <w:vAlign w:val="bottom"/>
            <w:shd w:val="clear" w:color="auto" w:fill="DBDBDB"/>
          </w:tcPr>
          <w:p>
            <w:pPr>
              <w:spacing w:after="0"/>
              <w:rPr>
                <w:sz w:val="17"/>
                <w:szCs w:val="17"/>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572.6</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(24.6)</w:t>
            </w:r>
          </w:p>
        </w:tc>
        <w:tc>
          <w:tcPr>
            <w:tcW w:w="8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(4.3)</w:t>
            </w:r>
          </w:p>
        </w:tc>
        <w:tc>
          <w:tcPr>
            <w:tcW w:w="140" w:type="dxa"/>
            <w:vAlign w:val="bottom"/>
            <w:shd w:val="clear" w:color="auto" w:fill="DBDBDB"/>
          </w:tcPr>
          <w:p>
            <w:pPr>
              <w:spacing w:after="0"/>
              <w:rPr>
                <w:sz w:val="17"/>
                <w:szCs w:val="17"/>
                <w:color w:val="auto"/>
              </w:rPr>
            </w:pPr>
          </w:p>
        </w:tc>
      </w:tr>
      <w:tr>
        <w:trPr>
          <w:trHeight w:val="189"/>
        </w:trPr>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(14.6)</w:t>
            </w:r>
          </w:p>
        </w:tc>
        <w:tc>
          <w:tcPr>
            <w:tcW w:w="80" w:type="dxa"/>
            <w:vAlign w:val="bottom"/>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(21.6)</w:t>
            </w:r>
          </w:p>
        </w:tc>
        <w:tc>
          <w:tcPr>
            <w:tcW w:w="140" w:type="dxa"/>
            <w:vAlign w:val="bottom"/>
            <w:shd w:val="clear" w:color="auto" w:fill="DBDBDB"/>
          </w:tcPr>
          <w:p>
            <w:pPr>
              <w:spacing w:after="0"/>
              <w:rPr>
                <w:sz w:val="16"/>
                <w:szCs w:val="16"/>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27.5</w:t>
            </w:r>
          </w:p>
        </w:tc>
        <w:tc>
          <w:tcPr>
            <w:tcW w:w="8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93.5</w:t>
            </w:r>
          </w:p>
        </w:tc>
        <w:tc>
          <w:tcPr>
            <w:tcW w:w="140" w:type="dxa"/>
            <w:vAlign w:val="bottom"/>
            <w:shd w:val="clear" w:color="auto" w:fill="DBDBDB"/>
          </w:tcPr>
          <w:p>
            <w:pPr>
              <w:spacing w:after="0"/>
              <w:rPr>
                <w:sz w:val="17"/>
                <w:szCs w:val="17"/>
                <w:color w:val="auto"/>
              </w:rPr>
            </w:pPr>
          </w:p>
        </w:tc>
      </w:tr>
      <w:tr>
        <w:trPr>
          <w:trHeight w:val="201"/>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4.5</w:t>
            </w:r>
          </w:p>
        </w:tc>
        <w:tc>
          <w:tcPr>
            <w:tcW w:w="80" w:type="dxa"/>
            <w:vAlign w:val="bottom"/>
          </w:tcPr>
          <w:p>
            <w:pPr>
              <w:spacing w:after="0"/>
              <w:rPr>
                <w:sz w:val="17"/>
                <w:szCs w:val="17"/>
                <w:color w:val="auto"/>
              </w:rPr>
            </w:pP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nm</w:t>
            </w:r>
          </w:p>
        </w:tc>
      </w:tr>
      <w:tr>
        <w:trPr>
          <w:trHeight w:val="190"/>
        </w:trPr>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(36.2)</w:t>
            </w:r>
          </w:p>
        </w:tc>
        <w:tc>
          <w:tcPr>
            <w:tcW w:w="80" w:type="dxa"/>
            <w:vAlign w:val="bottom"/>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(51.3)</w:t>
            </w:r>
          </w:p>
        </w:tc>
        <w:tc>
          <w:tcPr>
            <w:tcW w:w="140" w:type="dxa"/>
            <w:vAlign w:val="bottom"/>
            <w:shd w:val="clear" w:color="auto" w:fill="DBDBDB"/>
          </w:tcPr>
          <w:p>
            <w:pPr>
              <w:spacing w:after="0"/>
              <w:rPr>
                <w:sz w:val="16"/>
                <w:szCs w:val="16"/>
                <w:color w:val="auto"/>
              </w:rPr>
            </w:pPr>
          </w:p>
        </w:tc>
      </w:tr>
      <w:tr>
        <w:trPr>
          <w:trHeight w:val="208"/>
        </w:trPr>
        <w:tc>
          <w:tcPr>
            <w:tcW w:w="28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(121.2)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(428.6)</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307.4</w:t>
            </w:r>
          </w:p>
        </w:tc>
        <w:tc>
          <w:tcPr>
            <w:tcW w:w="80" w:type="dxa"/>
            <w:vAlign w:val="bottom"/>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(71.7)</w:t>
            </w:r>
          </w:p>
        </w:tc>
        <w:tc>
          <w:tcPr>
            <w:tcW w:w="140" w:type="dxa"/>
            <w:vAlign w:val="bottom"/>
            <w:tcBorders>
              <w:bottom w:val="single" w:sz="8" w:color="auto"/>
            </w:tcBorders>
            <w:shd w:val="clear" w:color="auto" w:fill="DBDBDB"/>
          </w:tcPr>
          <w:p>
            <w:pPr>
              <w:spacing w:after="0"/>
              <w:rPr>
                <w:sz w:val="18"/>
                <w:szCs w:val="18"/>
                <w:color w:val="auto"/>
              </w:rPr>
            </w:pPr>
          </w:p>
        </w:tc>
      </w:tr>
      <w:tr>
        <w:trPr>
          <w:trHeight w:val="209"/>
        </w:trPr>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1,747.9</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1,319.6</w:t>
            </w:r>
          </w:p>
        </w:tc>
        <w:tc>
          <w:tcPr>
            <w:tcW w:w="100" w:type="dxa"/>
            <w:vAlign w:val="bottom"/>
          </w:tcPr>
          <w:p>
            <w:pPr>
              <w:spacing w:after="0"/>
              <w:rPr>
                <w:sz w:val="18"/>
                <w:szCs w:val="18"/>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428.3</w:t>
            </w:r>
          </w:p>
        </w:tc>
        <w:tc>
          <w:tcPr>
            <w:tcW w:w="80" w:type="dxa"/>
            <w:vAlign w:val="bottom"/>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32.5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For the Six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0" w:type="dxa"/>
            <w:vAlign w:val="bottom"/>
            <w:tcBorders>
              <w:top w:val="single" w:sz="8" w:color="auto"/>
              <w:bottom w:val="single" w:sz="8" w:color="auto"/>
            </w:tcBorders>
            <w:shd w:val="clear" w:color="auto" w:fill="DDDDDD"/>
          </w:tcPr>
          <w:p>
            <w:pPr>
              <w:spacing w:after="0"/>
              <w:rPr>
                <w:sz w:val="17"/>
                <w:szCs w:val="17"/>
                <w:color w:val="auto"/>
              </w:rPr>
            </w:pPr>
          </w:p>
        </w:tc>
        <w:tc>
          <w:tcPr>
            <w:tcW w:w="1000" w:type="dxa"/>
            <w:vAlign w:val="bottom"/>
            <w:tcBorders>
              <w:top w:val="single" w:sz="8" w:color="auto"/>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ACB"/>
              </w:rPr>
              <w:t>2023</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spacing w:after="0"/>
              <w:rPr>
                <w:sz w:val="17"/>
                <w:szCs w:val="17"/>
                <w:color w:val="auto"/>
              </w:rPr>
            </w:pPr>
          </w:p>
        </w:tc>
        <w:tc>
          <w:tcPr>
            <w:tcW w:w="1100" w:type="dxa"/>
            <w:vAlign w:val="bottom"/>
            <w:tcBorders>
              <w:top w:val="single" w:sz="8" w:color="auto"/>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 Change</w:t>
            </w: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DBDBDB"/>
          </w:tcPr>
          <w:p>
            <w:pPr>
              <w:jc w:val="right"/>
              <w:ind w:right="288"/>
              <w:spacing w:after="0"/>
              <w:rPr>
                <w:sz w:val="20"/>
                <w:szCs w:val="20"/>
                <w:color w:val="auto"/>
              </w:rPr>
            </w:pPr>
            <w:r>
              <w:rPr>
                <w:rFonts w:ascii="Arial" w:cs="Arial" w:eastAsia="Arial" w:hAnsi="Arial"/>
                <w:sz w:val="14"/>
                <w:szCs w:val="14"/>
                <w:b w:val="1"/>
                <w:bCs w:val="1"/>
                <w:color w:val="0070C0"/>
              </w:rPr>
              <w:t>% Change</w:t>
            </w:r>
          </w:p>
        </w:tc>
      </w:tr>
      <w:tr>
        <w:trPr>
          <w:trHeight w:val="183"/>
        </w:trPr>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1,255.5</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1,237.9</w:t>
            </w:r>
          </w:p>
        </w:tc>
        <w:tc>
          <w:tcPr>
            <w:tcW w:w="100" w:type="dxa"/>
            <w:vAlign w:val="bottom"/>
          </w:tcPr>
          <w:p>
            <w:pPr>
              <w:spacing w:after="0"/>
              <w:rPr>
                <w:sz w:val="15"/>
                <w:szCs w:val="15"/>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17.6</w:t>
            </w:r>
          </w:p>
        </w:tc>
        <w:tc>
          <w:tcPr>
            <w:tcW w:w="80" w:type="dxa"/>
            <w:vAlign w:val="bottom"/>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190"/>
        </w:trPr>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1,154.8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1,080.3</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74.5</w:t>
            </w:r>
          </w:p>
        </w:tc>
        <w:tc>
          <w:tcPr>
            <w:tcW w:w="80" w:type="dxa"/>
            <w:vAlign w:val="bottom"/>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6.9</w:t>
            </w:r>
          </w:p>
        </w:tc>
        <w:tc>
          <w:tcPr>
            <w:tcW w:w="140" w:type="dxa"/>
            <w:vAlign w:val="bottom"/>
            <w:shd w:val="clear" w:color="auto" w:fill="DBDBDB"/>
          </w:tcPr>
          <w:p>
            <w:pPr>
              <w:spacing w:after="0"/>
              <w:rPr>
                <w:sz w:val="16"/>
                <w:szCs w:val="16"/>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1,153.0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1,207.5</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(54.5)</w:t>
            </w:r>
          </w:p>
        </w:tc>
        <w:tc>
          <w:tcPr>
            <w:tcW w:w="8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(4.5)</w:t>
            </w:r>
          </w:p>
        </w:tc>
        <w:tc>
          <w:tcPr>
            <w:tcW w:w="140" w:type="dxa"/>
            <w:vAlign w:val="bottom"/>
            <w:shd w:val="clear" w:color="auto" w:fill="DBDBDB"/>
          </w:tcPr>
          <w:p>
            <w:pPr>
              <w:spacing w:after="0"/>
              <w:rPr>
                <w:sz w:val="17"/>
                <w:szCs w:val="17"/>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(31.3)</w:t>
            </w:r>
          </w:p>
        </w:tc>
        <w:tc>
          <w:tcPr>
            <w:tcW w:w="8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(23.3)</w:t>
            </w:r>
          </w:p>
        </w:tc>
        <w:tc>
          <w:tcPr>
            <w:tcW w:w="140" w:type="dxa"/>
            <w:vAlign w:val="bottom"/>
            <w:shd w:val="clear" w:color="auto" w:fill="DBDBDB"/>
          </w:tcPr>
          <w:p>
            <w:pPr>
              <w:spacing w:after="0"/>
              <w:rPr>
                <w:sz w:val="17"/>
                <w:szCs w:val="17"/>
                <w:color w:val="auto"/>
              </w:rPr>
            </w:pPr>
          </w:p>
        </w:tc>
      </w:tr>
      <w:tr>
        <w:trPr>
          <w:trHeight w:val="189"/>
        </w:trPr>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114.0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201.9</w:t>
            </w:r>
          </w:p>
        </w:tc>
        <w:tc>
          <w:tcPr>
            <w:tcW w:w="80" w:type="dxa"/>
            <w:vAlign w:val="bottom"/>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(229.7)</w:t>
            </w:r>
          </w:p>
        </w:tc>
        <w:tc>
          <w:tcPr>
            <w:tcW w:w="140" w:type="dxa"/>
            <w:vAlign w:val="bottom"/>
            <w:shd w:val="clear" w:color="auto" w:fill="DBDBDB"/>
          </w:tcPr>
          <w:p>
            <w:pPr>
              <w:spacing w:after="0"/>
              <w:rPr>
                <w:sz w:val="16"/>
                <w:szCs w:val="16"/>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11.6</w:t>
            </w:r>
          </w:p>
        </w:tc>
        <w:tc>
          <w:tcPr>
            <w:tcW w:w="80" w:type="dxa"/>
            <w:vAlign w:val="bottom"/>
          </w:tcPr>
          <w:p>
            <w:pPr>
              <w:spacing w:after="0"/>
              <w:rPr>
                <w:sz w:val="17"/>
                <w:szCs w:val="17"/>
                <w:color w:val="auto"/>
              </w:rPr>
            </w:pP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nm</w:t>
            </w:r>
          </w:p>
        </w:tc>
      </w:tr>
      <w:tr>
        <w:trPr>
          <w:trHeight w:val="201"/>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(64.7)</w:t>
            </w:r>
          </w:p>
        </w:tc>
        <w:tc>
          <w:tcPr>
            <w:tcW w:w="8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(59.5)</w:t>
            </w:r>
          </w:p>
        </w:tc>
        <w:tc>
          <w:tcPr>
            <w:tcW w:w="140" w:type="dxa"/>
            <w:vAlign w:val="bottom"/>
            <w:shd w:val="clear" w:color="auto" w:fill="DBDBDB"/>
          </w:tcPr>
          <w:p>
            <w:pPr>
              <w:spacing w:after="0"/>
              <w:rPr>
                <w:sz w:val="17"/>
                <w:szCs w:val="17"/>
                <w:color w:val="auto"/>
              </w:rPr>
            </w:pPr>
          </w:p>
        </w:tc>
      </w:tr>
      <w:tr>
        <w:trPr>
          <w:trHeight w:val="197"/>
        </w:trPr>
        <w:tc>
          <w:tcPr>
            <w:tcW w:w="2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113.5</w:t>
            </w:r>
          </w:p>
        </w:tc>
        <w:tc>
          <w:tcPr>
            <w:tcW w:w="80" w:type="dxa"/>
            <w:vAlign w:val="bottom"/>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(68.7)</w:t>
            </w:r>
          </w:p>
        </w:tc>
        <w:tc>
          <w:tcPr>
            <w:tcW w:w="140" w:type="dxa"/>
            <w:vAlign w:val="bottom"/>
            <w:tcBorders>
              <w:bottom w:val="single" w:sz="8" w:color="auto"/>
            </w:tcBorders>
            <w:shd w:val="clear" w:color="auto" w:fill="DBDBDB"/>
          </w:tcPr>
          <w:p>
            <w:pPr>
              <w:spacing w:after="0"/>
              <w:rPr>
                <w:sz w:val="17"/>
                <w:szCs w:val="17"/>
                <w:color w:val="auto"/>
              </w:rPr>
            </w:pPr>
          </w:p>
        </w:tc>
      </w:tr>
      <w:tr>
        <w:trPr>
          <w:trHeight w:val="208"/>
        </w:trPr>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3,772.6</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3,504.0</w:t>
            </w:r>
          </w:p>
        </w:tc>
        <w:tc>
          <w:tcPr>
            <w:tcW w:w="100" w:type="dxa"/>
            <w:vAlign w:val="bottom"/>
          </w:tcPr>
          <w:p>
            <w:pPr>
              <w:spacing w:after="0"/>
              <w:rPr>
                <w:sz w:val="18"/>
                <w:szCs w:val="18"/>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268.6</w:t>
            </w:r>
          </w:p>
        </w:tc>
        <w:tc>
          <w:tcPr>
            <w:tcW w:w="80" w:type="dxa"/>
            <w:vAlign w:val="bottom"/>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7.7</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652" w:lineRule="exact"/>
        <w:rPr>
          <w:sz w:val="20"/>
          <w:szCs w:val="20"/>
          <w:color w:val="auto"/>
        </w:rPr>
      </w:pPr>
    </w:p>
    <w:p>
      <w:pPr>
        <w:sectPr>
          <w:pgSz w:w="11900" w:h="16838" w:orient="portrait"/>
          <w:cols w:equalWidth="0" w:num="2">
            <w:col w:w="5280" w:space="340"/>
            <w:col w:w="5620"/>
          </w:cols>
          <w:pgMar w:left="320" w:top="126" w:right="339" w:bottom="1440" w:gutter="0" w:footer="0" w:header="0"/>
          <w:type w:val="continuous"/>
        </w:sectPr>
      </w:pPr>
    </w:p>
    <w:p>
      <w:pPr>
        <w:spacing w:after="0"/>
        <w:rPr>
          <w:sz w:val="20"/>
          <w:szCs w:val="20"/>
          <w:color w:val="auto"/>
        </w:rPr>
      </w:pPr>
      <w:r>
        <w:rPr>
          <w:rFonts w:ascii="Arial" w:cs="Arial" w:eastAsia="Arial" w:hAnsi="Arial"/>
          <w:sz w:val="22"/>
          <w:szCs w:val="22"/>
          <w:color w:val="0070C0"/>
        </w:rPr>
        <w:t>COST OF SALES, EXCLUDING AMORTIZATION AND IMPAIRMENT OF ACQUIRED INTANGIBLE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ind w:left="100"/>
              <w:spacing w:after="0"/>
              <w:rPr>
                <w:sz w:val="20"/>
                <w:szCs w:val="20"/>
                <w:color w:val="auto"/>
              </w:rPr>
            </w:pPr>
            <w:r>
              <w:rPr>
                <w:rFonts w:ascii="Arial" w:cs="Arial" w:eastAsia="Arial" w:hAnsi="Arial"/>
                <w:sz w:val="14"/>
                <w:szCs w:val="14"/>
                <w:color w:val="auto"/>
              </w:rPr>
              <w:t>For the Three Months Ended June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71"/>
              </w:rPr>
              <w:t>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For the Six Months Ended June 30,</w:t>
            </w:r>
          </w:p>
        </w:tc>
      </w:tr>
      <w:tr>
        <w:trPr>
          <w:trHeight w:val="188"/>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right w:val="single" w:sz="8" w:color="DBDBDB"/>
            </w:tcBorders>
            <w:shd w:val="clear" w:color="auto" w:fill="DBDBDB"/>
          </w:tcPr>
          <w:p>
            <w:pPr>
              <w:jc w:val="right"/>
              <w:ind w:right="328"/>
              <w:spacing w:after="0"/>
              <w:rPr>
                <w:sz w:val="20"/>
                <w:szCs w:val="20"/>
                <w:color w:val="auto"/>
              </w:rPr>
            </w:pPr>
            <w:r>
              <w:rPr>
                <w:rFonts w:ascii="Arial" w:cs="Arial" w:eastAsia="Arial" w:hAnsi="Arial"/>
                <w:sz w:val="14"/>
                <w:szCs w:val="14"/>
                <w:color w:val="0070C0"/>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0070C0"/>
              </w:rPr>
              <w:t>2023</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2022</w:t>
            </w:r>
          </w:p>
        </w:tc>
      </w:tr>
      <w:tr>
        <w:trPr>
          <w:trHeight w:val="184"/>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Product</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070C0"/>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070C0"/>
              </w:rPr>
              <w:t>403.0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290.6</w:t>
            </w:r>
          </w:p>
        </w:tc>
        <w:tc>
          <w:tcPr>
            <w:tcW w:w="100" w:type="dxa"/>
            <w:vAlign w:val="bottom"/>
          </w:tcPr>
          <w:p>
            <w:pPr>
              <w:spacing w:after="0"/>
              <w:rPr>
                <w:sz w:val="16"/>
                <w:szCs w:val="16"/>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070C0"/>
              </w:rPr>
              <w:t>$</w:t>
            </w:r>
          </w:p>
        </w:tc>
        <w:tc>
          <w:tcPr>
            <w:tcW w:w="9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884.4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841.9</w:t>
            </w:r>
          </w:p>
        </w:tc>
      </w:tr>
      <w:tr>
        <w:trPr>
          <w:trHeight w:val="209"/>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Royalty</w:t>
            </w:r>
          </w:p>
        </w:tc>
        <w:tc>
          <w:tcPr>
            <w:tcW w:w="26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070C0"/>
              </w:rPr>
              <w:t>189.7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193.4</w:t>
            </w: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371.1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396.0</w:t>
            </w:r>
          </w:p>
        </w:tc>
      </w:tr>
      <w:tr>
        <w:trPr>
          <w:trHeight w:val="208"/>
        </w:trPr>
        <w:tc>
          <w:tcPr>
            <w:tcW w:w="640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592.7</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484.0</w:t>
            </w:r>
          </w:p>
        </w:tc>
        <w:tc>
          <w:tcPr>
            <w:tcW w:w="100" w:type="dxa"/>
            <w:vAlign w:val="bottom"/>
          </w:tcPr>
          <w:p>
            <w:pPr>
              <w:spacing w:after="0"/>
              <w:rPr>
                <w:sz w:val="18"/>
                <w:szCs w:val="18"/>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1,255.5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1,237.9</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For the three months ended June 30, 2023, compared to the same period in 2022, product cost of sales increased primarily due to higher cost of sales associated with contract manufacturing revenue driven by increased production and product mix.</w:t>
      </w:r>
    </w:p>
    <w:p>
      <w:pPr>
        <w:spacing w:after="0" w:line="6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the six months ended June 30, 2023, compared to the same period in 2022, product cost of sales increased primarily due to higher cost of sales associated with contract manufacturing revenue, in part related to Eisai for LEQEMBI, which we began recognizing in the first quarter of 2023 upon the accelerated approval of LEQEMBI in the U.S. as well as increased production. Cost of sales as a percentage of revenue was adversely affected by LEQEMBI batches due to minimal margins. The increase was partially offset by a write-off of approximately $275.0 million during the first quarter of 2022 of excess inventory and purchase commitments related to ADUHELM.</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Additionally, for the three and six months ended June 30, 2023, we recorded approximately $33.5 million and $78.3 million, respectively, of aggregate gross idle capacity charges, compared to approximately $27.0 million and $72.0 million, respectively, in the prior year comparative periods.</w:t>
      </w:r>
    </w:p>
    <w:p>
      <w:pPr>
        <w:spacing w:after="0" w:line="7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0070C0"/>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17165" cy="65665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7165" cy="6566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spacing w:after="0" w:line="254" w:lineRule="auto"/>
        <w:rPr>
          <w:sz w:val="20"/>
          <w:szCs w:val="20"/>
          <w:color w:val="auto"/>
        </w:rPr>
      </w:pPr>
      <w:r>
        <w:rPr>
          <w:rFonts w:ascii="Arial" w:cs="Arial" w:eastAsia="Arial" w:hAnsi="Arial"/>
          <w:sz w:val="17"/>
          <w:szCs w:val="17"/>
          <w:color w:val="auto"/>
        </w:rPr>
        <w:t>Research and development expense, as a percentage of total revenue, was 23.8% and 20.4% for the three months ended June 30, 2023 and 2022, respectively. For the three months ended June 30, 2023, compared to the same period in 2022, the increase in research and development was primarily due to the increase in spending in the development of LEQEMBI for the treatment of Alzheimer's disease, litifilimab for the treatment of CLE and SLE, and BIIB800, a proposed tocilizumab biosimilar referencing ACTEMRA, as well as close out costs incurred during the second quarter of 2023 of approximately $20.1 million. These increases were partially offset by lower milestone payments during the second quarter of 2023.</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EARLY STAGE PROGRAMS</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Q2 2023 vs. Q2 2022</w:t>
      </w:r>
    </w:p>
    <w:p>
      <w:pPr>
        <w:spacing w:after="0" w:line="99" w:lineRule="exact"/>
        <w:rPr>
          <w:sz w:val="20"/>
          <w:szCs w:val="20"/>
          <w:color w:val="auto"/>
        </w:rPr>
      </w:pPr>
    </w:p>
    <w:p>
      <w:pPr>
        <w:ind w:left="380" w:right="200"/>
        <w:spacing w:after="0" w:line="274" w:lineRule="auto"/>
        <w:rPr>
          <w:sz w:val="20"/>
          <w:szCs w:val="20"/>
          <w:color w:val="auto"/>
        </w:rPr>
      </w:pPr>
      <w:r>
        <w:rPr>
          <w:rFonts w:ascii="Arial" w:cs="Arial" w:eastAsia="Arial" w:hAnsi="Arial"/>
          <w:sz w:val="17"/>
          <w:szCs w:val="17"/>
          <w:color w:val="auto"/>
        </w:rPr>
        <w:t>The increase in early stage programs was driven by an increase in costs associated with:</w:t>
      </w:r>
    </w:p>
    <w:p>
      <w:pPr>
        <w:spacing w:after="0" w:line="26" w:lineRule="exact"/>
        <w:rPr>
          <w:sz w:val="20"/>
          <w:szCs w:val="20"/>
          <w:color w:val="auto"/>
        </w:rPr>
      </w:pPr>
    </w:p>
    <w:p>
      <w:pPr>
        <w:ind w:left="340" w:hanging="279"/>
        <w:spacing w:after="0"/>
        <w:tabs>
          <w:tab w:leader="none" w:pos="340" w:val="left"/>
        </w:tabs>
        <w:numPr>
          <w:ilvl w:val="0"/>
          <w:numId w:val="25"/>
        </w:numPr>
        <w:rPr>
          <w:rFonts w:ascii="Arial" w:cs="Arial" w:eastAsia="Arial" w:hAnsi="Arial"/>
          <w:sz w:val="17"/>
          <w:szCs w:val="17"/>
          <w:color w:val="0070C0"/>
        </w:rPr>
      </w:pPr>
      <w:r>
        <w:rPr>
          <w:rFonts w:ascii="Arial" w:cs="Arial" w:eastAsia="Arial" w:hAnsi="Arial"/>
          <w:sz w:val="17"/>
          <w:szCs w:val="17"/>
          <w:color w:val="auto"/>
        </w:rPr>
        <w:t>development of litifilimab for the treatment of CLE; and</w:t>
      </w:r>
    </w:p>
    <w:p>
      <w:pPr>
        <w:spacing w:after="0" w:line="61" w:lineRule="exact"/>
        <w:rPr>
          <w:rFonts w:ascii="Arial" w:cs="Arial" w:eastAsia="Arial" w:hAnsi="Arial"/>
          <w:sz w:val="17"/>
          <w:szCs w:val="17"/>
          <w:color w:val="0070C0"/>
        </w:rPr>
      </w:pPr>
    </w:p>
    <w:p>
      <w:pPr>
        <w:ind w:left="340" w:hanging="279"/>
        <w:spacing w:after="0"/>
        <w:tabs>
          <w:tab w:leader="none" w:pos="340" w:val="left"/>
        </w:tabs>
        <w:numPr>
          <w:ilvl w:val="0"/>
          <w:numId w:val="25"/>
        </w:numPr>
        <w:rPr>
          <w:rFonts w:ascii="Arial" w:cs="Arial" w:eastAsia="Arial" w:hAnsi="Arial"/>
          <w:sz w:val="17"/>
          <w:szCs w:val="17"/>
          <w:color w:val="0070C0"/>
        </w:rPr>
      </w:pPr>
      <w:r>
        <w:rPr>
          <w:rFonts w:ascii="Arial" w:cs="Arial" w:eastAsia="Arial" w:hAnsi="Arial"/>
          <w:sz w:val="17"/>
          <w:szCs w:val="17"/>
          <w:color w:val="auto"/>
        </w:rPr>
        <w:t>development of BIIB121 for the treatment of Angelman syndrome.</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LATE STAGE PROGRAMS</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Q2 2023 vs. Q2 2022</w:t>
      </w:r>
    </w:p>
    <w:p>
      <w:pPr>
        <w:spacing w:after="0" w:line="45" w:lineRule="exact"/>
        <w:rPr>
          <w:sz w:val="20"/>
          <w:szCs w:val="20"/>
          <w:color w:val="auto"/>
        </w:rPr>
      </w:pPr>
    </w:p>
    <w:p>
      <w:pPr>
        <w:ind w:left="380" w:right="260"/>
        <w:spacing w:after="0" w:line="274" w:lineRule="auto"/>
        <w:rPr>
          <w:sz w:val="20"/>
          <w:szCs w:val="20"/>
          <w:color w:val="auto"/>
        </w:rPr>
      </w:pPr>
      <w:r>
        <w:rPr>
          <w:rFonts w:ascii="Arial" w:cs="Arial" w:eastAsia="Arial" w:hAnsi="Arial"/>
          <w:sz w:val="17"/>
          <w:szCs w:val="17"/>
          <w:color w:val="auto"/>
        </w:rPr>
        <w:t>The decrease in late stage programs was driven by a decrease in costs associated with:</w:t>
      </w:r>
    </w:p>
    <w:p>
      <w:pPr>
        <w:spacing w:after="0" w:line="26" w:lineRule="exact"/>
        <w:rPr>
          <w:sz w:val="20"/>
          <w:szCs w:val="20"/>
          <w:color w:val="auto"/>
        </w:rPr>
      </w:pPr>
    </w:p>
    <w:p>
      <w:pPr>
        <w:ind w:left="380" w:right="400" w:hanging="319"/>
        <w:spacing w:after="0" w:line="274" w:lineRule="auto"/>
        <w:tabs>
          <w:tab w:leader="none" w:pos="337" w:val="left"/>
        </w:tabs>
        <w:numPr>
          <w:ilvl w:val="0"/>
          <w:numId w:val="26"/>
        </w:numPr>
        <w:rPr>
          <w:rFonts w:ascii="Arial" w:cs="Arial" w:eastAsia="Arial" w:hAnsi="Arial"/>
          <w:sz w:val="17"/>
          <w:szCs w:val="17"/>
          <w:color w:val="0070C0"/>
        </w:rPr>
      </w:pPr>
      <w:r>
        <w:rPr>
          <w:rFonts w:ascii="Arial" w:cs="Arial" w:eastAsia="Arial" w:hAnsi="Arial"/>
          <w:sz w:val="17"/>
          <w:szCs w:val="17"/>
          <w:color w:val="auto"/>
        </w:rPr>
        <w:t>advancement of LEQEMBI from late stage to marketed upon the accelerated approval of LEQEMBI in the U.S.; and</w:t>
      </w:r>
    </w:p>
    <w:p>
      <w:pPr>
        <w:spacing w:after="0" w:line="12" w:lineRule="exact"/>
        <w:rPr>
          <w:rFonts w:ascii="Arial" w:cs="Arial" w:eastAsia="Arial" w:hAnsi="Arial"/>
          <w:sz w:val="17"/>
          <w:szCs w:val="17"/>
          <w:color w:val="0070C0"/>
        </w:rPr>
      </w:pPr>
    </w:p>
    <w:p>
      <w:pPr>
        <w:ind w:left="380" w:right="260" w:hanging="319"/>
        <w:spacing w:after="0" w:line="274" w:lineRule="auto"/>
        <w:tabs>
          <w:tab w:leader="none" w:pos="337" w:val="left"/>
        </w:tabs>
        <w:numPr>
          <w:ilvl w:val="0"/>
          <w:numId w:val="26"/>
        </w:numPr>
        <w:rPr>
          <w:rFonts w:ascii="Arial" w:cs="Arial" w:eastAsia="Arial" w:hAnsi="Arial"/>
          <w:sz w:val="17"/>
          <w:szCs w:val="17"/>
          <w:color w:val="0070C0"/>
        </w:rPr>
      </w:pPr>
      <w:r>
        <w:rPr>
          <w:rFonts w:ascii="Arial" w:cs="Arial" w:eastAsia="Arial" w:hAnsi="Arial"/>
          <w:sz w:val="17"/>
          <w:szCs w:val="17"/>
          <w:color w:val="auto"/>
        </w:rPr>
        <w:t>advancement of LUNSUMIO from late stage to marketed upon the accelerated approval of LUNSUMIO in the U.S.</w:t>
      </w:r>
    </w:p>
    <w:p>
      <w:pPr>
        <w:spacing w:after="0" w:line="13" w:lineRule="exact"/>
        <w:rPr>
          <w:sz w:val="20"/>
          <w:szCs w:val="20"/>
          <w:color w:val="auto"/>
        </w:rPr>
      </w:pPr>
    </w:p>
    <w:p>
      <w:pPr>
        <w:ind w:left="380" w:right="80"/>
        <w:spacing w:after="0" w:line="285" w:lineRule="auto"/>
        <w:rPr>
          <w:sz w:val="20"/>
          <w:szCs w:val="20"/>
          <w:color w:val="auto"/>
        </w:rPr>
      </w:pPr>
      <w:r>
        <w:rPr>
          <w:rFonts w:ascii="Arial" w:cs="Arial" w:eastAsia="Arial" w:hAnsi="Arial"/>
          <w:sz w:val="17"/>
          <w:szCs w:val="17"/>
          <w:color w:val="auto"/>
        </w:rPr>
        <w:t>The decrease was partially offset by an increase in costs associated with:</w:t>
      </w:r>
    </w:p>
    <w:p>
      <w:pPr>
        <w:spacing w:after="0" w:line="8" w:lineRule="exact"/>
        <w:rPr>
          <w:sz w:val="20"/>
          <w:szCs w:val="20"/>
          <w:color w:val="auto"/>
        </w:rPr>
      </w:pPr>
    </w:p>
    <w:p>
      <w:pPr>
        <w:ind w:left="340" w:hanging="279"/>
        <w:spacing w:after="0"/>
        <w:tabs>
          <w:tab w:leader="none" w:pos="340" w:val="left"/>
        </w:tabs>
        <w:numPr>
          <w:ilvl w:val="0"/>
          <w:numId w:val="27"/>
        </w:numPr>
        <w:rPr>
          <w:rFonts w:ascii="Arial" w:cs="Arial" w:eastAsia="Arial" w:hAnsi="Arial"/>
          <w:sz w:val="17"/>
          <w:szCs w:val="17"/>
          <w:b w:val="1"/>
          <w:bCs w:val="1"/>
          <w:color w:val="0070C0"/>
        </w:rPr>
      </w:pPr>
      <w:r>
        <w:rPr>
          <w:rFonts w:ascii="Arial" w:cs="Arial" w:eastAsia="Arial" w:hAnsi="Arial"/>
          <w:sz w:val="17"/>
          <w:szCs w:val="17"/>
          <w:color w:val="auto"/>
        </w:rPr>
        <w:t>development of litifilimab for the treatment of SLE;</w:t>
      </w:r>
    </w:p>
    <w:p>
      <w:pPr>
        <w:spacing w:after="0" w:line="61" w:lineRule="exact"/>
        <w:rPr>
          <w:rFonts w:ascii="Arial" w:cs="Arial" w:eastAsia="Arial" w:hAnsi="Arial"/>
          <w:sz w:val="17"/>
          <w:szCs w:val="17"/>
          <w:b w:val="1"/>
          <w:bCs w:val="1"/>
          <w:color w:val="0070C0"/>
        </w:rPr>
      </w:pPr>
    </w:p>
    <w:p>
      <w:pPr>
        <w:ind w:left="380" w:right="820" w:hanging="319"/>
        <w:spacing w:after="0" w:line="274" w:lineRule="auto"/>
        <w:tabs>
          <w:tab w:leader="none" w:pos="337" w:val="left"/>
        </w:tabs>
        <w:numPr>
          <w:ilvl w:val="0"/>
          <w:numId w:val="27"/>
        </w:numPr>
        <w:rPr>
          <w:rFonts w:ascii="Arial" w:cs="Arial" w:eastAsia="Arial" w:hAnsi="Arial"/>
          <w:sz w:val="17"/>
          <w:szCs w:val="17"/>
          <w:color w:val="0070C0"/>
        </w:rPr>
      </w:pPr>
      <w:r>
        <w:rPr>
          <w:rFonts w:ascii="Arial" w:cs="Arial" w:eastAsia="Arial" w:hAnsi="Arial"/>
          <w:sz w:val="17"/>
          <w:szCs w:val="17"/>
          <w:color w:val="auto"/>
        </w:rPr>
        <w:t>development of BIIB800, a proposed tocilizumab biosimilar referencing ACTEMRA; and</w:t>
      </w:r>
    </w:p>
    <w:p>
      <w:pPr>
        <w:spacing w:after="0" w:line="12" w:lineRule="exact"/>
        <w:rPr>
          <w:rFonts w:ascii="Arial" w:cs="Arial" w:eastAsia="Arial" w:hAnsi="Arial"/>
          <w:sz w:val="17"/>
          <w:szCs w:val="17"/>
          <w:color w:val="0070C0"/>
        </w:rPr>
      </w:pPr>
    </w:p>
    <w:p>
      <w:pPr>
        <w:ind w:left="340" w:hanging="279"/>
        <w:spacing w:after="0"/>
        <w:tabs>
          <w:tab w:leader="none" w:pos="340" w:val="left"/>
        </w:tabs>
        <w:numPr>
          <w:ilvl w:val="0"/>
          <w:numId w:val="27"/>
        </w:numPr>
        <w:rPr>
          <w:rFonts w:ascii="Arial" w:cs="Arial" w:eastAsia="Arial" w:hAnsi="Arial"/>
          <w:sz w:val="17"/>
          <w:szCs w:val="17"/>
          <w:color w:val="0070C0"/>
        </w:rPr>
      </w:pPr>
      <w:r>
        <w:rPr>
          <w:rFonts w:ascii="Arial" w:cs="Arial" w:eastAsia="Arial" w:hAnsi="Arial"/>
          <w:sz w:val="17"/>
          <w:szCs w:val="17"/>
          <w:color w:val="auto"/>
        </w:rPr>
        <w:t>discontinuation of BIIB093 for large hemispheric infarction.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MARKETED PROGRAMS</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Q2 2023 vs. Q2 2022</w:t>
      </w:r>
    </w:p>
    <w:p>
      <w:pPr>
        <w:spacing w:after="0" w:line="58" w:lineRule="exact"/>
        <w:rPr>
          <w:sz w:val="20"/>
          <w:szCs w:val="20"/>
          <w:color w:val="auto"/>
        </w:rPr>
      </w:pPr>
    </w:p>
    <w:p>
      <w:pPr>
        <w:ind w:left="380" w:right="320"/>
        <w:spacing w:after="0" w:line="274" w:lineRule="auto"/>
        <w:rPr>
          <w:sz w:val="20"/>
          <w:szCs w:val="20"/>
          <w:color w:val="auto"/>
        </w:rPr>
      </w:pPr>
      <w:r>
        <w:rPr>
          <w:rFonts w:ascii="Arial" w:cs="Arial" w:eastAsia="Arial" w:hAnsi="Arial"/>
          <w:sz w:val="17"/>
          <w:szCs w:val="17"/>
          <w:color w:val="auto"/>
        </w:rPr>
        <w:t>The increase in marketed programs was driven by an increase in costs associated with:</w:t>
      </w:r>
    </w:p>
    <w:p>
      <w:pPr>
        <w:spacing w:after="0" w:line="13" w:lineRule="exact"/>
        <w:rPr>
          <w:sz w:val="20"/>
          <w:szCs w:val="20"/>
          <w:color w:val="auto"/>
        </w:rPr>
      </w:pPr>
    </w:p>
    <w:p>
      <w:pPr>
        <w:ind w:left="380" w:right="400" w:hanging="319"/>
        <w:spacing w:after="0" w:line="274" w:lineRule="auto"/>
        <w:tabs>
          <w:tab w:leader="none" w:pos="337" w:val="left"/>
        </w:tabs>
        <w:numPr>
          <w:ilvl w:val="0"/>
          <w:numId w:val="28"/>
        </w:numPr>
        <w:rPr>
          <w:rFonts w:ascii="Arial" w:cs="Arial" w:eastAsia="Arial" w:hAnsi="Arial"/>
          <w:sz w:val="17"/>
          <w:szCs w:val="17"/>
          <w:color w:val="0070C0"/>
        </w:rPr>
      </w:pPr>
      <w:r>
        <w:rPr>
          <w:rFonts w:ascii="Arial" w:cs="Arial" w:eastAsia="Arial" w:hAnsi="Arial"/>
          <w:sz w:val="17"/>
          <w:szCs w:val="17"/>
          <w:color w:val="auto"/>
        </w:rPr>
        <w:t>advancement of LEQEMBI from late stage to marketed upon the accelerated approval of LEQEMBI in the U.S.; and</w:t>
      </w:r>
    </w:p>
    <w:p>
      <w:pPr>
        <w:spacing w:after="0" w:line="12" w:lineRule="exact"/>
        <w:rPr>
          <w:rFonts w:ascii="Arial" w:cs="Arial" w:eastAsia="Arial" w:hAnsi="Arial"/>
          <w:sz w:val="17"/>
          <w:szCs w:val="17"/>
          <w:color w:val="0070C0"/>
        </w:rPr>
      </w:pPr>
    </w:p>
    <w:p>
      <w:pPr>
        <w:ind w:left="380" w:right="300" w:hanging="319"/>
        <w:spacing w:after="0" w:line="291" w:lineRule="auto"/>
        <w:tabs>
          <w:tab w:leader="none" w:pos="337" w:val="left"/>
        </w:tabs>
        <w:numPr>
          <w:ilvl w:val="0"/>
          <w:numId w:val="28"/>
        </w:numPr>
        <w:rPr>
          <w:rFonts w:ascii="Arial" w:cs="Arial" w:eastAsia="Arial" w:hAnsi="Arial"/>
          <w:sz w:val="17"/>
          <w:szCs w:val="17"/>
          <w:color w:val="0070C0"/>
        </w:rPr>
      </w:pPr>
      <w:r>
        <w:rPr>
          <w:rFonts w:ascii="Arial" w:cs="Arial" w:eastAsia="Arial" w:hAnsi="Arial"/>
          <w:sz w:val="17"/>
          <w:szCs w:val="17"/>
          <w:color w:val="auto"/>
        </w:rPr>
        <w:t>increased spend in ADUHELM primarily due to change in our cost sharing arrangement with Eisai.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69850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720"/>
            <w:col w:w="5600"/>
          </w:cols>
          <w:pgMar w:left="320" w:top="126" w:right="45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900"/>
        <w:spacing w:after="0" w:line="256" w:lineRule="auto"/>
        <w:rPr>
          <w:sz w:val="20"/>
          <w:szCs w:val="20"/>
          <w:color w:val="auto"/>
        </w:rPr>
      </w:pPr>
      <w:r>
        <w:rPr>
          <w:rFonts w:ascii="Arial" w:cs="Arial" w:eastAsia="Arial" w:hAnsi="Arial"/>
          <w:sz w:val="17"/>
          <w:szCs w:val="17"/>
          <w:color w:val="auto"/>
        </w:rPr>
        <w:t>Research and development expense, as a percentage of total revenue, was 23.5% and 21.1% for the six months ended June 30, 2023 and 2022, respectively. For the six months ended June 30, 2023, compared to the same period in 2022, the increase in research and development was primarily due to the increase in spending in the development of LEQEMBI for the treatment of Alzheimer's disease, litifilimab for the treatment of CLE and SLE, and BIIB800, a proposed tocilizumab biosimilar referencing ACTEMRA, partially offset by lower milestone payments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-1179195</wp:posOffset>
            </wp:positionV>
            <wp:extent cx="2717165" cy="65665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17165" cy="6566535"/>
                    </a:xfrm>
                    <a:prstGeom prst="rect">
                      <a:avLst/>
                    </a:prstGeom>
                    <a:noFill/>
                  </pic:spPr>
                </pic:pic>
              </a:graphicData>
            </a:graphic>
          </wp:anchor>
        </w:drawing>
      </w:r>
    </w:p>
    <w:p>
      <w:pPr>
        <w:spacing w:after="0" w:line="62"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EARLY STAGE PROGRAMS</w:t>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YTD 2023 vs. YTD 2022</w:t>
      </w:r>
    </w:p>
    <w:p>
      <w:pPr>
        <w:spacing w:after="0" w:line="106" w:lineRule="exact"/>
        <w:rPr>
          <w:sz w:val="20"/>
          <w:szCs w:val="20"/>
          <w:color w:val="auto"/>
        </w:rPr>
      </w:pPr>
    </w:p>
    <w:p>
      <w:pPr>
        <w:ind w:left="5900" w:right="200"/>
        <w:spacing w:after="0" w:line="274" w:lineRule="auto"/>
        <w:rPr>
          <w:sz w:val="20"/>
          <w:szCs w:val="20"/>
          <w:color w:val="auto"/>
        </w:rPr>
      </w:pPr>
      <w:r>
        <w:rPr>
          <w:rFonts w:ascii="Arial" w:cs="Arial" w:eastAsia="Arial" w:hAnsi="Arial"/>
          <w:sz w:val="17"/>
          <w:szCs w:val="17"/>
          <w:color w:val="auto"/>
        </w:rPr>
        <w:t>The increase in early stage programs was driven by an increase in costs associated with:</w:t>
      </w:r>
    </w:p>
    <w:p>
      <w:pPr>
        <w:spacing w:after="0" w:line="13"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litifilimab for the treatment of CLE;</w:t>
      </w:r>
    </w:p>
    <w:p>
      <w:pPr>
        <w:spacing w:after="0" w:line="61"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BIIB121 for the treatment of Angelman syndrome;</w:t>
      </w:r>
    </w:p>
    <w:p>
      <w:pPr>
        <w:spacing w:after="0" w:line="75"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BIIB115 for the treatment of SMA; and</w:t>
      </w:r>
    </w:p>
    <w:p>
      <w:pPr>
        <w:spacing w:after="0" w:line="61"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auto"/>
        </w:rPr>
        <w:t>•</w:t>
        <w:tab/>
        <w:t>development of BIIB091 for the treatment of MS.</w:t>
      </w:r>
    </w:p>
    <w:p>
      <w:pPr>
        <w:spacing w:after="0" w:line="61" w:lineRule="exact"/>
        <w:rPr>
          <w:sz w:val="20"/>
          <w:szCs w:val="20"/>
          <w:color w:val="auto"/>
        </w:rPr>
      </w:pPr>
    </w:p>
    <w:p>
      <w:pPr>
        <w:ind w:left="5900" w:right="160"/>
        <w:spacing w:after="0" w:line="274" w:lineRule="auto"/>
        <w:rPr>
          <w:sz w:val="20"/>
          <w:szCs w:val="20"/>
          <w:color w:val="auto"/>
        </w:rPr>
      </w:pPr>
      <w:r>
        <w:rPr>
          <w:rFonts w:ascii="Arial" w:cs="Arial" w:eastAsia="Arial" w:hAnsi="Arial"/>
          <w:sz w:val="17"/>
          <w:szCs w:val="17"/>
          <w:color w:val="auto"/>
        </w:rPr>
        <w:t>The increase was partially offset by a decrease in costs associated with:</w:t>
      </w:r>
    </w:p>
    <w:p>
      <w:pPr>
        <w:spacing w:after="0" w:line="5" w:lineRule="exact"/>
        <w:rPr>
          <w:sz w:val="20"/>
          <w:szCs w:val="20"/>
          <w:color w:val="auto"/>
        </w:rPr>
      </w:pPr>
    </w:p>
    <w:p>
      <w:pPr>
        <w:ind w:left="5860" w:right="160" w:hanging="323"/>
        <w:spacing w:after="0" w:line="291"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discontinuation of BIIB104 for the treatment of cognitive impairment associated with schizophrenia; and</w:t>
      </w:r>
    </w:p>
    <w:p>
      <w:pPr>
        <w:spacing w:after="0" w:line="6"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auto"/>
        </w:rPr>
        <w:t>•</w:t>
        <w:tab/>
        <w:t>discontinuation of BIIB078 for the treatment of Alzheimer's disease.</w:t>
      </w:r>
    </w:p>
    <w:p>
      <w:pPr>
        <w:spacing w:after="0" w:line="11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LATE STAGE PROGRAMS</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YTD 2023 vs. YTD 2022</w:t>
      </w:r>
    </w:p>
    <w:p>
      <w:pPr>
        <w:spacing w:after="0" w:line="45" w:lineRule="exact"/>
        <w:rPr>
          <w:sz w:val="20"/>
          <w:szCs w:val="20"/>
          <w:color w:val="auto"/>
        </w:rPr>
      </w:pPr>
    </w:p>
    <w:p>
      <w:pPr>
        <w:ind w:left="5900" w:right="260"/>
        <w:spacing w:after="0" w:line="274" w:lineRule="auto"/>
        <w:rPr>
          <w:sz w:val="20"/>
          <w:szCs w:val="20"/>
          <w:color w:val="auto"/>
        </w:rPr>
      </w:pPr>
      <w:r>
        <w:rPr>
          <w:rFonts w:ascii="Arial" w:cs="Arial" w:eastAsia="Arial" w:hAnsi="Arial"/>
          <w:sz w:val="17"/>
          <w:szCs w:val="17"/>
          <w:color w:val="auto"/>
        </w:rPr>
        <w:t>The decrease in late stage programs was driven by a decrease in costs associated with:</w:t>
      </w:r>
    </w:p>
    <w:p>
      <w:pPr>
        <w:spacing w:after="0" w:line="26" w:lineRule="exact"/>
        <w:rPr>
          <w:sz w:val="20"/>
          <w:szCs w:val="20"/>
          <w:color w:val="auto"/>
        </w:rPr>
      </w:pPr>
    </w:p>
    <w:p>
      <w:pPr>
        <w:ind w:left="5860" w:right="400" w:hanging="323"/>
        <w:spacing w:after="0" w:line="274"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advancement of LEQEMBI from late stage to marketed upon the accelerated approval of LEQEMBI in the U.S.; and</w:t>
      </w:r>
    </w:p>
    <w:p>
      <w:pPr>
        <w:spacing w:after="0" w:line="13" w:lineRule="exact"/>
        <w:rPr>
          <w:sz w:val="20"/>
          <w:szCs w:val="20"/>
          <w:color w:val="auto"/>
        </w:rPr>
      </w:pPr>
    </w:p>
    <w:p>
      <w:pPr>
        <w:ind w:left="5860" w:right="260" w:hanging="323"/>
        <w:spacing w:after="0" w:line="274"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advancement of LUNSUMIO from late stage to marketed upon the accelerated approval of LUNSUMIO in the U.S.</w:t>
      </w:r>
    </w:p>
    <w:p>
      <w:pPr>
        <w:spacing w:after="0" w:line="13" w:lineRule="exact"/>
        <w:rPr>
          <w:sz w:val="20"/>
          <w:szCs w:val="20"/>
          <w:color w:val="auto"/>
        </w:rPr>
      </w:pPr>
    </w:p>
    <w:p>
      <w:pPr>
        <w:ind w:left="5900" w:right="80"/>
        <w:spacing w:after="0" w:line="274" w:lineRule="auto"/>
        <w:rPr>
          <w:sz w:val="20"/>
          <w:szCs w:val="20"/>
          <w:color w:val="auto"/>
        </w:rPr>
      </w:pPr>
      <w:r>
        <w:rPr>
          <w:rFonts w:ascii="Arial" w:cs="Arial" w:eastAsia="Arial" w:hAnsi="Arial"/>
          <w:sz w:val="17"/>
          <w:szCs w:val="17"/>
          <w:color w:val="auto"/>
        </w:rPr>
        <w:t>The decrease was partially offset by an increase in costs associated with:</w:t>
      </w:r>
    </w:p>
    <w:p>
      <w:pPr>
        <w:spacing w:after="0" w:line="18"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development of litifilimab for the treatment of SLE into late stage; and</w:t>
      </w:r>
    </w:p>
    <w:p>
      <w:pPr>
        <w:spacing w:after="0" w:line="69" w:lineRule="exact"/>
        <w:rPr>
          <w:sz w:val="20"/>
          <w:szCs w:val="20"/>
          <w:color w:val="auto"/>
        </w:rPr>
      </w:pPr>
    </w:p>
    <w:p>
      <w:pPr>
        <w:ind w:left="5860" w:right="820" w:hanging="323"/>
        <w:spacing w:after="0" w:line="274"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BIIB800, a proposed tocilizumab biosimilar referencing ACTEMRA.</w:t>
      </w:r>
    </w:p>
    <w:p>
      <w:pPr>
        <w:spacing w:after="0" w:line="121"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MARKETED PROGRAMS</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YTD 2023 vs. YTD 2022</w:t>
      </w:r>
    </w:p>
    <w:p>
      <w:pPr>
        <w:spacing w:after="0" w:line="45" w:lineRule="exact"/>
        <w:rPr>
          <w:sz w:val="20"/>
          <w:szCs w:val="20"/>
          <w:color w:val="auto"/>
        </w:rPr>
      </w:pPr>
    </w:p>
    <w:p>
      <w:pPr>
        <w:ind w:left="5900" w:right="320"/>
        <w:spacing w:after="0" w:line="290" w:lineRule="auto"/>
        <w:rPr>
          <w:sz w:val="20"/>
          <w:szCs w:val="20"/>
          <w:color w:val="auto"/>
        </w:rPr>
      </w:pPr>
      <w:r>
        <w:rPr>
          <w:rFonts w:ascii="Arial" w:cs="Arial" w:eastAsia="Arial" w:hAnsi="Arial"/>
          <w:sz w:val="17"/>
          <w:szCs w:val="17"/>
          <w:color w:val="auto"/>
        </w:rPr>
        <w:t>The increase in marketed programs was driven by an increase in costs associated with:</w:t>
      </w:r>
    </w:p>
    <w:p>
      <w:pPr>
        <w:ind w:left="5860" w:right="400" w:hanging="323"/>
        <w:spacing w:after="0" w:line="274"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advancement of LEQEMBI from late stage to marketed upon the accelerated approval of LEQEMBI in the U.S.; and</w:t>
      </w:r>
    </w:p>
    <w:p>
      <w:pPr>
        <w:spacing w:after="0" w:line="13" w:lineRule="exact"/>
        <w:rPr>
          <w:sz w:val="20"/>
          <w:szCs w:val="20"/>
          <w:color w:val="auto"/>
        </w:rPr>
      </w:pPr>
    </w:p>
    <w:p>
      <w:pPr>
        <w:ind w:left="5860" w:right="300" w:hanging="323"/>
        <w:spacing w:after="0" w:line="274"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increased spend in ADUHELM primarily due to change in our cost sharing arrangement with Eisai.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 significant amount of our research and development costs consist of indirect costs 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w:t>
      </w:r>
    </w:p>
    <w:p>
      <w:pPr>
        <w:spacing w:after="0" w:line="18" w:lineRule="exact"/>
        <w:rPr>
          <w:sz w:val="20"/>
          <w:szCs w:val="20"/>
          <w:color w:val="auto"/>
        </w:rPr>
      </w:pPr>
    </w:p>
    <w:p>
      <w:pPr>
        <w:ind w:left="500" w:right="180" w:hanging="330"/>
        <w:spacing w:after="0" w:line="281" w:lineRule="auto"/>
        <w:tabs>
          <w:tab w:leader="none" w:pos="455" w:val="left"/>
        </w:tabs>
        <w:numPr>
          <w:ilvl w:val="0"/>
          <w:numId w:val="29"/>
        </w:numPr>
        <w:rPr>
          <w:rFonts w:ascii="Arial" w:cs="Arial" w:eastAsia="Arial" w:hAnsi="Arial"/>
          <w:sz w:val="18"/>
          <w:szCs w:val="18"/>
          <w:color w:val="0070C0"/>
        </w:rPr>
      </w:pPr>
      <w:r>
        <w:rPr>
          <w:rFonts w:ascii="Arial" w:cs="Arial" w:eastAsia="Arial" w:hAnsi="Arial"/>
          <w:sz w:val="18"/>
          <w:szCs w:val="18"/>
          <w:b w:val="1"/>
          <w:bCs w:val="1"/>
          <w:color w:val="0070C0"/>
        </w:rPr>
        <w:t xml:space="preserve">Marketed products: </w:t>
      </w:r>
      <w:r>
        <w:rPr>
          <w:rFonts w:ascii="Arial" w:cs="Arial" w:eastAsia="Arial" w:hAnsi="Arial"/>
          <w:sz w:val="18"/>
          <w:szCs w:val="18"/>
          <w:color w:val="000000"/>
        </w:rPr>
        <w:t>includes costs associated with product lifecycle management activities including, if applicable, costs associated</w:t>
      </w:r>
      <w:r>
        <w:rPr>
          <w:rFonts w:ascii="Arial" w:cs="Arial" w:eastAsia="Arial" w:hAnsi="Arial"/>
          <w:sz w:val="18"/>
          <w:szCs w:val="18"/>
          <w:b w:val="1"/>
          <w:bCs w:val="1"/>
          <w:color w:val="0070C0"/>
        </w:rPr>
        <w:t xml:space="preserve"> </w:t>
      </w:r>
      <w:r>
        <w:rPr>
          <w:rFonts w:ascii="Arial" w:cs="Arial" w:eastAsia="Arial" w:hAnsi="Arial"/>
          <w:sz w:val="18"/>
          <w:szCs w:val="18"/>
          <w:color w:val="000000"/>
        </w:rPr>
        <w:t>with the development of new indications for existing products.</w:t>
      </w:r>
    </w:p>
    <w:p>
      <w:pPr>
        <w:spacing w:after="0" w:line="1" w:lineRule="exact"/>
        <w:rPr>
          <w:rFonts w:ascii="Arial" w:cs="Arial" w:eastAsia="Arial" w:hAnsi="Arial"/>
          <w:sz w:val="18"/>
          <w:szCs w:val="18"/>
          <w:color w:val="0070C0"/>
        </w:rPr>
      </w:pPr>
    </w:p>
    <w:p>
      <w:pPr>
        <w:ind w:left="440" w:hanging="270"/>
        <w:spacing w:after="0"/>
        <w:tabs>
          <w:tab w:leader="none" w:pos="440" w:val="left"/>
        </w:tabs>
        <w:numPr>
          <w:ilvl w:val="0"/>
          <w:numId w:val="29"/>
        </w:numPr>
        <w:rPr>
          <w:rFonts w:ascii="Arial" w:cs="Arial" w:eastAsia="Arial" w:hAnsi="Arial"/>
          <w:sz w:val="18"/>
          <w:szCs w:val="18"/>
          <w:color w:val="0070C0"/>
        </w:rPr>
      </w:pPr>
      <w:r>
        <w:rPr>
          <w:rFonts w:ascii="Arial" w:cs="Arial" w:eastAsia="Arial" w:hAnsi="Arial"/>
          <w:sz w:val="18"/>
          <w:szCs w:val="18"/>
          <w:b w:val="1"/>
          <w:bCs w:val="1"/>
          <w:color w:val="0070C0"/>
        </w:rPr>
        <w:t xml:space="preserve">Late stage programs: </w:t>
      </w:r>
      <w:r>
        <w:rPr>
          <w:rFonts w:ascii="Arial" w:cs="Arial" w:eastAsia="Arial" w:hAnsi="Arial"/>
          <w:sz w:val="18"/>
          <w:szCs w:val="18"/>
          <w:color w:val="000000"/>
        </w:rPr>
        <w:t>are programs in Phase 3 development or in registration stage.</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29"/>
        </w:numPr>
        <w:rPr>
          <w:rFonts w:ascii="Arial" w:cs="Arial" w:eastAsia="Arial" w:hAnsi="Arial"/>
          <w:sz w:val="18"/>
          <w:szCs w:val="18"/>
          <w:color w:val="0070C0"/>
        </w:rPr>
      </w:pPr>
      <w:r>
        <w:rPr>
          <w:rFonts w:ascii="Arial" w:cs="Arial" w:eastAsia="Arial" w:hAnsi="Arial"/>
          <w:sz w:val="18"/>
          <w:szCs w:val="18"/>
          <w:b w:val="1"/>
          <w:bCs w:val="1"/>
          <w:color w:val="0070C0"/>
        </w:rPr>
        <w:t xml:space="preserve">Early stage programs: </w:t>
      </w:r>
      <w:r>
        <w:rPr>
          <w:rFonts w:ascii="Arial" w:cs="Arial" w:eastAsia="Arial" w:hAnsi="Arial"/>
          <w:sz w:val="18"/>
          <w:szCs w:val="18"/>
          <w:color w:val="000000"/>
        </w:rPr>
        <w:t>are programs in Phase 1 or Phase 2 development.</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29"/>
        </w:numPr>
        <w:rPr>
          <w:rFonts w:ascii="Arial" w:cs="Arial" w:eastAsia="Arial" w:hAnsi="Arial"/>
          <w:sz w:val="18"/>
          <w:szCs w:val="18"/>
          <w:color w:val="0070C0"/>
        </w:rPr>
      </w:pPr>
      <w:r>
        <w:rPr>
          <w:rFonts w:ascii="Arial" w:cs="Arial" w:eastAsia="Arial" w:hAnsi="Arial"/>
          <w:sz w:val="18"/>
          <w:szCs w:val="18"/>
          <w:b w:val="1"/>
          <w:bCs w:val="1"/>
          <w:color w:val="0070C0"/>
        </w:rPr>
        <w:t xml:space="preserve">Research and discovery: </w:t>
      </w:r>
      <w:r>
        <w:rPr>
          <w:rFonts w:ascii="Arial" w:cs="Arial" w:eastAsia="Arial" w:hAnsi="Arial"/>
          <w:sz w:val="18"/>
          <w:szCs w:val="18"/>
          <w:color w:val="000000"/>
        </w:rPr>
        <w:t>represents costs incurred to support our discovery research and translational science efforts.</w:t>
      </w:r>
    </w:p>
    <w:p>
      <w:pPr>
        <w:spacing w:after="0" w:line="63" w:lineRule="exact"/>
        <w:rPr>
          <w:rFonts w:ascii="Arial" w:cs="Arial" w:eastAsia="Arial" w:hAnsi="Arial"/>
          <w:sz w:val="18"/>
          <w:szCs w:val="18"/>
          <w:color w:val="0070C0"/>
        </w:rPr>
      </w:pPr>
    </w:p>
    <w:p>
      <w:pPr>
        <w:ind w:left="500" w:right="500" w:hanging="330"/>
        <w:spacing w:after="0" w:line="281" w:lineRule="auto"/>
        <w:tabs>
          <w:tab w:leader="none" w:pos="455" w:val="left"/>
        </w:tabs>
        <w:numPr>
          <w:ilvl w:val="0"/>
          <w:numId w:val="29"/>
        </w:numPr>
        <w:rPr>
          <w:rFonts w:ascii="Arial" w:cs="Arial" w:eastAsia="Arial" w:hAnsi="Arial"/>
          <w:sz w:val="18"/>
          <w:szCs w:val="18"/>
          <w:color w:val="0070C0"/>
        </w:rPr>
      </w:pPr>
      <w:r>
        <w:rPr>
          <w:rFonts w:ascii="Arial" w:cs="Arial" w:eastAsia="Arial" w:hAnsi="Arial"/>
          <w:sz w:val="18"/>
          <w:szCs w:val="18"/>
          <w:b w:val="1"/>
          <w:bCs w:val="1"/>
          <w:color w:val="0070C0"/>
        </w:rPr>
        <w:t xml:space="preserve">Development stage: </w:t>
      </w:r>
      <w:r>
        <w:rPr>
          <w:rFonts w:ascii="Arial" w:cs="Arial" w:eastAsia="Arial" w:hAnsi="Arial"/>
          <w:sz w:val="18"/>
          <w:szCs w:val="18"/>
          <w:color w:val="000000"/>
        </w:rPr>
        <w:t>based upon the program status when incurred. Therefore, the same program could be reflected in different</w:t>
      </w:r>
      <w:r>
        <w:rPr>
          <w:rFonts w:ascii="Arial" w:cs="Arial" w:eastAsia="Arial" w:hAnsi="Arial"/>
          <w:sz w:val="18"/>
          <w:szCs w:val="18"/>
          <w:b w:val="1"/>
          <w:bCs w:val="1"/>
          <w:color w:val="0070C0"/>
        </w:rPr>
        <w:t xml:space="preserve"> </w:t>
      </w:r>
      <w:r>
        <w:rPr>
          <w:rFonts w:ascii="Arial" w:cs="Arial" w:eastAsia="Arial" w:hAnsi="Arial"/>
          <w:sz w:val="18"/>
          <w:szCs w:val="18"/>
          <w:color w:val="000000"/>
        </w:rPr>
        <w:t>development stages in the same year.</w:t>
      </w:r>
    </w:p>
    <w:p>
      <w:pPr>
        <w:spacing w:after="0" w:line="1" w:lineRule="exact"/>
        <w:rPr>
          <w:rFonts w:ascii="Arial" w:cs="Arial" w:eastAsia="Arial" w:hAnsi="Arial"/>
          <w:sz w:val="18"/>
          <w:szCs w:val="18"/>
          <w:color w:val="0070C0"/>
        </w:rPr>
      </w:pPr>
    </w:p>
    <w:p>
      <w:pPr>
        <w:ind w:left="500" w:right="620" w:hanging="330"/>
        <w:spacing w:after="0" w:line="287" w:lineRule="auto"/>
        <w:tabs>
          <w:tab w:leader="none" w:pos="455" w:val="left"/>
        </w:tabs>
        <w:numPr>
          <w:ilvl w:val="0"/>
          <w:numId w:val="29"/>
        </w:numPr>
        <w:rPr>
          <w:rFonts w:ascii="Arial" w:cs="Arial" w:eastAsia="Arial" w:hAnsi="Arial"/>
          <w:sz w:val="18"/>
          <w:szCs w:val="18"/>
          <w:color w:val="0070C0"/>
        </w:rPr>
      </w:pPr>
      <w:r>
        <w:rPr>
          <w:rFonts w:ascii="Arial" w:cs="Arial" w:eastAsia="Arial" w:hAnsi="Arial"/>
          <w:sz w:val="18"/>
          <w:szCs w:val="18"/>
          <w:b w:val="1"/>
          <w:bCs w:val="1"/>
          <w:color w:val="0070C0"/>
        </w:rPr>
        <w:t xml:space="preserve">Other research and development costs: </w:t>
      </w:r>
      <w:r>
        <w:rPr>
          <w:rFonts w:ascii="Arial" w:cs="Arial" w:eastAsia="Arial" w:hAnsi="Arial"/>
          <w:sz w:val="18"/>
          <w:szCs w:val="18"/>
          <w:color w:val="000000"/>
        </w:rPr>
        <w:t>For several of our programs, the research and development activities are part of our</w:t>
      </w:r>
      <w:r>
        <w:rPr>
          <w:rFonts w:ascii="Arial" w:cs="Arial" w:eastAsia="Arial" w:hAnsi="Arial"/>
          <w:sz w:val="18"/>
          <w:szCs w:val="18"/>
          <w:b w:val="1"/>
          <w:bCs w:val="1"/>
          <w:color w:val="0070C0"/>
        </w:rPr>
        <w:t xml:space="preserve"> </w:t>
      </w:r>
      <w:r>
        <w:rPr>
          <w:rFonts w:ascii="Arial" w:cs="Arial" w:eastAsia="Arial" w:hAnsi="Arial"/>
          <w:sz w:val="18"/>
          <w:szCs w:val="18"/>
          <w:color w:val="000000"/>
        </w:rPr>
        <w:t>collaborative and other relationships. Our costs reflect our share of the total costs incurred.</w:t>
      </w:r>
    </w:p>
    <w:p>
      <w:pPr>
        <w:spacing w:after="0" w:line="5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Excluding upfront payments, we expect our core research and development expense to modestly increase in 2023, as we continue to invest in our pipeline. We intend to continue committing significant resources to targeted research and development opportunities where there is a significant unmet need and where a drug candidate has the potential to be highly differentiated.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SELLING, GENERAL AND ADMINISTRATIVE</w:t>
      </w:r>
    </w:p>
    <w:p>
      <w:pPr>
        <w:spacing w:after="0" w:line="11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For the three and six months ended June 30, 2023, compared to the same periods in 2022, selling, general and administrative expense decreased by approximately 4.3% and 4.5%, respectively, primarily due to cost-reduction measures realized during 2023, partially offset by investments to support new product launches and accelerated depreciation recognized during the second quarter of 2023 of approximately $11.5 million.</w:t>
      </w:r>
    </w:p>
    <w:p>
      <w:pPr>
        <w:spacing w:after="0" w:line="8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For the six months ended June 30, 2023, selling, general and administrative expense also includes a $31.0 million obligation to Eisai related to the termination of the co-promotion agreement for our MS products in Japan.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We expect selling, general and administrative costs to continue to decline in 2023 due to the implementation of our cost saving initiatives.</w:t>
      </w:r>
    </w:p>
    <w:p>
      <w:pPr>
        <w:spacing w:after="0" w:line="11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AMORTIZATION AND IMPAIRMENT OF ACQUIRED INTANGIBLE ASSETS</w:t>
      </w:r>
    </w:p>
    <w:p>
      <w:pPr>
        <w:spacing w:after="0" w:line="10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amortization expense is based on the economic consumption and impairment of intangible assets. Our most significant amortizable intangible assets are related to our TYSABRI, AVONEX, SPINRAZA and VUMERITY products and other programs acquired through business combinations.</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and six months ended June 30, 2023, compared to the same periods in 2022, the decreases in amortization and impairment of acquired intangible assets were primarily due to lower rates of amortization for acquired intangible assets. For the three and six months ended June 30, 2023 and 2022, we had no impairment charges.</w:t>
      </w:r>
    </w:p>
    <w:p>
      <w:pPr>
        <w:spacing w:after="0" w:line="7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For additional information on the amortization and impairment of our acquired intangible assets, please read </w:t>
      </w:r>
      <w:r>
        <w:rPr>
          <w:rFonts w:ascii="Arial" w:cs="Arial" w:eastAsia="Arial" w:hAnsi="Arial"/>
          <w:sz w:val="18"/>
          <w:szCs w:val="18"/>
          <w:i w:val="1"/>
          <w:iCs w:val="1"/>
          <w:color w:val="auto"/>
        </w:rPr>
        <w:t>Note 6, Intangible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COLLABORATION PROFIT SHARING/(LOSS REIMBURSEMENT)</w:t>
      </w:r>
    </w:p>
    <w:p>
      <w:pPr>
        <w:spacing w:after="0" w:line="12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Collaboration profit sharing/(loss reimbursement) primarily includes Samsung Bioepis' 50.0% share of the profit or loss related to our biosimilars 2013 commercial agreement with Samsung Bioepis and Eisai's 45.0% share of income and expense in the U.S. related to the ADUHELM Collaboration Agreement. Beginning January 1, 2023, Eisai receives only a tiered royalty based on net sales of ADUHELM, and will no longer share global profits and losses.</w:t>
      </w:r>
    </w:p>
    <w:p>
      <w:pPr>
        <w:spacing w:after="0" w:line="8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the three and six months ended June 30, 2023, we recognized net profit-sharing expense of $ 56.9 million and $114.0 million, respectively, to reflect Samsung Bioepis' 50.0% sharing of the net collaboration profits, compared to a net profit-sharing expense of $58.3 million and $122.7 million, respectively, in the prior year comparative periods.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For the three and six months ended June 30, 2022, we recognized net reductions to our operating expense of approximately $28.9 million and $210.6 million, respectively, to reflect Eisai's 45.0% share of net collaboration losses in the U.S.</w:t>
      </w:r>
    </w:p>
    <w:p>
      <w:pPr>
        <w:spacing w:after="0" w:line="60"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color w:val="auto"/>
        </w:rPr>
        <w:t xml:space="preserve">For additional information on our collaboration and license arrangements with Eisai and Samsung Bioepis, please read </w:t>
      </w:r>
      <w:r>
        <w:rPr>
          <w:rFonts w:ascii="Arial" w:cs="Arial" w:eastAsia="Arial" w:hAnsi="Arial"/>
          <w:sz w:val="18"/>
          <w:szCs w:val="18"/>
          <w:i w:val="1"/>
          <w:iCs w:val="1"/>
          <w:color w:val="auto"/>
        </w:rPr>
        <w:t>Note 16,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RESTRUCTURING CHARGES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2023 COST SAVING INITIATIVES</w:t>
      </w:r>
    </w:p>
    <w:p>
      <w:pPr>
        <w:spacing w:after="0" w:line="180"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In 2023 we initiated additional cost saving measures as part of our Fit for Growth initiative to reduce operating costs, while improving efficiency and effectiveness.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cost saving initiatives are summarized as follows: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68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charges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charges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rPr>
              <w:t>For the Three Months Ended June 30, 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rPr>
              <w:t>For the Six Months Ended June 30, 2023</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11.5</w:t>
            </w:r>
          </w:p>
        </w:tc>
        <w:tc>
          <w:tcPr>
            <w:tcW w:w="100" w:type="dxa"/>
            <w:vAlign w:val="bottom"/>
          </w:tcPr>
          <w:p>
            <w:pPr>
              <w:spacing w:after="0"/>
              <w:rPr>
                <w:sz w:val="16"/>
                <w:szCs w:val="16"/>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26DCE"/>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11.5</w:t>
            </w:r>
          </w:p>
        </w:tc>
        <w:tc>
          <w:tcPr>
            <w:tcW w:w="100" w:type="dxa"/>
            <w:vAlign w:val="bottom"/>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11.5</w:t>
            </w:r>
          </w:p>
        </w:tc>
        <w:tc>
          <w:tcPr>
            <w:tcW w:w="100" w:type="dxa"/>
            <w:vAlign w:val="bottom"/>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11.5</w:t>
            </w:r>
          </w:p>
        </w:tc>
        <w:tc>
          <w:tcPr>
            <w:tcW w:w="0" w:type="dxa"/>
            <w:vAlign w:val="bottom"/>
          </w:tcPr>
          <w:p>
            <w:pPr>
              <w:spacing w:after="0"/>
              <w:rPr>
                <w:sz w:val="1"/>
                <w:szCs w:val="1"/>
                <w:color w:val="auto"/>
              </w:rPr>
            </w:pPr>
          </w:p>
        </w:tc>
      </w:tr>
      <w:tr>
        <w:trPr>
          <w:trHeight w:val="203"/>
        </w:trPr>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0.5</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0.5</w:t>
            </w:r>
          </w:p>
        </w:tc>
        <w:tc>
          <w:tcPr>
            <w:tcW w:w="10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0.5</w:t>
            </w:r>
          </w:p>
        </w:tc>
        <w:tc>
          <w:tcPr>
            <w:tcW w:w="10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0.5</w:t>
            </w:r>
          </w:p>
        </w:tc>
        <w:tc>
          <w:tcPr>
            <w:tcW w:w="0" w:type="dxa"/>
            <w:vAlign w:val="bottom"/>
          </w:tcPr>
          <w:p>
            <w:pPr>
              <w:spacing w:after="0"/>
              <w:rPr>
                <w:sz w:val="1"/>
                <w:szCs w:val="1"/>
                <w:color w:val="auto"/>
              </w:rPr>
            </w:pPr>
          </w:p>
        </w:tc>
      </w:tr>
      <w:tr>
        <w:trPr>
          <w:trHeight w:val="195"/>
        </w:trPr>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17.8</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16.5</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34.3</w:t>
            </w: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24.9</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16.5</w:t>
            </w:r>
          </w:p>
        </w:tc>
        <w:tc>
          <w:tcPr>
            <w:tcW w:w="10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41.4</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17.8</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28.5</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0070C0"/>
                <w:w w:val="76"/>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46.3</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24.9</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28.5</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53.4</w:t>
            </w:r>
          </w:p>
        </w:tc>
        <w:tc>
          <w:tcPr>
            <w:tcW w:w="0" w:type="dxa"/>
            <w:vAlign w:val="bottom"/>
          </w:tcPr>
          <w:p>
            <w:pPr>
              <w:spacing w:after="0"/>
              <w:rPr>
                <w:sz w:val="1"/>
                <w:szCs w:val="1"/>
                <w:color w:val="auto"/>
              </w:rPr>
            </w:pPr>
          </w:p>
        </w:tc>
      </w:tr>
      <w:tr>
        <w:trPr>
          <w:trHeight w:val="20"/>
        </w:trPr>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2800" w:space="720"/>
            <w:col w:w="7720"/>
          </w:cols>
          <w:pgMar w:left="320" w:top="126" w:right="339" w:bottom="1440" w:gutter="0" w:footer="0" w:header="0"/>
          <w:type w:val="continuous"/>
        </w:sectPr>
      </w:pPr>
    </w:p>
    <w:p>
      <w:pPr>
        <w:ind w:right="160"/>
        <w:spacing w:after="0" w:line="282"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2022 COST SAVING INITIATIVES</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2021 and May 2022 we announced our plans to implement a series of cost-reduction measures during 2022. These savings are being achieved through a number of initiatives, including reductions to our workforce, the substantial elimination of our commercial ADUHELM infrastructure, deprioritization of certain research and development programs, the consolidation of certain real estate locations and operating efficiencies across our selling, general and administrative and research and development functions. Charges related to our 2022 cost saving initiatives were substantially incurred during 2022 with remaining payments expected to be made through 2026.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2022 cost saving initiatives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right w:val="single" w:sz="8" w:color="DBDBDB"/>
            </w:tcBorders>
            <w:shd w:val="clear" w:color="auto" w:fill="DBDBDB"/>
          </w:tcPr>
          <w:p>
            <w:pPr>
              <w:jc w:val="right"/>
              <w:ind w:right="48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8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0.1</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03"/>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070C0"/>
              </w:rPr>
              <w:t>0.1</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0070C0"/>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For the Six Months Ended June 30,</w:t>
            </w: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right w:val="single" w:sz="8" w:color="DBDBDB"/>
            </w:tcBorders>
            <w:shd w:val="clear" w:color="auto" w:fill="DBDBDB"/>
          </w:tcPr>
          <w:p>
            <w:pPr>
              <w:jc w:val="right"/>
              <w:ind w:right="48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4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5"/>
                <w:szCs w:val="15"/>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8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2.6</w:t>
            </w:r>
          </w:p>
        </w:tc>
        <w:tc>
          <w:tcPr>
            <w:tcW w:w="100" w:type="dxa"/>
            <w:vAlign w:val="bottom"/>
          </w:tcPr>
          <w:p>
            <w:pPr>
              <w:spacing w:after="0"/>
              <w:rPr>
                <w:sz w:val="15"/>
                <w:szCs w:val="15"/>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ind w:left="80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070C0"/>
              </w:rPr>
              <w:t>2.6</w:t>
            </w:r>
          </w:p>
        </w:tc>
        <w:tc>
          <w:tcPr>
            <w:tcW w:w="100" w:type="dxa"/>
            <w:vAlign w:val="bottom"/>
          </w:tcPr>
          <w:p>
            <w:pPr>
              <w:spacing w:after="0"/>
              <w:rPr>
                <w:sz w:val="18"/>
                <w:szCs w:val="18"/>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4"/>
                <w:szCs w:val="14"/>
                <w:color w:val="0070C0"/>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color w:val="auto"/>
        </w:rPr>
        <w:t xml:space="preserve">For additional information on our cost saving initiatives, please read </w:t>
      </w:r>
      <w:r>
        <w:rPr>
          <w:rFonts w:ascii="Arial" w:cs="Arial" w:eastAsia="Arial" w:hAnsi="Arial"/>
          <w:sz w:val="18"/>
          <w:szCs w:val="18"/>
          <w:i w:val="1"/>
          <w:iCs w:val="1"/>
          <w:color w:val="auto"/>
        </w:rPr>
        <w:t>Note 3, Restructuring,</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0070C0"/>
        </w:rPr>
        <w:t>OTHER (INCOME) EXPENSE, NET</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three and six months ended June 30, 2023, compared to the same periods in 2022, the changes in other (income) expense, net primarily reflect a pre-tax gain recorded during the second quarter of 2022 of approximately $1.5 billion related to the sale of our 49.9% equity interest in Samsung Bioepis, partially offset by a pre-tax charge recorded during the second quarter of 2022 of approximately $900.0 million, plus settlement fees and expenses, related to a litigation settlement agreement to resolve a qui tam litigation relating to conduct prior to 2015.</w:t>
      </w:r>
    </w:p>
    <w:p>
      <w:pPr>
        <w:spacing w:after="0" w:line="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For the three months ended June 30, 2023, net unrealized gains and realized gains on our holdings in equity securities were approximately $105.8 million and $ 0.7 million, respectively, compared to net unrealized losses and realized losses of approximately $76.5 million and $0.7 million, respectively, in the prior year comparative period.</w:t>
      </w:r>
    </w:p>
    <w:p>
      <w:pPr>
        <w:spacing w:after="0" w:line="76" w:lineRule="exact"/>
        <w:rPr>
          <w:sz w:val="20"/>
          <w:szCs w:val="20"/>
          <w:color w:val="auto"/>
        </w:rPr>
      </w:pPr>
    </w:p>
    <w:p>
      <w:pPr>
        <w:ind w:left="340" w:hanging="332"/>
        <w:spacing w:after="0" w:line="263" w:lineRule="auto"/>
        <w:tabs>
          <w:tab w:leader="none" w:pos="295" w:val="left"/>
        </w:tabs>
        <w:numPr>
          <w:ilvl w:val="0"/>
          <w:numId w:val="30"/>
        </w:numPr>
        <w:rPr>
          <w:rFonts w:ascii="Arial" w:cs="Arial" w:eastAsia="Arial" w:hAnsi="Arial"/>
          <w:sz w:val="18"/>
          <w:szCs w:val="18"/>
          <w:color w:val="0070C0"/>
        </w:rPr>
      </w:pPr>
      <w:r>
        <w:rPr>
          <w:rFonts w:ascii="Arial" w:cs="Arial" w:eastAsia="Arial" w:hAnsi="Arial"/>
          <w:sz w:val="18"/>
          <w:szCs w:val="18"/>
          <w:color w:val="auto"/>
        </w:rPr>
        <w:t>The net unrealized gains recognized during the three months ended June 30, 2023, primarily reflect an increase in the aggregate fair value of our investments in Denali and Sage common stock of approximately $117.7 million, partially offset by a decrease in the fair value of Sangamo common stock of approximately $10.9 million.</w:t>
      </w:r>
    </w:p>
    <w:p>
      <w:pPr>
        <w:spacing w:after="0" w:line="75" w:lineRule="exact"/>
        <w:rPr>
          <w:rFonts w:ascii="Arial" w:cs="Arial" w:eastAsia="Arial" w:hAnsi="Arial"/>
          <w:sz w:val="18"/>
          <w:szCs w:val="18"/>
          <w:color w:val="0070C0"/>
        </w:rPr>
      </w:pPr>
    </w:p>
    <w:p>
      <w:pPr>
        <w:ind w:left="340" w:hanging="332"/>
        <w:spacing w:after="0" w:line="263" w:lineRule="auto"/>
        <w:tabs>
          <w:tab w:leader="none" w:pos="295" w:val="left"/>
        </w:tabs>
        <w:numPr>
          <w:ilvl w:val="0"/>
          <w:numId w:val="30"/>
        </w:numPr>
        <w:rPr>
          <w:rFonts w:ascii="Arial" w:cs="Arial" w:eastAsia="Arial" w:hAnsi="Arial"/>
          <w:sz w:val="18"/>
          <w:szCs w:val="18"/>
          <w:color w:val="0070C0"/>
        </w:rPr>
      </w:pPr>
      <w:r>
        <w:rPr>
          <w:rFonts w:ascii="Arial" w:cs="Arial" w:eastAsia="Arial" w:hAnsi="Arial"/>
          <w:sz w:val="18"/>
          <w:szCs w:val="18"/>
          <w:color w:val="auto"/>
        </w:rPr>
        <w:t>The net unrealized losses recognized during the three months ended June 30, 2022, primarily reflect a decrease in the aggregate fair value of our investments in Sangamo, Denali and Ionis common stock of approximately $75.3 million, partially offset by an increase in the fair value of Sage common stock of approximately $3.4 million.</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the six months ended June 30, 2023, net unrealized gains and realized losses on our holdings in equity securities were approximately $29.3 million and $ 0.9 million, respectively, compared to net unrealized losses and realized losses of $267.4 million and $0.5 million, respectively, in the prior year comparative period.</w:t>
      </w:r>
    </w:p>
    <w:p>
      <w:pPr>
        <w:spacing w:after="0" w:line="76" w:lineRule="exact"/>
        <w:rPr>
          <w:sz w:val="20"/>
          <w:szCs w:val="20"/>
          <w:color w:val="auto"/>
        </w:rPr>
      </w:pPr>
    </w:p>
    <w:p>
      <w:pPr>
        <w:ind w:left="340" w:right="120" w:hanging="332"/>
        <w:spacing w:after="0" w:line="263" w:lineRule="auto"/>
        <w:tabs>
          <w:tab w:leader="none" w:pos="295" w:val="left"/>
        </w:tabs>
        <w:numPr>
          <w:ilvl w:val="0"/>
          <w:numId w:val="31"/>
        </w:numPr>
        <w:rPr>
          <w:rFonts w:ascii="Arial" w:cs="Arial" w:eastAsia="Arial" w:hAnsi="Arial"/>
          <w:sz w:val="18"/>
          <w:szCs w:val="18"/>
          <w:color w:val="0070C0"/>
        </w:rPr>
      </w:pPr>
      <w:r>
        <w:rPr>
          <w:rFonts w:ascii="Arial" w:cs="Arial" w:eastAsia="Arial" w:hAnsi="Arial"/>
          <w:sz w:val="18"/>
          <w:szCs w:val="18"/>
          <w:color w:val="auto"/>
        </w:rPr>
        <w:t>The net unrealized gains recognized during the six months ended June 30, 2023, primarily reflect an increase in the aggregate fair value of our investments in Denali and Sage common stock of approximately $78.0 million, partially offset by a decrease in the fair value of Sangamo and Ionis common stock of approximately $47.4 million.</w:t>
      </w:r>
    </w:p>
    <w:p>
      <w:pPr>
        <w:spacing w:after="0" w:line="75" w:lineRule="exact"/>
        <w:rPr>
          <w:rFonts w:ascii="Arial" w:cs="Arial" w:eastAsia="Arial" w:hAnsi="Arial"/>
          <w:sz w:val="18"/>
          <w:szCs w:val="18"/>
          <w:color w:val="0070C0"/>
        </w:rPr>
      </w:pPr>
    </w:p>
    <w:p>
      <w:pPr>
        <w:jc w:val="both"/>
        <w:ind w:left="340" w:right="40" w:hanging="332"/>
        <w:spacing w:after="0" w:line="263" w:lineRule="auto"/>
        <w:tabs>
          <w:tab w:leader="none" w:pos="295" w:val="left"/>
        </w:tabs>
        <w:numPr>
          <w:ilvl w:val="0"/>
          <w:numId w:val="31"/>
        </w:numPr>
        <w:rPr>
          <w:rFonts w:ascii="Arial" w:cs="Arial" w:eastAsia="Arial" w:hAnsi="Arial"/>
          <w:sz w:val="18"/>
          <w:szCs w:val="18"/>
          <w:color w:val="0070C0"/>
        </w:rPr>
      </w:pPr>
      <w:r>
        <w:rPr>
          <w:rFonts w:ascii="Arial" w:cs="Arial" w:eastAsia="Arial" w:hAnsi="Arial"/>
          <w:sz w:val="18"/>
          <w:szCs w:val="18"/>
          <w:color w:val="auto"/>
        </w:rPr>
        <w:t>The net unrealized losses recognized during the six months ended June 30, 2022, primarily reflect a decrease in the aggregate fair value of our investments in Denali, Sangamo and Sage common stock of approximately $277.1 million, partially offset by an increase in the fair value of Ionis common stock of approximately $19.0 million.</w:t>
      </w:r>
    </w:p>
    <w:p>
      <w:pPr>
        <w:spacing w:after="0" w:line="70"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2, Dispositions</w:t>
      </w:r>
      <w:r>
        <w:rPr>
          <w:rFonts w:ascii="Arial" w:cs="Arial" w:eastAsia="Arial" w:hAnsi="Arial"/>
          <w:sz w:val="18"/>
          <w:szCs w:val="18"/>
          <w:color w:val="auto"/>
        </w:rPr>
        <w:t>, 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INCOME TAX PROVISION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color w:val="auto"/>
              </w:rPr>
              <w:t>For the Three Months Ended June 30,</w:t>
            </w:r>
          </w:p>
        </w:tc>
        <w:tc>
          <w:tcPr>
            <w:tcW w:w="120" w:type="dxa"/>
            <w:vAlign w:val="bottom"/>
          </w:tcPr>
          <w:p>
            <w:pPr>
              <w:spacing w:after="0"/>
              <w:rPr>
                <w:sz w:val="16"/>
                <w:szCs w:val="16"/>
                <w:color w:val="auto"/>
              </w:rPr>
            </w:pPr>
          </w:p>
        </w:tc>
        <w:tc>
          <w:tcPr>
            <w:tcW w:w="2420" w:type="dxa"/>
            <w:vAlign w:val="bottom"/>
            <w:gridSpan w:val="5"/>
          </w:tcPr>
          <w:p>
            <w:pPr>
              <w:jc w:val="right"/>
              <w:ind w:right="68"/>
              <w:spacing w:after="0"/>
              <w:rPr>
                <w:sz w:val="20"/>
                <w:szCs w:val="20"/>
                <w:color w:val="auto"/>
              </w:rPr>
            </w:pPr>
            <w:r>
              <w:rPr>
                <w:rFonts w:ascii="Arial" w:cs="Arial" w:eastAsia="Arial" w:hAnsi="Arial"/>
                <w:sz w:val="14"/>
                <w:szCs w:val="14"/>
                <w:color w:val="auto"/>
              </w:rPr>
              <w:t>For the Six Months Ended June 30,</w:t>
            </w:r>
          </w:p>
        </w:tc>
      </w:tr>
      <w:tr>
        <w:trPr>
          <w:trHeight w:val="196"/>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percentages)</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shd w:val="clear" w:color="auto" w:fill="DBDBDB"/>
          </w:tcPr>
          <w:p>
            <w:pPr>
              <w:spacing w:after="0"/>
              <w:rPr>
                <w:sz w:val="17"/>
                <w:szCs w:val="17"/>
                <w:color w:val="auto"/>
              </w:rPr>
            </w:pPr>
          </w:p>
        </w:tc>
        <w:tc>
          <w:tcPr>
            <w:tcW w:w="800" w:type="dxa"/>
            <w:vAlign w:val="bottom"/>
            <w:tcBorders>
              <w:top w:val="single" w:sz="8" w:color="auto"/>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0070C0"/>
              </w:rPr>
              <w:t>2023</w:t>
            </w: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940" w:type="dxa"/>
            <w:vAlign w:val="bottom"/>
            <w:tcBorders>
              <w:top w:val="single" w:sz="8" w:color="auto"/>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0070C0"/>
              </w:rPr>
              <w:t>2023</w:t>
            </w: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2022</w:t>
            </w:r>
          </w:p>
        </w:tc>
      </w:tr>
      <w:tr>
        <w:trPr>
          <w:trHeight w:val="188"/>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 (benefit) expense</w:t>
            </w: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708.1</w:t>
            </w:r>
          </w:p>
        </w:tc>
        <w:tc>
          <w:tcPr>
            <w:tcW w:w="140" w:type="dxa"/>
            <w:vAlign w:val="bottom"/>
            <w:shd w:val="clear" w:color="auto" w:fill="DBDBDB"/>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1,269.5</w:t>
            </w:r>
          </w:p>
        </w:tc>
        <w:tc>
          <w:tcPr>
            <w:tcW w:w="100" w:type="dxa"/>
            <w:vAlign w:val="bottom"/>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1,146.4</w:t>
            </w:r>
          </w:p>
        </w:tc>
        <w:tc>
          <w:tcPr>
            <w:tcW w:w="160" w:type="dxa"/>
            <w:vAlign w:val="bottom"/>
            <w:shd w:val="clear" w:color="auto" w:fill="DBDBDB"/>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1,616.9</w:t>
            </w:r>
          </w:p>
        </w:tc>
      </w:tr>
      <w:tr>
        <w:trPr>
          <w:trHeight w:val="191"/>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8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114.8</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216.7</w:t>
            </w: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165.5</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342.3</w:t>
            </w:r>
          </w:p>
        </w:tc>
      </w:tr>
      <w:tr>
        <w:trPr>
          <w:trHeight w:val="214"/>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16.2</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17.1 %</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21.2 %</w:t>
            </w:r>
          </w:p>
        </w:tc>
      </w:tr>
    </w:tbl>
    <w:p>
      <w:pPr>
        <w:spacing w:after="0" w:line="17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8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the three and six months ended June 30, 2023, compared to the same periods in 2022, the decreases in our effective tax rates were primarily due to the combined net unfavorable tax rate impacts during the second quarter of 2022 related to a litigation settlement agreement, the sale of our equity interest in Samsung Bioepis, the non-cash tax effects of changes in the value of our equity investments and an international reorganization to align with global tax developments.</w:t>
      </w:r>
    </w:p>
    <w:p>
      <w:pPr>
        <w:spacing w:after="0" w:line="8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decrease in our effective tax rate for the six months ended June 30, 2023, also reflects the resolution of an uncertain tax matter during the first quarter of 2023 related to tax credits as well as the impact of the Neurimmune valuation allowance recorded in the first quarter of 2022.</w:t>
      </w:r>
    </w:p>
    <w:p>
      <w:pPr>
        <w:spacing w:after="0" w:line="56"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Note 14, Income Taxes</w:t>
      </w:r>
      <w:r>
        <w:rPr>
          <w:rFonts w:ascii="Arial" w:cs="Arial" w:eastAsia="Arial" w:hAnsi="Arial"/>
          <w:sz w:val="18"/>
          <w:szCs w:val="18"/>
          <w:color w:val="auto"/>
        </w:rPr>
        <w:t>, to our condensed consolidated financial statements included in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0070C0"/>
        </w:rPr>
        <w:t>NONCONTROLLING INTERESTS, NET OF TAX</w:t>
      </w:r>
    </w:p>
    <w:p>
      <w:pPr>
        <w:spacing w:after="0" w:line="10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Our condensed consolidated financial statements include the financial results of our variable interest entity, Neurimmune, as we determined that we are the primary beneficiary.</w:t>
      </w:r>
    </w:p>
    <w:p>
      <w:pPr>
        <w:spacing w:after="0" w:line="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six months ended June 30, 2023, compared to the same period in 2022, the change in net income (loss) attributable to noncontrolling interests, net of tax, was primarily due to an increase in a valuation allowance of approximately $85.0 million recorded in the first quarter of 2022.</w:t>
      </w:r>
    </w:p>
    <w:p>
      <w:pPr>
        <w:spacing w:after="0" w:line="7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For additional information on the valuation allowance and our collaboration agreement with Neurimmune, please read </w:t>
      </w:r>
      <w:r>
        <w:rPr>
          <w:rFonts w:ascii="Arial" w:cs="Arial" w:eastAsia="Arial" w:hAnsi="Arial"/>
          <w:sz w:val="18"/>
          <w:szCs w:val="18"/>
          <w:i w:val="1"/>
          <w:iCs w:val="1"/>
          <w:color w:val="auto"/>
        </w:rPr>
        <w:t>Note 17, 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Variable Interest Entities, </w:t>
      </w:r>
      <w:r>
        <w:rPr>
          <w:rFonts w:ascii="Arial" w:cs="Arial" w:eastAsia="Arial" w:hAnsi="Arial"/>
          <w:sz w:val="18"/>
          <w:szCs w:val="18"/>
          <w:color w:val="auto"/>
        </w:rPr>
        <w:t>to our condensed consolidated financial statements included in this report.</w:t>
      </w:r>
    </w:p>
    <w:p>
      <w:pPr>
        <w:spacing w:after="0" w:line="110" w:lineRule="exact"/>
        <w:rPr>
          <w:sz w:val="20"/>
          <w:szCs w:val="20"/>
          <w:color w:val="auto"/>
        </w:rPr>
      </w:pPr>
    </w:p>
    <w:p>
      <w:pPr>
        <w:spacing w:after="0"/>
        <w:rPr>
          <w:sz w:val="20"/>
          <w:szCs w:val="20"/>
          <w:color w:val="auto"/>
        </w:rPr>
      </w:pPr>
      <w:r>
        <w:rPr>
          <w:rFonts w:ascii="Arial" w:cs="Arial" w:eastAsia="Arial" w:hAnsi="Arial"/>
          <w:sz w:val="25"/>
          <w:szCs w:val="25"/>
          <w:color w:val="00587F"/>
        </w:rPr>
        <w:t>FINANCIAL CONDITION, 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vMerge w:val="restart"/>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540" w:type="dxa"/>
            <w:vAlign w:val="bottom"/>
            <w:vMerge w:val="restart"/>
            <w:shd w:val="clear" w:color="auto" w:fill="DDDDDD"/>
          </w:tcPr>
          <w:p>
            <w:pPr>
              <w:jc w:val="right"/>
              <w:ind w:right="88"/>
              <w:spacing w:after="0"/>
              <w:rPr>
                <w:sz w:val="20"/>
                <w:szCs w:val="20"/>
                <w:color w:val="auto"/>
              </w:rPr>
            </w:pPr>
            <w:r>
              <w:rPr>
                <w:rFonts w:ascii="Arial" w:cs="Arial" w:eastAsia="Arial" w:hAnsi="Arial"/>
                <w:sz w:val="14"/>
                <w:szCs w:val="14"/>
                <w:b w:val="1"/>
                <w:bCs w:val="1"/>
                <w:color w:val="257ACB"/>
              </w:rPr>
              <w:t>As of June 30, 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shd w:val="clear" w:color="auto" w:fill="DBDBDB"/>
          </w:tcPr>
          <w:p>
            <w:pPr>
              <w:spacing w:after="0"/>
              <w:rPr>
                <w:sz w:val="14"/>
                <w:szCs w:val="14"/>
                <w:color w:val="auto"/>
              </w:rPr>
            </w:pPr>
          </w:p>
        </w:tc>
        <w:tc>
          <w:tcPr>
            <w:tcW w:w="1080" w:type="dxa"/>
            <w:vAlign w:val="bottom"/>
            <w:vMerge w:val="restart"/>
            <w:shd w:val="clear" w:color="auto" w:fill="DBDBDB"/>
          </w:tcPr>
          <w:p>
            <w:pPr>
              <w:jc w:val="right"/>
              <w:ind w:right="18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4"/>
                <w:szCs w:val="14"/>
                <w:color w:val="auto"/>
              </w:rPr>
            </w:pPr>
          </w:p>
        </w:tc>
        <w:tc>
          <w:tcPr>
            <w:tcW w:w="1300" w:type="dxa"/>
            <w:vAlign w:val="bottom"/>
            <w:gridSpan w:val="2"/>
            <w:vMerge w:val="restart"/>
            <w:shd w:val="clear" w:color="auto" w:fill="DBDBDB"/>
          </w:tcPr>
          <w:p>
            <w:pPr>
              <w:jc w:val="right"/>
              <w:ind w:right="22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540" w:type="dxa"/>
            <w:vAlign w:val="bottom"/>
            <w:tcBorders>
              <w:bottom w:val="single" w:sz="8" w:color="auto"/>
            </w:tcBorders>
            <w:vMerge w:val="continue"/>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2,617.8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3,419.3</w:t>
            </w:r>
          </w:p>
        </w:tc>
        <w:tc>
          <w:tcPr>
            <w:tcW w:w="80" w:type="dxa"/>
            <w:vAlign w:val="bottom"/>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(801.5)</w:t>
            </w:r>
          </w:p>
        </w:tc>
        <w:tc>
          <w:tcPr>
            <w:tcW w:w="100" w:type="dxa"/>
            <w:vAlign w:val="bottom"/>
          </w:tcPr>
          <w:p>
            <w:pPr>
              <w:spacing w:after="0"/>
              <w:rPr>
                <w:sz w:val="16"/>
                <w:szCs w:val="16"/>
                <w:color w:val="auto"/>
              </w:rPr>
            </w:pP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(23.4)%</w:t>
            </w:r>
          </w:p>
        </w:tc>
        <w:tc>
          <w:tcPr>
            <w:tcW w:w="0" w:type="dxa"/>
            <w:vAlign w:val="bottom"/>
          </w:tcPr>
          <w:p>
            <w:pPr>
              <w:spacing w:after="0"/>
              <w:rPr>
                <w:sz w:val="1"/>
                <w:szCs w:val="1"/>
                <w:color w:val="auto"/>
              </w:rPr>
            </w:pPr>
          </w:p>
        </w:tc>
      </w:tr>
      <w:tr>
        <w:trPr>
          <w:trHeight w:val="190"/>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current</w:t>
            </w:r>
          </w:p>
        </w:tc>
        <w:tc>
          <w:tcPr>
            <w:tcW w:w="120" w:type="dxa"/>
            <w:vAlign w:val="bottom"/>
            <w:shd w:val="clear" w:color="auto" w:fill="DBDBDB"/>
          </w:tcPr>
          <w:p>
            <w:pPr>
              <w:spacing w:after="0"/>
              <w:rPr>
                <w:sz w:val="16"/>
                <w:szCs w:val="16"/>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3,460.5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1,473.5</w:t>
            </w:r>
          </w:p>
        </w:tc>
        <w:tc>
          <w:tcPr>
            <w:tcW w:w="8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1,987.0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0070C0"/>
              </w:rPr>
              <w:t>134.8</w:t>
            </w:r>
          </w:p>
        </w:tc>
        <w:tc>
          <w:tcPr>
            <w:tcW w:w="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non-current</w:t>
            </w:r>
          </w:p>
        </w:tc>
        <w:tc>
          <w:tcPr>
            <w:tcW w:w="120" w:type="dxa"/>
            <w:vAlign w:val="bottom"/>
            <w:tcBorders>
              <w:bottom w:val="single" w:sz="8" w:color="auto"/>
            </w:tcBorders>
            <w:shd w:val="clear" w:color="auto" w:fill="DBDBDB"/>
          </w:tcPr>
          <w:p>
            <w:pPr>
              <w:spacing w:after="0"/>
              <w:rPr>
                <w:sz w:val="18"/>
                <w:szCs w:val="18"/>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1,208.0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705.7</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502.3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71.2</w:t>
            </w:r>
          </w:p>
        </w:tc>
        <w:tc>
          <w:tcPr>
            <w:tcW w:w="14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7,286.3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5,598.5</w:t>
            </w:r>
          </w:p>
        </w:tc>
        <w:tc>
          <w:tcPr>
            <w:tcW w:w="80" w:type="dxa"/>
            <w:vAlign w:val="bottom"/>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1,687.8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0070C0"/>
              </w:rPr>
              <w:t>30.1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158"/>
        </w:trPr>
        <w:tc>
          <w:tcPr>
            <w:tcW w:w="51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Borrowings:</w:t>
            </w:r>
          </w:p>
        </w:tc>
        <w:tc>
          <w:tcPr>
            <w:tcW w:w="120" w:type="dxa"/>
            <w:vAlign w:val="bottom"/>
            <w:tcBorders>
              <w:top w:val="single" w:sz="8" w:color="auto"/>
            </w:tcBorders>
            <w:shd w:val="clear" w:color="auto" w:fill="DBDBDB"/>
          </w:tcPr>
          <w:p>
            <w:pPr>
              <w:spacing w:after="0"/>
              <w:rPr>
                <w:sz w:val="13"/>
                <w:szCs w:val="13"/>
                <w:color w:val="auto"/>
              </w:rPr>
            </w:pPr>
          </w:p>
        </w:tc>
        <w:tc>
          <w:tcPr>
            <w:tcW w:w="154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shd w:val="clear" w:color="auto" w:fill="DBDBDB"/>
          </w:tcPr>
          <w:p>
            <w:pPr>
              <w:spacing w:after="0"/>
              <w:rPr>
                <w:sz w:val="13"/>
                <w:szCs w:val="13"/>
                <w:color w:val="auto"/>
              </w:rPr>
            </w:pPr>
          </w:p>
        </w:tc>
        <w:tc>
          <w:tcPr>
            <w:tcW w:w="108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Notes payable</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6,284.6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6,281.0</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3.6</w:t>
            </w:r>
          </w:p>
        </w:tc>
        <w:tc>
          <w:tcPr>
            <w:tcW w:w="100" w:type="dxa"/>
            <w:vAlign w:val="bottom"/>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0.1</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37"/>
        </w:trPr>
        <w:tc>
          <w:tcPr>
            <w:tcW w:w="5120" w:type="dxa"/>
            <w:vAlign w:val="bottom"/>
            <w:gridSpan w:val="2"/>
          </w:tcPr>
          <w:p>
            <w:pPr>
              <w:ind w:left="360"/>
              <w:spacing w:after="0"/>
              <w:rPr>
                <w:sz w:val="20"/>
                <w:szCs w:val="20"/>
                <w:color w:val="auto"/>
              </w:rPr>
            </w:pPr>
            <w:r>
              <w:rPr>
                <w:rFonts w:ascii="Arial" w:cs="Arial" w:eastAsia="Arial" w:hAnsi="Arial"/>
                <w:sz w:val="14"/>
                <w:szCs w:val="14"/>
                <w:color w:val="auto"/>
              </w:rPr>
              <w:t>Total borrowings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6,284.6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6,281.0</w:t>
            </w:r>
          </w:p>
        </w:tc>
        <w:tc>
          <w:tcPr>
            <w:tcW w:w="80" w:type="dxa"/>
            <w:vAlign w:val="bottom"/>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3.6</w:t>
            </w:r>
          </w:p>
        </w:tc>
        <w:tc>
          <w:tcPr>
            <w:tcW w:w="100" w:type="dxa"/>
            <w:vAlign w:val="bottom"/>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c>
          <w:tcPr>
            <w:tcW w:w="0" w:type="dxa"/>
            <w:vAlign w:val="bottom"/>
          </w:tcPr>
          <w:p>
            <w:pPr>
              <w:spacing w:after="0"/>
              <w:rPr>
                <w:sz w:val="1"/>
                <w:szCs w:val="1"/>
                <w:color w:val="auto"/>
              </w:rPr>
            </w:pPr>
          </w:p>
        </w:tc>
      </w:tr>
      <w:tr>
        <w:trPr>
          <w:trHeight w:val="157"/>
        </w:trPr>
        <w:tc>
          <w:tcPr>
            <w:tcW w:w="51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Working capital:</w:t>
            </w:r>
          </w:p>
        </w:tc>
        <w:tc>
          <w:tcPr>
            <w:tcW w:w="120" w:type="dxa"/>
            <w:vAlign w:val="bottom"/>
            <w:tcBorders>
              <w:top w:val="single" w:sz="8" w:color="auto"/>
            </w:tcBorders>
            <w:shd w:val="clear" w:color="auto" w:fill="DBDBDB"/>
          </w:tcPr>
          <w:p>
            <w:pPr>
              <w:spacing w:after="0"/>
              <w:rPr>
                <w:sz w:val="13"/>
                <w:szCs w:val="13"/>
                <w:color w:val="auto"/>
              </w:rPr>
            </w:pPr>
          </w:p>
        </w:tc>
        <w:tc>
          <w:tcPr>
            <w:tcW w:w="154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shd w:val="clear" w:color="auto" w:fill="DBDBDB"/>
          </w:tcPr>
          <w:p>
            <w:pPr>
              <w:spacing w:after="0"/>
              <w:rPr>
                <w:sz w:val="13"/>
                <w:szCs w:val="13"/>
                <w:color w:val="auto"/>
              </w:rPr>
            </w:pPr>
          </w:p>
        </w:tc>
        <w:tc>
          <w:tcPr>
            <w:tcW w:w="108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10,431.7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9,791.2</w:t>
            </w:r>
          </w:p>
        </w:tc>
        <w:tc>
          <w:tcPr>
            <w:tcW w:w="80" w:type="dxa"/>
            <w:vAlign w:val="bottom"/>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640.5</w:t>
            </w:r>
          </w:p>
        </w:tc>
        <w:tc>
          <w:tcPr>
            <w:tcW w:w="100" w:type="dxa"/>
            <w:vAlign w:val="bottom"/>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120" w:type="dxa"/>
            <w:vAlign w:val="bottom"/>
            <w:tcBorders>
              <w:bottom w:val="single" w:sz="8" w:color="auto"/>
            </w:tcBorders>
            <w:shd w:val="clear" w:color="auto" w:fill="DBDBDB"/>
          </w:tcPr>
          <w:p>
            <w:pPr>
              <w:spacing w:after="0"/>
              <w:rPr>
                <w:sz w:val="17"/>
                <w:szCs w:val="17"/>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(3,186.5)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(3,272.8)</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86.3</w:t>
            </w:r>
          </w:p>
        </w:tc>
        <w:tc>
          <w:tcPr>
            <w:tcW w:w="100" w:type="dxa"/>
            <w:vAlign w:val="bottom"/>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(2.6)</w:t>
            </w:r>
          </w:p>
        </w:tc>
        <w:tc>
          <w:tcPr>
            <w:tcW w:w="14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4"/>
                <w:szCs w:val="14"/>
                <w:color w:val="auto"/>
              </w:rPr>
              <w:t>Total working capital</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7,245.2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6,518.4</w:t>
            </w:r>
          </w:p>
        </w:tc>
        <w:tc>
          <w:tcPr>
            <w:tcW w:w="8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726.8</w:t>
            </w:r>
          </w:p>
        </w:tc>
        <w:tc>
          <w:tcPr>
            <w:tcW w:w="100" w:type="dxa"/>
            <w:vAlign w:val="bottom"/>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-1473835</wp:posOffset>
            </wp:positionV>
            <wp:extent cx="728980" cy="522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5226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70C0"/>
        </w:rPr>
        <w:t>OVERVIEW</w:t>
      </w:r>
    </w:p>
    <w:p>
      <w:pPr>
        <w:spacing w:after="0" w:line="13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have historically financed and expect to continue to fund our operating and capital expenditures primarily through cash flow earned through our operations, as well as our existing cash resources. We believe generic competition for TECFIDERA in the U.S. and other key markets, continued decline in the Interferon product class and investments in the development and launch of potential new products will continue to reduce our cash flow from operations in 2023 and will have a significant adverse impact on our future cash flow from operations.</w:t>
      </w:r>
    </w:p>
    <w:p>
      <w:pPr>
        <w:spacing w:after="0" w:line="7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spacing w:after="0" w:line="71"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3. Quantitative and Qualitative Disclosures About Market Risk </w:t>
      </w:r>
      <w:r>
        <w:rPr>
          <w:rFonts w:ascii="Arial" w:cs="Arial" w:eastAsia="Arial" w:hAnsi="Arial"/>
          <w:sz w:val="18"/>
          <w:szCs w:val="18"/>
          <w:color w:val="auto"/>
        </w:rPr>
        <w:t>included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0070C0"/>
        </w:rPr>
        <w:t>LIQUIDITY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0070C0"/>
        </w:rPr>
        <w:t>WORKING CAPITAL</w:t>
      </w:r>
    </w:p>
    <w:p>
      <w:pPr>
        <w:spacing w:after="0" w:line="12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Working capital is defined as current assets less current liabilities. Our working capital was $7.2 billion and $6.5 billion as of June 30, 2023 and December 31, 2022, respectively. The change in working capital reflects an increase in total current assets of approximately $640.5 million and a decrease in total current liabilities of approximately $86.3 million. The changes in current assets and current liabilities were primarily driven by the following: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CURRENT ASSETS</w:t>
      </w:r>
    </w:p>
    <w:p>
      <w:pPr>
        <w:spacing w:after="0" w:line="75"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20"/>
          <w:szCs w:val="20"/>
          <w:b w:val="1"/>
          <w:bCs w:val="1"/>
          <w:color w:val="0070C0"/>
        </w:rPr>
      </w:pPr>
      <w:r>
        <w:rPr>
          <w:rFonts w:ascii="Arial" w:cs="Arial" w:eastAsia="Arial" w:hAnsi="Arial"/>
          <w:sz w:val="18"/>
          <w:szCs w:val="18"/>
          <w:b w:val="1"/>
          <w:bCs w:val="1"/>
          <w:color w:val="auto"/>
        </w:rPr>
        <w:t>$1,185.5 million increase in cash, cash equivalents and current marketable securities; and</w:t>
      </w:r>
    </w:p>
    <w:p>
      <w:pPr>
        <w:spacing w:after="0" w:line="80" w:lineRule="exact"/>
        <w:rPr>
          <w:rFonts w:ascii="Arial" w:cs="Arial" w:eastAsia="Arial" w:hAnsi="Arial"/>
          <w:sz w:val="20"/>
          <w:szCs w:val="20"/>
          <w:b w:val="1"/>
          <w:bCs w:val="1"/>
          <w:color w:val="0070C0"/>
        </w:rPr>
      </w:pPr>
    </w:p>
    <w:p>
      <w:pPr>
        <w:ind w:left="340" w:right="60" w:hanging="332"/>
        <w:spacing w:after="0" w:line="237" w:lineRule="auto"/>
        <w:tabs>
          <w:tab w:leader="none" w:pos="272" w:val="left"/>
        </w:tabs>
        <w:numPr>
          <w:ilvl w:val="0"/>
          <w:numId w:val="32"/>
        </w:numPr>
        <w:rPr>
          <w:rFonts w:ascii="Arial" w:cs="Arial" w:eastAsia="Arial" w:hAnsi="Arial"/>
          <w:sz w:val="22"/>
          <w:szCs w:val="22"/>
          <w:b w:val="1"/>
          <w:bCs w:val="1"/>
          <w:i w:val="1"/>
          <w:iCs w:val="1"/>
          <w:color w:val="2573BA"/>
        </w:rPr>
      </w:pPr>
      <w:r>
        <w:rPr>
          <w:rFonts w:ascii="Arial" w:cs="Arial" w:eastAsia="Arial" w:hAnsi="Arial"/>
          <w:sz w:val="18"/>
          <w:szCs w:val="18"/>
          <w:b w:val="1"/>
          <w:bCs w:val="1"/>
          <w:color w:val="auto"/>
        </w:rPr>
        <w:t xml:space="preserve">$521.7 million decrease in other current assets primarily due to the receipt of </w:t>
      </w:r>
      <w:r>
        <w:rPr>
          <w:rFonts w:ascii="Arial" w:cs="Arial" w:eastAsia="Arial" w:hAnsi="Arial"/>
          <w:sz w:val="18"/>
          <w:szCs w:val="18"/>
          <w:color w:val="auto"/>
        </w:rPr>
        <w:t>$812.5 million from Samsung BioLogics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Samsung Bioepis.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CURRENT LIABILITIES</w:t>
      </w:r>
    </w:p>
    <w:p>
      <w:pPr>
        <w:spacing w:after="0" w:line="62"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b w:val="1"/>
          <w:bCs w:val="1"/>
          <w:color w:val="0070C0"/>
        </w:rPr>
      </w:pPr>
      <w:r>
        <w:rPr>
          <w:rFonts w:ascii="Arial" w:cs="Arial" w:eastAsia="Arial" w:hAnsi="Arial"/>
          <w:sz w:val="18"/>
          <w:szCs w:val="18"/>
          <w:b w:val="1"/>
          <w:bCs w:val="1"/>
          <w:color w:val="auto"/>
        </w:rPr>
        <w:t>$46.1 million decrease in accounts payable primarily due to timing of payments; and</w:t>
      </w:r>
    </w:p>
    <w:p>
      <w:pPr>
        <w:spacing w:after="0" w:line="63" w:lineRule="exact"/>
        <w:rPr>
          <w:rFonts w:ascii="Arial" w:cs="Arial" w:eastAsia="Arial" w:hAnsi="Arial"/>
          <w:sz w:val="18"/>
          <w:szCs w:val="18"/>
          <w:b w:val="1"/>
          <w:bCs w:val="1"/>
          <w:color w:val="0070C0"/>
        </w:rPr>
      </w:pPr>
    </w:p>
    <w:p>
      <w:pPr>
        <w:ind w:left="340" w:right="760" w:hanging="332"/>
        <w:spacing w:after="0" w:line="301" w:lineRule="auto"/>
        <w:tabs>
          <w:tab w:leader="none" w:pos="295" w:val="left"/>
        </w:tabs>
        <w:numPr>
          <w:ilvl w:val="0"/>
          <w:numId w:val="33"/>
        </w:numPr>
        <w:rPr>
          <w:rFonts w:ascii="Arial" w:cs="Arial" w:eastAsia="Arial" w:hAnsi="Arial"/>
          <w:sz w:val="18"/>
          <w:szCs w:val="18"/>
          <w:b w:val="1"/>
          <w:bCs w:val="1"/>
          <w:color w:val="0070C0"/>
        </w:rPr>
      </w:pPr>
      <w:r>
        <w:rPr>
          <w:rFonts w:ascii="Arial" w:cs="Arial" w:eastAsia="Arial" w:hAnsi="Arial"/>
          <w:sz w:val="18"/>
          <w:szCs w:val="18"/>
          <w:b w:val="1"/>
          <w:bCs w:val="1"/>
          <w:color w:val="auto"/>
        </w:rPr>
        <w:t>$40.3 million decrease in accrued expense and other primarily reflecting the timing of payment for our annual incentive compensation.</w:t>
      </w:r>
    </w:p>
    <w:p>
      <w:pPr>
        <w:spacing w:after="0" w:line="2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2, Dispositions</w:t>
      </w:r>
      <w:r>
        <w:rPr>
          <w:rFonts w:ascii="Arial" w:cs="Arial" w:eastAsia="Arial" w:hAnsi="Arial"/>
          <w:sz w:val="18"/>
          <w:szCs w:val="18"/>
          <w:color w:val="auto"/>
        </w:rPr>
        <w:t>, 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CASH, CASH EQUIVALENTS AND MARKETABLE SECURITIES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June 30, 2023, we had cash, cash equivalents and marketable securities totaling approximately $ 7.3 billion compared to approximately $5.6 billion as of December 31, 2022. 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significant common stock investments in our strategic investment portfolio:</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680" w:type="dxa"/>
            <w:vAlign w:val="bottom"/>
            <w:tcBorders>
              <w:bottom w:val="single" w:sz="8" w:color="auto"/>
            </w:tcBorders>
            <w:shd w:val="clear" w:color="auto" w:fill="DBDBDB"/>
          </w:tcPr>
          <w:p>
            <w:pPr>
              <w:jc w:val="right"/>
              <w:ind w:right="468"/>
              <w:spacing w:after="0"/>
              <w:rPr>
                <w:sz w:val="20"/>
                <w:szCs w:val="20"/>
                <w:color w:val="auto"/>
              </w:rPr>
            </w:pPr>
            <w:r>
              <w:rPr>
                <w:rFonts w:ascii="Arial" w:cs="Arial" w:eastAsia="Arial" w:hAnsi="Arial"/>
                <w:sz w:val="14"/>
                <w:szCs w:val="14"/>
                <w:b w:val="1"/>
                <w:bCs w:val="1"/>
                <w:color w:val="026DCE"/>
              </w:rPr>
              <w:t>June 30, 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2022</w:t>
            </w:r>
          </w:p>
        </w:tc>
      </w:tr>
      <w:tr>
        <w:trPr>
          <w:trHeight w:val="183"/>
        </w:trPr>
        <w:tc>
          <w:tcPr>
            <w:tcW w:w="7120" w:type="dxa"/>
            <w:vAlign w:val="bottom"/>
            <w:gridSpan w:val="3"/>
          </w:tcPr>
          <w:p>
            <w:pPr>
              <w:ind w:left="20"/>
              <w:spacing w:after="0"/>
              <w:rPr>
                <w:sz w:val="20"/>
                <w:szCs w:val="20"/>
                <w:color w:val="auto"/>
              </w:rPr>
            </w:pPr>
            <w:r>
              <w:rPr>
                <w:rFonts w:ascii="Arial" w:cs="Arial" w:eastAsia="Arial" w:hAnsi="Arial"/>
                <w:sz w:val="14"/>
                <w:szCs w:val="14"/>
                <w:color w:val="auto"/>
              </w:rPr>
              <w:t>Denali</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26DCE"/>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392.8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370.2</w:t>
            </w:r>
          </w:p>
        </w:tc>
      </w:tr>
      <w:tr>
        <w:trPr>
          <w:trHeight w:val="190"/>
        </w:trPr>
        <w:tc>
          <w:tcPr>
            <w:tcW w:w="7120" w:type="dxa"/>
            <w:vAlign w:val="bottom"/>
            <w:gridSpan w:val="3"/>
          </w:tcPr>
          <w:p>
            <w:pPr>
              <w:ind w:left="20"/>
              <w:spacing w:after="0"/>
              <w:rPr>
                <w:sz w:val="20"/>
                <w:szCs w:val="20"/>
                <w:color w:val="auto"/>
              </w:rPr>
            </w:pPr>
            <w:r>
              <w:rPr>
                <w:rFonts w:ascii="Arial" w:cs="Arial" w:eastAsia="Arial" w:hAnsi="Arial"/>
                <w:sz w:val="14"/>
                <w:szCs w:val="14"/>
                <w:color w:val="auto"/>
              </w:rPr>
              <w:t>Sage</w:t>
            </w:r>
          </w:p>
        </w:tc>
        <w:tc>
          <w:tcPr>
            <w:tcW w:w="32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293.5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238.0</w:t>
            </w:r>
          </w:p>
        </w:tc>
      </w:tr>
      <w:tr>
        <w:trPr>
          <w:trHeight w:val="203"/>
        </w:trPr>
        <w:tc>
          <w:tcPr>
            <w:tcW w:w="7120" w:type="dxa"/>
            <w:vAlign w:val="bottom"/>
            <w:gridSpan w:val="3"/>
          </w:tcPr>
          <w:p>
            <w:pPr>
              <w:ind w:left="20"/>
              <w:spacing w:after="0"/>
              <w:rPr>
                <w:sz w:val="20"/>
                <w:szCs w:val="20"/>
                <w:color w:val="auto"/>
              </w:rPr>
            </w:pPr>
            <w:r>
              <w:rPr>
                <w:rFonts w:ascii="Arial" w:cs="Arial" w:eastAsia="Arial" w:hAnsi="Arial"/>
                <w:sz w:val="14"/>
                <w:szCs w:val="14"/>
                <w:color w:val="auto"/>
              </w:rPr>
              <w:t>Sangamo</w:t>
            </w:r>
          </w:p>
        </w:tc>
        <w:tc>
          <w:tcPr>
            <w:tcW w:w="320" w:type="dxa"/>
            <w:vAlign w:val="bottom"/>
            <w:shd w:val="clear" w:color="auto" w:fill="DBDBDB"/>
          </w:tcPr>
          <w:p>
            <w:pPr>
              <w:spacing w:after="0"/>
              <w:rPr>
                <w:sz w:val="17"/>
                <w:szCs w:val="17"/>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74.3</w:t>
            </w:r>
          </w:p>
        </w:tc>
      </w:tr>
      <w:tr>
        <w:trPr>
          <w:trHeight w:val="201"/>
        </w:trPr>
        <w:tc>
          <w:tcPr>
            <w:tcW w:w="7120" w:type="dxa"/>
            <w:vAlign w:val="bottom"/>
            <w:gridSpan w:val="3"/>
          </w:tcPr>
          <w:p>
            <w:pPr>
              <w:ind w:left="20"/>
              <w:spacing w:after="0" w:line="201" w:lineRule="exact"/>
              <w:rPr>
                <w:sz w:val="20"/>
                <w:szCs w:val="20"/>
                <w:color w:val="auto"/>
              </w:rPr>
            </w:pPr>
            <w:r>
              <w:rPr>
                <w:rFonts w:ascii="Arial" w:cs="Arial" w:eastAsia="Arial" w:hAnsi="Arial"/>
                <w:sz w:val="14"/>
                <w:szCs w:val="14"/>
                <w:color w:val="auto"/>
              </w:rPr>
              <w:t>Ionis</w:t>
            </w:r>
            <w:r>
              <w:rPr>
                <w:rFonts w:ascii="Arial" w:cs="Arial" w:eastAsia="Arial" w:hAnsi="Arial"/>
                <w:sz w:val="18"/>
                <w:szCs w:val="18"/>
                <w:color w:val="auto"/>
                <w:vertAlign w:val="superscript"/>
              </w:rPr>
              <w:t>(1)</w:t>
            </w:r>
          </w:p>
        </w:tc>
        <w:tc>
          <w:tcPr>
            <w:tcW w:w="320" w:type="dxa"/>
            <w:vAlign w:val="bottom"/>
            <w:tcBorders>
              <w:bottom w:val="single" w:sz="8" w:color="auto"/>
            </w:tcBorders>
            <w:shd w:val="clear" w:color="auto" w:fill="DBDBDB"/>
          </w:tcPr>
          <w:p>
            <w:pPr>
              <w:spacing w:after="0"/>
              <w:rPr>
                <w:sz w:val="17"/>
                <w:szCs w:val="17"/>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w:t>
            </w:r>
          </w:p>
        </w:tc>
      </w:tr>
      <w:tr>
        <w:trPr>
          <w:trHeight w:val="216"/>
        </w:trPr>
        <w:tc>
          <w:tcPr>
            <w:tcW w:w="7120" w:type="dxa"/>
            <w:vAlign w:val="bottom"/>
            <w:gridSpan w:val="3"/>
          </w:tcPr>
          <w:p>
            <w:pPr>
              <w:ind w:left="240"/>
              <w:spacing w:after="0"/>
              <w:rPr>
                <w:sz w:val="20"/>
                <w:szCs w:val="20"/>
                <w:color w:val="auto"/>
              </w:rPr>
            </w:pPr>
            <w:r>
              <w:rPr>
                <w:rFonts w:ascii="Arial" w:cs="Arial" w:eastAsia="Arial" w:hAnsi="Arial"/>
                <w:sz w:val="14"/>
                <w:szCs w:val="14"/>
                <w:color w:val="auto"/>
              </w:rPr>
              <w:t>Total</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26DCE"/>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717.0</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791.1</w:t>
            </w:r>
          </w:p>
        </w:tc>
      </w:tr>
      <w:tr>
        <w:trPr>
          <w:trHeight w:val="20"/>
        </w:trPr>
        <w:tc>
          <w:tcPr>
            <w:tcW w:w="3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3820" w:type="dxa"/>
            <w:vAlign w:val="bottom"/>
            <w:tcBorders>
              <w:bottom w:val="single" w:sz="8" w:color="auto"/>
            </w:tcBorders>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tcPr>
          <w:p>
            <w:pPr>
              <w:spacing w:after="0"/>
              <w:rPr>
                <w:sz w:val="11"/>
                <w:szCs w:val="11"/>
                <w:color w:val="auto"/>
              </w:rPr>
            </w:pPr>
          </w:p>
        </w:tc>
      </w:tr>
    </w:tbl>
    <w:p>
      <w:pPr>
        <w:spacing w:after="0" w:line="88"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During the second quarter of 2023 we sold our remaining shares of Ionis common stock.</w:t>
      </w:r>
    </w:p>
    <w:p>
      <w:pPr>
        <w:spacing w:after="0" w:line="94"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Although the contractual holding period restrictions on our investments in Denali, Sage and Sangamo have expired, our ability to liquidate these investments may be limited by the size of our interest, the volume of market related activity, our concentrated level of ownership and other potential restrictions resulting from our status as a collaborator. Therefore, we may realize significantly less than the current value of such investments.</w:t>
      </w:r>
    </w:p>
    <w:p>
      <w:pPr>
        <w:spacing w:after="0" w:line="7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our condensed consolidated financial statements included in this report</w:t>
      </w:r>
      <w:r>
        <w:rPr>
          <w:rFonts w:ascii="Arial" w:cs="Arial" w:eastAsia="Arial" w:hAnsi="Arial"/>
          <w:sz w:val="18"/>
          <w:szCs w:val="18"/>
          <w:i w:val="1"/>
          <w:i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CASH FLOW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6"/>
          </w:tcPr>
          <w:p>
            <w:pPr>
              <w:ind w:left="900"/>
              <w:spacing w:after="0"/>
              <w:rPr>
                <w:sz w:val="20"/>
                <w:szCs w:val="20"/>
                <w:color w:val="auto"/>
              </w:rPr>
            </w:pPr>
            <w:r>
              <w:rPr>
                <w:rFonts w:ascii="Arial" w:cs="Arial" w:eastAsia="Arial" w:hAnsi="Arial"/>
                <w:sz w:val="14"/>
                <w:szCs w:val="14"/>
                <w:b w:val="1"/>
                <w:bCs w:val="1"/>
                <w:color w:val="auto"/>
              </w:rPr>
              <w:t>For the Six Months Ended June 30,</w:t>
            </w:r>
          </w:p>
        </w:tc>
        <w:tc>
          <w:tcPr>
            <w:tcW w:w="1200" w:type="dxa"/>
            <w:vAlign w:val="bottom"/>
            <w:tcBorders>
              <w:bottom w:val="single" w:sz="8" w:color="auto"/>
            </w:tcBorders>
          </w:tcPr>
          <w:p>
            <w:pPr>
              <w:spacing w:after="0"/>
              <w:rPr>
                <w:sz w:val="17"/>
                <w:szCs w:val="17"/>
                <w:color w:val="auto"/>
              </w:rPr>
            </w:pPr>
          </w:p>
        </w:tc>
      </w:tr>
      <w:tr>
        <w:trPr>
          <w:trHeight w:val="185"/>
        </w:trPr>
        <w:tc>
          <w:tcPr>
            <w:tcW w:w="6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1160" w:type="dxa"/>
            <w:vAlign w:val="bottom"/>
            <w:tcBorders>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2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b w:val="1"/>
                <w:bCs w:val="1"/>
                <w:color w:val="0070C0"/>
              </w:rPr>
              <w:t>% Change</w:t>
            </w:r>
          </w:p>
        </w:tc>
      </w:tr>
      <w:tr>
        <w:trPr>
          <w:trHeight w:val="184"/>
        </w:trPr>
        <w:tc>
          <w:tcPr>
            <w:tcW w:w="6320" w:type="dxa"/>
            <w:vAlign w:val="bottom"/>
            <w:gridSpan w:val="3"/>
          </w:tcPr>
          <w:p>
            <w:pPr>
              <w:ind w:left="20"/>
              <w:spacing w:after="0"/>
              <w:rPr>
                <w:sz w:val="20"/>
                <w:szCs w:val="20"/>
                <w:color w:val="auto"/>
              </w:rPr>
            </w:pPr>
            <w:r>
              <w:rPr>
                <w:rFonts w:ascii="Arial" w:cs="Arial" w:eastAsia="Arial" w:hAnsi="Arial"/>
                <w:sz w:val="14"/>
                <w:szCs w:val="14"/>
                <w:color w:val="auto"/>
              </w:rPr>
              <w:t>Net cash flow provided by (used in) operating activities</w:t>
            </w:r>
          </w:p>
        </w:tc>
        <w:tc>
          <w:tcPr>
            <w:tcW w:w="34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w w:val="76"/>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942.3</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898.3</w:t>
            </w:r>
          </w:p>
        </w:tc>
        <w:tc>
          <w:tcPr>
            <w:tcW w:w="120" w:type="dxa"/>
            <w:vAlign w:val="bottom"/>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4.9 %</w:t>
            </w:r>
          </w:p>
        </w:tc>
      </w:tr>
      <w:tr>
        <w:trPr>
          <w:trHeight w:val="203"/>
        </w:trPr>
        <w:tc>
          <w:tcPr>
            <w:tcW w:w="6320" w:type="dxa"/>
            <w:vAlign w:val="bottom"/>
            <w:gridSpan w:val="3"/>
          </w:tcPr>
          <w:p>
            <w:pPr>
              <w:ind w:left="20"/>
              <w:spacing w:after="0"/>
              <w:rPr>
                <w:sz w:val="20"/>
                <w:szCs w:val="20"/>
                <w:color w:val="auto"/>
              </w:rPr>
            </w:pPr>
            <w:r>
              <w:rPr>
                <w:rFonts w:ascii="Arial" w:cs="Arial" w:eastAsia="Arial" w:hAnsi="Arial"/>
                <w:sz w:val="14"/>
                <w:szCs w:val="14"/>
                <w:color w:val="auto"/>
              </w:rPr>
              <w:t>Net cash flow provided by (used in) investing activities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(1,706.5)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nm</w:t>
            </w:r>
          </w:p>
        </w:tc>
      </w:tr>
      <w:tr>
        <w:trPr>
          <w:trHeight w:val="201"/>
        </w:trPr>
        <w:tc>
          <w:tcPr>
            <w:tcW w:w="6320" w:type="dxa"/>
            <w:vAlign w:val="bottom"/>
            <w:gridSpan w:val="3"/>
          </w:tcPr>
          <w:p>
            <w:pPr>
              <w:ind w:left="20"/>
              <w:spacing w:after="0"/>
              <w:rPr>
                <w:sz w:val="20"/>
                <w:szCs w:val="20"/>
                <w:color w:val="auto"/>
              </w:rPr>
            </w:pPr>
            <w:r>
              <w:rPr>
                <w:rFonts w:ascii="Arial" w:cs="Arial" w:eastAsia="Arial" w:hAnsi="Arial"/>
                <w:sz w:val="14"/>
                <w:szCs w:val="14"/>
                <w:color w:val="auto"/>
              </w:rPr>
              <w:t>Net cash flow provided by (used in) financing activities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(53.2)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(488.0)</w:t>
            </w:r>
          </w:p>
        </w:tc>
        <w:tc>
          <w:tcPr>
            <w:tcW w:w="120" w:type="dxa"/>
            <w:vAlign w:val="bottom"/>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rPr>
              <w:t>(89.1)</w:t>
            </w:r>
          </w:p>
        </w:tc>
      </w:tr>
      <w:tr>
        <w:trPr>
          <w:trHeight w:val="162"/>
        </w:trPr>
        <w:tc>
          <w:tcPr>
            <w:tcW w:w="3820" w:type="dxa"/>
            <w:vAlign w:val="bottom"/>
            <w:tcBorders>
              <w:bottom w:val="single" w:sz="8" w:color="auto"/>
            </w:tcBorders>
          </w:tcPr>
          <w:p>
            <w:pPr>
              <w:spacing w:after="0"/>
              <w:rPr>
                <w:sz w:val="14"/>
                <w:szCs w:val="14"/>
                <w:color w:val="auto"/>
              </w:rPr>
            </w:pPr>
          </w:p>
        </w:tc>
        <w:tc>
          <w:tcPr>
            <w:tcW w:w="250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24"/>
        </w:trPr>
        <w:tc>
          <w:tcPr>
            <w:tcW w:w="6320" w:type="dxa"/>
            <w:vAlign w:val="bottom"/>
            <w:gridSpan w:val="3"/>
          </w:tcPr>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 is derived by adjusting our net income for:</w:t>
      </w:r>
    </w:p>
    <w:p>
      <w:pPr>
        <w:spacing w:after="0" w:line="77" w:lineRule="exact"/>
        <w:rPr>
          <w:sz w:val="20"/>
          <w:szCs w:val="20"/>
          <w:color w:val="auto"/>
        </w:rPr>
      </w:pPr>
    </w:p>
    <w:p>
      <w:pPr>
        <w:ind w:left="420" w:right="280" w:hanging="331"/>
        <w:spacing w:after="0" w:line="249" w:lineRule="auto"/>
        <w:tabs>
          <w:tab w:leader="none" w:pos="370" w:val="left"/>
        </w:tabs>
        <w:numPr>
          <w:ilvl w:val="0"/>
          <w:numId w:val="35"/>
        </w:numPr>
        <w:rPr>
          <w:rFonts w:ascii="Arial" w:cs="Arial" w:eastAsia="Arial" w:hAnsi="Arial"/>
          <w:sz w:val="20"/>
          <w:szCs w:val="20"/>
          <w:color w:val="0070C0"/>
        </w:rPr>
      </w:pPr>
      <w:r>
        <w:rPr>
          <w:rFonts w:ascii="Arial" w:cs="Arial" w:eastAsia="Arial" w:hAnsi="Arial"/>
          <w:sz w:val="18"/>
          <w:szCs w:val="18"/>
          <w:color w:val="auto"/>
        </w:rPr>
        <w:t>non-cash operating items such as depreciation and amortization, impairment charges, unrealized (gain) loss on strategic investments and share-based compensation;</w:t>
      </w:r>
    </w:p>
    <w:p>
      <w:pPr>
        <w:spacing w:after="0" w:line="46" w:lineRule="exact"/>
        <w:rPr>
          <w:rFonts w:ascii="Arial" w:cs="Arial" w:eastAsia="Arial" w:hAnsi="Arial"/>
          <w:sz w:val="20"/>
          <w:szCs w:val="20"/>
          <w:color w:val="0070C0"/>
        </w:rPr>
      </w:pPr>
    </w:p>
    <w:p>
      <w:pPr>
        <w:ind w:left="420" w:right="360" w:hanging="331"/>
        <w:spacing w:after="0" w:line="264" w:lineRule="auto"/>
        <w:tabs>
          <w:tab w:leader="none" w:pos="370" w:val="left"/>
        </w:tabs>
        <w:numPr>
          <w:ilvl w:val="0"/>
          <w:numId w:val="35"/>
        </w:numPr>
        <w:rPr>
          <w:rFonts w:ascii="Arial" w:cs="Arial" w:eastAsia="Arial" w:hAnsi="Arial"/>
          <w:sz w:val="20"/>
          <w:szCs w:val="20"/>
          <w:color w:val="0070C0"/>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32" w:lineRule="exact"/>
        <w:rPr>
          <w:rFonts w:ascii="Arial" w:cs="Arial" w:eastAsia="Arial" w:hAnsi="Arial"/>
          <w:sz w:val="20"/>
          <w:szCs w:val="20"/>
          <w:color w:val="0070C0"/>
        </w:rPr>
      </w:pPr>
    </w:p>
    <w:p>
      <w:pPr>
        <w:ind w:left="420" w:right="280" w:hanging="331"/>
        <w:spacing w:after="0" w:line="249" w:lineRule="auto"/>
        <w:tabs>
          <w:tab w:leader="none" w:pos="370" w:val="left"/>
        </w:tabs>
        <w:numPr>
          <w:ilvl w:val="0"/>
          <w:numId w:val="35"/>
        </w:numPr>
        <w:rPr>
          <w:rFonts w:ascii="Arial" w:cs="Arial" w:eastAsia="Arial" w:hAnsi="Arial"/>
          <w:sz w:val="20"/>
          <w:szCs w:val="20"/>
          <w:color w:val="0070C0"/>
        </w:rPr>
      </w:pPr>
      <w:r>
        <w:rPr>
          <w:rFonts w:ascii="Arial" w:cs="Arial" w:eastAsia="Arial" w:hAnsi="Arial"/>
          <w:sz w:val="18"/>
          <w:szCs w:val="18"/>
          <w:color w:val="auto"/>
        </w:rPr>
        <w:t>(gains) losses on the disposal of assets, deferred income taxes, changes in the fair value of contingent payments associated with our acquisitions of businesses and acquired IPR&amp;D.</w:t>
      </w:r>
    </w:p>
    <w:p>
      <w:pPr>
        <w:spacing w:after="0" w:line="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six months ended June 30, 2023, compared to the same period in 2022, the increase in net cash flow provided by operating activities was primarily due to the timing of customer payments of accounts receivable and inventory levels, partially offset by the change in our accounts payable and accrued expense balances in the second quarter of 2023.</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2023, compared to the same period in 2022, the decrease in net cash flow provided by investing activities was primarily due to higher net purchases of marketable securities in the current period, driven by the investment of our increased cash flow from operations. The current year effect of the increased purchases of marketable securities was partially offset by the receipt of</w:t>
      </w:r>
    </w:p>
    <w:p>
      <w:pPr>
        <w:ind w:right="60"/>
        <w:spacing w:after="0" w:line="261" w:lineRule="auto"/>
        <w:rPr>
          <w:sz w:val="20"/>
          <w:szCs w:val="20"/>
          <w:color w:val="auto"/>
        </w:rPr>
      </w:pPr>
      <w:r>
        <w:rPr>
          <w:rFonts w:ascii="Arial" w:cs="Arial" w:eastAsia="Arial" w:hAnsi="Arial"/>
          <w:sz w:val="18"/>
          <w:szCs w:val="18"/>
          <w:color w:val="auto"/>
        </w:rPr>
        <w:t>$812.5 million from Samsung BioLogics during the second quarter of 2023 related to the sale of Samsung Bioepis, of which $788.1 million is reflected within investing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2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For the six months ended June 30, 2023, compared to the same period in 2022, the decrease in net cash flow used in financing activities was primarily due to no share repurchases in 2023, partially offset by an increase in payments for payroll tax withholdings related to our equity awards.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0070C0"/>
        </w:rPr>
        <w:t>CAPITAL RESOURCES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0070C0"/>
        </w:rPr>
        <w:t>DEBT AND CREDIT FACILITIES</w:t>
      </w:r>
    </w:p>
    <w:p>
      <w:pPr>
        <w:spacing w:after="0" w:line="10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Our long-term obligations primarily consist of long -term debt with final maturity dates ranging between 2025 and 2051. As of June 30, 2023, our outstanding balance related to long-term debt was $6,284.6 million.</w:t>
      </w:r>
    </w:p>
    <w:p>
      <w:pPr>
        <w:spacing w:after="0" w:line="6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maintain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June 30, 2023 and December 31, 2022, we had no outstanding borrowings and were in compliance with all covenants under this facility.</w:t>
      </w:r>
    </w:p>
    <w:p>
      <w:pPr>
        <w:spacing w:after="0" w:line="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For a summary of the fair and carrying values of our outstanding borrowings as of June 30, 2023 and December 31, 2022,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 Fair Value Measurements, </w:t>
      </w:r>
      <w:r>
        <w:rPr>
          <w:rFonts w:ascii="Arial" w:cs="Arial" w:eastAsia="Arial" w:hAnsi="Arial"/>
          <w:sz w:val="18"/>
          <w:szCs w:val="18"/>
          <w:color w:val="auto"/>
        </w:rPr>
        <w:t>to our condensed consolidated financial statements included in this report.</w:t>
      </w:r>
    </w:p>
    <w:p>
      <w:pPr>
        <w:spacing w:after="0" w:line="54"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color w:val="auto"/>
        </w:rPr>
        <w:t xml:space="preserve">For additional information on our Senior Notes and credit facility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our 2022 Form 10-K.</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SHARE REPURCHASE PROGRAMS</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2.4 million shares of our common stock at a cost of approximately $500.0 million during the three and six months ended June 30, 2022. There were no share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repurchases of our common stock during the three and six months ended June 30, 2023. Approximately $2.1 billion remained available under our 2020 Share Repurchase Program as of June 30, 2023.</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0070C0"/>
        </w:rPr>
        <w:t>CAPITAL EXPENDITURES</w:t>
      </w:r>
    </w:p>
    <w:p>
      <w:pPr>
        <w:spacing w:after="0" w:line="10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the fourth quarter of 2021 we began construction of a new gene therapy manufacturing facility in RTP, North Carolina to support our gene therapy pipeline across multiple therapeutic areas. The new manufacturing facility will be approximately 197,000 square feet with an estimated total investment of approximately $195.0 million. As we continue to advance our research and development prioritization efforts, which includes refocusing our investment in gene therapy, we are evaluating several alternative uses for this facility.</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CONTRACTUAL OBLIGATIONS AND OFF-BALANCE SHEET ARRANGEMENTS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CONTRACTUAL OBLIGATIONS</w:t>
      </w:r>
    </w:p>
    <w:p>
      <w:pPr>
        <w:spacing w:after="0" w:line="108"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long-term debt obligations and defined benefit and other purchase obligations, excluding amounts related to uncertain tax positions, funding commitments, contingent development, regulatory and commercial milestone payments and contingent payments, as described below.</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In addition, certain of our collaboration and licensing arrangements include royalty payment obligations. For additional information on our royalty payments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our 2022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contractual obligations since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CONTINGENT DEVELOPMENT, REGULATORY AND COMMERCIAL MILESTONE PAYMENTS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our development plans as of June 30, 2023, we could trigger potential future milestone payments to third parties of up to approximately $7.2 billion, including approximately $1.4 billion in development milestones, approximately $0.5 billion in regulatory milestones and approximately $5.3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June 30, 2023,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certain clinical and commercial milestones are met, we may pay up to approximately $242.2 million in milestones in 2023 under our current agreements. This includes milestones totaling $225.0 million due to Sage upon the first commercial sale of zuranolone, for the potential treatment of MDD and PPD, in the U.S.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OTHER FUNDING COMMITMENTS</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 of June 30, 2023, we have several ongoing clinical studies in various clinical trial stages. Our most significant clinical trial expenditures are to CROs. The contracts with CROs are generally cancellable, with notice, at our option. We recorded accrued expense of approximately $25.6 million in our condensed consolidated balance sheets for expenditures incurred by CROs as of June 30, 2023. We have approximately $839.8 million in cancellable future commitments based on existing CRO contracts as of June 30, 2023.</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TAX RELATED OBLIGATIONS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June 30, 2023, we have approximately $152.7 million of liabilities associated with uncertain tax positions.</w:t>
      </w:r>
    </w:p>
    <w:p>
      <w:pPr>
        <w:spacing w:after="0" w:line="7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As of June 30, 2023 and December 31, 2022, we have accrued income tax liabilities of approximately $419.3 million and $558.0 million, respectively, under the Transition Toll Tax. Of the amounts accrued as of June 30, 2023, approximately $185.2 million is expected to be paid within one year. The Transition Toll Tax is being paid in installments over an eight-year period, which started in 2018, and will not accrue interest.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1" w:name="page72"/>
    <w:bookmarkEnd w:id="71"/>
    <w:p>
      <w:pPr>
        <w:spacing w:after="0"/>
        <w:rPr>
          <w:sz w:val="20"/>
          <w:szCs w:val="20"/>
          <w:color w:val="auto"/>
        </w:rPr>
      </w:pPr>
      <w:r>
        <w:rPr>
          <w:rFonts w:ascii="Arial" w:cs="Arial" w:eastAsia="Arial" w:hAnsi="Arial"/>
          <w:sz w:val="25"/>
          <w:szCs w:val="25"/>
          <w:b w:val="1"/>
          <w:bCs w:val="1"/>
          <w:color w:val="0070C0"/>
        </w:rPr>
        <w:t>NEW ACCOUNTING STANDARDS</w:t>
      </w:r>
    </w:p>
    <w:p>
      <w:pPr>
        <w:spacing w:after="0" w:line="129"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our condensed consolidated financial statements included in this report.</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CRITICAL ACCOUNTING ESTIMATES</w:t>
      </w:r>
    </w:p>
    <w:p>
      <w:pPr>
        <w:spacing w:after="0" w:line="14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preparation of our condensed consolidated financial statements, which have been prepared in accordance with accounting principles generally accepted in the U.S.,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7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For a discussion of our critical accounting estimates, please read </w:t>
      </w:r>
      <w:r>
        <w:rPr>
          <w:rFonts w:ascii="Arial" w:cs="Arial" w:eastAsia="Arial" w:hAnsi="Arial"/>
          <w:sz w:val="18"/>
          <w:szCs w:val="18"/>
          <w:i w:val="1"/>
          <w:iCs w:val="1"/>
          <w:color w:val="auto"/>
        </w:rPr>
        <w:t>Part II, Item 7.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in our 2022 Form 10-K. There have been no material changes to our critical accounting estimates since</w:t>
      </w:r>
      <w:r>
        <w:rPr>
          <w:rFonts w:ascii="Arial" w:cs="Arial" w:eastAsia="Arial" w:hAnsi="Arial"/>
          <w:sz w:val="18"/>
          <w:szCs w:val="18"/>
          <w:i w:val="1"/>
          <w:iCs w:val="1"/>
          <w:color w:val="auto"/>
        </w:rPr>
        <w:t xml:space="preserve"> </w:t>
      </w:r>
      <w:r>
        <w:rPr>
          <w:rFonts w:ascii="Arial" w:cs="Arial" w:eastAsia="Arial" w:hAnsi="Arial"/>
          <w:sz w:val="18"/>
          <w:szCs w:val="18"/>
          <w:color w:val="auto"/>
        </w:rPr>
        <w:t>our 2022 Form 10-K.</w:t>
      </w:r>
    </w:p>
    <w:p>
      <w:pPr>
        <w:spacing w:after="0" w:line="164"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3.</w:t>
      </w:r>
      <w:r>
        <w:rPr>
          <w:sz w:val="20"/>
          <w:szCs w:val="20"/>
          <w:color w:val="auto"/>
        </w:rPr>
        <w:tab/>
      </w:r>
      <w:r>
        <w:rPr>
          <w:rFonts w:ascii="Arial" w:cs="Arial" w:eastAsia="Arial" w:hAnsi="Arial"/>
          <w:sz w:val="24"/>
          <w:szCs w:val="24"/>
          <w:b w:val="1"/>
          <w:bCs w:val="1"/>
          <w:color w:val="auto"/>
        </w:rPr>
        <w:t>QUANTITATIVE AND QUALITATIVE DISCLOSURES ABOUT MARKET RISK</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COVID-19 pandemic and the conflict in Ukraine. We manage the impact of foreign currency exchange rates and interest rates through various financial instruments, including derivative instruments such as foreign currency forward contracts,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0070C0"/>
        </w:rPr>
        <w:t>FOREIGN CURRENCY EXCHANGE RISK</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Swiss franc and Japanese yen.</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spacing w:after="0" w:line="8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 and changes in fair value caused by volatility in foreign currency exchange rates.</w:t>
      </w:r>
    </w:p>
    <w:p>
      <w:pPr>
        <w:spacing w:after="0" w:line="6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June 30, 2023, and is not expected to have a material impact on our results of operations or financial position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OPERATING EXPENSE HEDGING PROGRAM</w:t>
      </w:r>
    </w:p>
    <w:p>
      <w:pPr>
        <w:spacing w:after="0" w:line="13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18 months. We do not engage in currency speculation. For a more detailed disclosure of our revenue and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color w:val="auto"/>
        </w:rPr>
        <w:t xml:space="preserve">operating expense hedging program, please read </w:t>
      </w:r>
      <w:r>
        <w:rPr>
          <w:rFonts w:ascii="Arial" w:cs="Arial" w:eastAsia="Arial" w:hAnsi="Arial"/>
          <w:sz w:val="18"/>
          <w:szCs w:val="18"/>
          <w:i w:val="1"/>
          <w:iCs w:val="1"/>
          <w:color w:val="auto"/>
        </w:rPr>
        <w:t>Note 9, Derivative Instruments,</w:t>
      </w:r>
      <w:r>
        <w:rPr>
          <w:rFonts w:ascii="Arial" w:cs="Arial" w:eastAsia="Arial" w:hAnsi="Arial"/>
          <w:sz w:val="18"/>
          <w:szCs w:val="18"/>
          <w:color w:val="auto"/>
        </w:rPr>
        <w:t xml:space="preserve"> to our condensed consolidated financial statements included in this report.</w:t>
      </w:r>
    </w:p>
    <w:p>
      <w:pPr>
        <w:spacing w:after="0" w:line="6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condensed consolidated statements of cash flow.</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BALANCE SHEET RISK MANAGEMENT HEDGING PROGRAM</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condensed consolidated statements of cash flow.</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June 30, 2023 and December 31, 2022, a hypothetical adverse 10.0% movement in foreign currency exchange rates compared to the U.S. dollar across all maturities would result in a hypothetical decrease in the fair value of forward contracts of approximately $267.6 million and $293.7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 quantitative information about market risk is limited because it does not take into account all foreign currency operating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573BA"/>
        </w:rPr>
        <w:t>INTEREST RATE RISK</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investment portfolio includes cash equivalents and short-term investments.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June 30, 2023 and December 31, 2022, we estimate that such hypothetical 100 basis point adverse movement would result in a hypothetical loss in fair value of approximately $24.5 million and $11.7 million, respectively, to our interest rate sensitive instruments. The fair values of our investments were determined using third-party pricing services or other market observable data.</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CREDIT RISK</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8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operate in certain countries where weakness in economic conditions, including the effects of the COVID-19 pandemic and the conflict in Ukraine,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allowance for doubtful accounts was adequate as of June 30, 2023 and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EQUITY PRICE RISK</w:t>
      </w:r>
    </w:p>
    <w:p>
      <w:pPr>
        <w:spacing w:after="0" w:line="11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Our strategic investment portfolio includes investments in equity securities of certain biotechnology companies. While we are holding such securities, we are subject to equity price risk, and this may increase the volatility of our income in future periods due to changes in the fair value of equity investments. We may sell such equity securities based on our business considerations, which may include limiting our price risk.</w:t>
      </w:r>
    </w:p>
    <w:p>
      <w:pPr>
        <w:spacing w:after="0" w:line="76"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Changes in the fair value of these equity securities are impacted by the volatility of the stock market and changes in general economic conditions, among other factors. The potential change in fair value for equity price sensitive</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instruments has been assessed on a hypothetical 10.0% adverse movement. As of June 30, 2023 and December 31, 2022, a hypothetical adverse 10.0% movement would result in a hypothetical decrease in fair value of approximately $71.7 million and $79.1 million, respectively.</w:t>
      </w:r>
    </w:p>
    <w:p>
      <w:pPr>
        <w:spacing w:after="0" w:line="146"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auto"/>
        </w:rPr>
        <w:t>ITEM 4.</w:t>
        <w:tab/>
        <w:t>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DISCLOSURE CONTROLS AND PROCEDURES AND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CONTROLS AND PROCEDURES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June 30, 2023. Based upon that evaluation, our principal executive officer and principal financial officer concluded that, as of the end of the period covered by this report, our disclosure controls and procedures are effective in ensuring that:</w:t>
      </w:r>
    </w:p>
    <w:p>
      <w:pPr>
        <w:spacing w:after="0" w:line="84" w:lineRule="exact"/>
        <w:rPr>
          <w:sz w:val="20"/>
          <w:szCs w:val="20"/>
          <w:color w:val="auto"/>
        </w:rPr>
      </w:pPr>
    </w:p>
    <w:p>
      <w:pPr>
        <w:ind w:left="740" w:hanging="246"/>
        <w:spacing w:after="0" w:line="263" w:lineRule="auto"/>
        <w:tabs>
          <w:tab w:leader="none" w:pos="7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75" w:lineRule="exact"/>
        <w:rPr>
          <w:rFonts w:ascii="Arial" w:cs="Arial" w:eastAsia="Arial" w:hAnsi="Arial"/>
          <w:sz w:val="18"/>
          <w:szCs w:val="18"/>
          <w:color w:val="auto"/>
        </w:rPr>
      </w:pPr>
    </w:p>
    <w:p>
      <w:pPr>
        <w:ind w:left="740" w:right="420" w:hanging="246"/>
        <w:spacing w:after="0" w:line="275" w:lineRule="auto"/>
        <w:tabs>
          <w:tab w:leader="none" w:pos="7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6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3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PART II OTHER INFORMATION</w:t>
      </w:r>
    </w:p>
    <w:p>
      <w:pPr>
        <w:spacing w:after="0" w:line="249"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1.</w:t>
        <w:tab/>
        <w:t>LEGAL PROCEEDINGS</w:t>
      </w:r>
    </w:p>
    <w:p>
      <w:pPr>
        <w:spacing w:after="0" w:line="129"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 xml:space="preserve">For a discussion of legal proceedings as of June 30, 2023, please read </w:t>
      </w:r>
      <w:r>
        <w:rPr>
          <w:rFonts w:ascii="Arial" w:cs="Arial" w:eastAsia="Arial" w:hAnsi="Arial"/>
          <w:sz w:val="18"/>
          <w:szCs w:val="18"/>
          <w:i w:val="1"/>
          <w:iCs w:val="1"/>
          <w:color w:val="auto"/>
        </w:rPr>
        <w:t>Note 18, Litigation,</w:t>
      </w:r>
      <w:r>
        <w:rPr>
          <w:rFonts w:ascii="Arial" w:cs="Arial" w:eastAsia="Arial" w:hAnsi="Arial"/>
          <w:sz w:val="18"/>
          <w:szCs w:val="18"/>
          <w:color w:val="auto"/>
        </w:rPr>
        <w:t xml:space="preserve"> to our condensed consolidated financial statements included in this report, which is incorporated into this item by reference.</w:t>
      </w:r>
    </w:p>
    <w:p>
      <w:pPr>
        <w:spacing w:after="0" w:line="42"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auto"/>
        </w:rPr>
        <w:t>ITEM 1A.</w:t>
      </w:r>
      <w:r>
        <w:rPr>
          <w:sz w:val="20"/>
          <w:szCs w:val="20"/>
          <w:color w:val="auto"/>
        </w:rPr>
        <w:tab/>
      </w:r>
      <w:r>
        <w:rPr>
          <w:rFonts w:ascii="Arial" w:cs="Arial" w:eastAsia="Arial" w:hAnsi="Arial"/>
          <w:sz w:val="24"/>
          <w:szCs w:val="24"/>
          <w:b w:val="1"/>
          <w:bCs w:val="1"/>
          <w:color w:val="auto"/>
        </w:rPr>
        <w:t>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27"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could cause a decline in our stock price:</w:t>
      </w:r>
    </w:p>
    <w:p>
      <w:pPr>
        <w:spacing w:after="0" w:line="82" w:lineRule="exact"/>
        <w:rPr>
          <w:sz w:val="20"/>
          <w:szCs w:val="20"/>
          <w:color w:val="auto"/>
        </w:rPr>
      </w:pPr>
    </w:p>
    <w:p>
      <w:pPr>
        <w:ind w:left="500" w:right="520" w:hanging="330"/>
        <w:spacing w:after="0" w:line="306" w:lineRule="auto"/>
        <w:tabs>
          <w:tab w:leader="none" w:pos="4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introduction, greater acceptance or more favorable reimbursement of competing products, including new originator therapies, generics, prodrugs and biosimilars of existing products and products approved under abbreviated regulatory pathways;</w:t>
      </w:r>
    </w:p>
    <w:p>
      <w:pPr>
        <w:spacing w:after="0" w:line="41" w:lineRule="exact"/>
        <w:rPr>
          <w:rFonts w:ascii="Arial" w:cs="Arial" w:eastAsia="Arial" w:hAnsi="Arial"/>
          <w:sz w:val="17"/>
          <w:szCs w:val="17"/>
          <w:color w:val="auto"/>
        </w:rPr>
      </w:pPr>
    </w:p>
    <w:p>
      <w:pPr>
        <w:ind w:left="440" w:hanging="270"/>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117" w:lineRule="exact"/>
        <w:rPr>
          <w:rFonts w:ascii="Arial" w:cs="Arial" w:eastAsia="Arial" w:hAnsi="Arial"/>
          <w:sz w:val="18"/>
          <w:szCs w:val="18"/>
          <w:color w:val="auto"/>
        </w:rPr>
      </w:pPr>
    </w:p>
    <w:p>
      <w:pPr>
        <w:ind w:left="500" w:hanging="330"/>
        <w:spacing w:after="0" w:line="263"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resulting from governmental or regulatory requirements; increased competition, including from generic or biosimilar versions of our products; or changes in, or implementation of, reimbursement policies and practices of payors and other third-parties;</w:t>
      </w:r>
    </w:p>
    <w:p>
      <w:pPr>
        <w:spacing w:after="0" w:line="75" w:lineRule="exact"/>
        <w:rPr>
          <w:rFonts w:ascii="Arial" w:cs="Arial" w:eastAsia="Arial" w:hAnsi="Arial"/>
          <w:sz w:val="18"/>
          <w:szCs w:val="18"/>
          <w:color w:val="auto"/>
        </w:rPr>
      </w:pPr>
    </w:p>
    <w:p>
      <w:pPr>
        <w:ind w:left="440" w:hanging="270"/>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legal, administrative, regulatory or legislative developments;</w:t>
      </w:r>
    </w:p>
    <w:p>
      <w:pPr>
        <w:spacing w:after="0" w:line="117" w:lineRule="exact"/>
        <w:rPr>
          <w:rFonts w:ascii="Arial" w:cs="Arial" w:eastAsia="Arial" w:hAnsi="Arial"/>
          <w:sz w:val="18"/>
          <w:szCs w:val="18"/>
          <w:color w:val="auto"/>
        </w:rPr>
      </w:pPr>
    </w:p>
    <w:p>
      <w:pPr>
        <w:ind w:left="500" w:right="20" w:hanging="330"/>
        <w:spacing w:after="0" w:line="275"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 or</w:t>
      </w:r>
    </w:p>
    <w:p>
      <w:pPr>
        <w:spacing w:after="0" w:line="65" w:lineRule="exact"/>
        <w:rPr>
          <w:rFonts w:ascii="Arial" w:cs="Arial" w:eastAsia="Arial" w:hAnsi="Arial"/>
          <w:sz w:val="18"/>
          <w:szCs w:val="18"/>
          <w:color w:val="auto"/>
        </w:rPr>
      </w:pPr>
    </w:p>
    <w:p>
      <w:pPr>
        <w:ind w:left="500" w:right="20" w:hanging="330"/>
        <w:spacing w:after="0" w:line="275"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or reluctance of patients to receive a diagnosis, prescription or administration of our products or a decision to prescribe and administer competitive therapies as a direct or indirect result of the COVID-19 pandemic.</w:t>
      </w:r>
    </w:p>
    <w:p>
      <w:pPr>
        <w:spacing w:after="0" w:line="5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LEQEMBI is in the early stages of commercial launch in the U.S. In addition to risks associated with new product launches and the other factors described in these Risk Factors, Biogen’s and Eisai’s ability to successfully commercialize LEQEMBI may be adversely affected due to:</w:t>
      </w:r>
    </w:p>
    <w:p>
      <w:pPr>
        <w:spacing w:after="0" w:line="76" w:lineRule="exact"/>
        <w:rPr>
          <w:sz w:val="20"/>
          <w:szCs w:val="20"/>
          <w:color w:val="auto"/>
        </w:rPr>
      </w:pPr>
    </w:p>
    <w:p>
      <w:pPr>
        <w:ind w:left="440" w:hanging="270"/>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Eisai’s ability to obtain and maintain adequate reimbursement for LEQEMBI;</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Eisai's and Biogen’s commercial strategy for marketing LEQEMBI;</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such as participation in a registry and the use of imaging or other diagnostics;</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of other new products for the same or similar indications; and</w:t>
      </w:r>
    </w:p>
    <w:p>
      <w:pPr>
        <w:spacing w:after="0" w:line="103" w:lineRule="exact"/>
        <w:rPr>
          <w:rFonts w:ascii="Arial" w:cs="Arial" w:eastAsia="Arial" w:hAnsi="Arial"/>
          <w:sz w:val="18"/>
          <w:szCs w:val="18"/>
          <w:color w:val="auto"/>
        </w:rPr>
      </w:pPr>
    </w:p>
    <w:p>
      <w:pPr>
        <w:ind w:left="500" w:hanging="330"/>
        <w:spacing w:after="0" w:line="260" w:lineRule="auto"/>
        <w:tabs>
          <w:tab w:leader="none" w:pos="4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Eisai’s and Biogen’s ability to maintain a positive reputation among patients, healthcare providers and others in the Alzheimer’s disease community, which may be impacted by pricing and reimbursement decisions relating to LEQEMBI, which are made by Eisai.</w:t>
      </w:r>
    </w:p>
    <w:p>
      <w:pPr>
        <w:spacing w:after="0" w:line="68"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3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Our long -term success will depend upon the successful development of new products from our research and development activities or our licenses or acquisitions from third-parties, as well as additional indications for our existing products.</w:t>
      </w:r>
    </w:p>
    <w:p>
      <w:pPr>
        <w:spacing w:after="0" w:line="6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Product development is very expensive and involves a high degree of uncertainty and risk and may not be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antisense oligonucleotide platform and gene therapy, may present</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additional challenges and risks, including obtaining approval from regulatory authorities that have limited experience with the development of such therapies.</w:t>
      </w:r>
    </w:p>
    <w:p>
      <w:pPr>
        <w:spacing w:after="0" w:line="7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an investigational therapy,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Success in preclinical work or early-stage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or delay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Even if we could successfully develop new products or indications, we may make a strategic decision to discontinue development of a product candidate or indication if, for example, we believe commercialization will be difficult relative to the standard of care or we prefer to pursue other opportunities in our pipeline.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Sales of new products or products with additional indications may not meet investor expectations.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 For instance, demand and price for TECFIDERA declined significantly as a result of multiple TECFIDERA generic entrants entering the U.S. market in 2020. In addition, in some markets, when a generic or biosimilar version of one of our products is commercialized, it may be automatically substituted for our product and significantly reduce our revenue in a short period of time.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maintain and grow our business may also be adversely affected due to a number of factors, including:</w:t>
      </w:r>
    </w:p>
    <w:p>
      <w:pPr>
        <w:spacing w:after="0" w:line="117" w:lineRule="exact"/>
        <w:rPr>
          <w:sz w:val="20"/>
          <w:szCs w:val="20"/>
          <w:color w:val="auto"/>
        </w:rPr>
      </w:pPr>
    </w:p>
    <w:p>
      <w:pPr>
        <w:ind w:left="500" w:right="900" w:hanging="330"/>
        <w:spacing w:after="0" w:line="275" w:lineRule="auto"/>
        <w:tabs>
          <w:tab w:leader="none" w:pos="4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introduction of other products, including products that may be more efficacious, safer, less expensive or more convenient alternatives to our products, including our own products and products of our collaborators;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117" w:lineRule="exact"/>
        <w:rPr>
          <w:rFonts w:ascii="Arial" w:cs="Arial" w:eastAsia="Arial" w:hAnsi="Arial"/>
          <w:sz w:val="18"/>
          <w:szCs w:val="18"/>
          <w:color w:val="auto"/>
        </w:rPr>
      </w:pPr>
    </w:p>
    <w:p>
      <w:pPr>
        <w:ind w:left="500" w:right="120" w:hanging="330"/>
        <w:spacing w:after="0" w:line="275" w:lineRule="auto"/>
        <w:tabs>
          <w:tab w:leader="none" w:pos="4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identify, attract and maintain new and current patients to our therapies;</w:t>
      </w:r>
    </w:p>
    <w:p>
      <w:pPr>
        <w:spacing w:after="0" w:line="65" w:lineRule="exact"/>
        <w:rPr>
          <w:rFonts w:ascii="Arial" w:cs="Arial" w:eastAsia="Arial" w:hAnsi="Arial"/>
          <w:sz w:val="18"/>
          <w:szCs w:val="18"/>
          <w:color w:val="auto"/>
        </w:rPr>
      </w:pPr>
    </w:p>
    <w:p>
      <w:pPr>
        <w:ind w:left="500" w:right="300" w:hanging="330"/>
        <w:spacing w:after="0" w:line="275" w:lineRule="auto"/>
        <w:tabs>
          <w:tab w:leader="none" w:pos="4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reluctance of physicians to prescribe, and patients to use, our products without additional data on the efficacy and safety of such products;</w:t>
      </w:r>
    </w:p>
    <w:p>
      <w:pPr>
        <w:spacing w:after="0" w:line="65" w:lineRule="exact"/>
        <w:rPr>
          <w:rFonts w:ascii="Arial" w:cs="Arial" w:eastAsia="Arial" w:hAnsi="Arial"/>
          <w:sz w:val="18"/>
          <w:szCs w:val="18"/>
          <w:color w:val="auto"/>
        </w:rPr>
      </w:pPr>
    </w:p>
    <w:p>
      <w:pPr>
        <w:jc w:val="both"/>
        <w:ind w:left="500" w:right="80" w:hanging="330"/>
        <w:spacing w:after="0" w:line="285" w:lineRule="auto"/>
        <w:tabs>
          <w:tab w:leader="none" w:pos="4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spacing w:after="0" w:line="59" w:lineRule="exact"/>
        <w:rPr>
          <w:rFonts w:ascii="Arial" w:cs="Arial" w:eastAsia="Arial" w:hAnsi="Arial"/>
          <w:sz w:val="17"/>
          <w:szCs w:val="17"/>
          <w:color w:val="auto"/>
        </w:rPr>
      </w:pPr>
    </w:p>
    <w:p>
      <w:pPr>
        <w:ind w:left="500" w:right="300" w:hanging="330"/>
        <w:spacing w:after="0" w:line="275" w:lineRule="auto"/>
        <w:tabs>
          <w:tab w:leader="none" w:pos="4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obtain appropriate pricing and adequate reimbursement for our products compared to our competitors in key international markets; or</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107" w:lineRule="exact"/>
        <w:rPr>
          <w:sz w:val="20"/>
          <w:szCs w:val="20"/>
          <w:color w:val="auto"/>
        </w:rPr>
      </w:pPr>
    </w:p>
    <w:p>
      <w:pPr>
        <w:ind w:left="80" w:right="180"/>
        <w:spacing w:after="0" w:line="301"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successful execution of our strategic and growth initiatives may depend upon internal development projects, commercial initiatives and external opportunities, which may include the acquisition and in-licensing of products, technologies, companies, the entry into strategic alliances and collaborations or our Fit for Growth program.</w:t>
      </w:r>
    </w:p>
    <w:p>
      <w:pPr>
        <w:spacing w:after="0" w:line="7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spacing w:after="0" w:line="84"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for their acquisition is highly competitive. As such, we are not certain that we will be able to identify suitable candidates for acquisition or if we will be able to reach agreement.</w:t>
      </w:r>
    </w:p>
    <w:p>
      <w:pPr>
        <w:spacing w:after="0" w:line="7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disputes or litigation. Furthermore, we may not be able to achieve the full strategic and financial benefits expected to result from transactions, or the benefits may be delayed or not occur at all. We may also face additional costs or liabilities in completed transactions that were not contemplated prior to completion.</w:t>
      </w:r>
    </w:p>
    <w:p>
      <w:pPr>
        <w:spacing w:after="0" w:line="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w:t>
      </w:r>
    </w:p>
    <w:p>
      <w:pPr>
        <w:spacing w:after="0" w:line="6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face risks associated with our Fit for Growth program that may impair our ability to achieve anticipated savings and operational efficiencies or that may otherwise harm our business. These risks include delays in implementation of cost optimization actions, loss of workforce capabilities, higher than anticipated separation expenses, litigation and the failure to meet financial and operational targets. In addition, the calculation of the anticipated cost savings and other benefits resulting from our Fit for Growth program are subject to many estimates and assumptions. These estimates and assumptions are subject to significant business, economic, competitive and other uncertainties and contingencies, many of which are beyond our control. if these estimates and assumptions are incorrect or if we experience delays or unforeseen events, our business and financial results could be adversely affected.</w:t>
      </w:r>
    </w:p>
    <w:p>
      <w:pPr>
        <w:spacing w:after="0" w:line="6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7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Sales of our products depend, to a significant extent, on adequate coverage, pricing and reimbursement from third-party payors. When a new pharmaceutical product is approved, the availability of government and private reimbursement for that product, diagnosis of the condition it treats and the cost to administer it may be uncertain, as is the pricing and amount for which that product will be reimbursed.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117" w:lineRule="exact"/>
        <w:rPr>
          <w:sz w:val="20"/>
          <w:szCs w:val="20"/>
          <w:color w:val="auto"/>
        </w:rPr>
      </w:pPr>
    </w:p>
    <w:p>
      <w:pPr>
        <w:ind w:left="500" w:right="640" w:hanging="330"/>
        <w:spacing w:after="0" w:line="275" w:lineRule="auto"/>
        <w:tabs>
          <w:tab w:leader="none" w:pos="4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117" w:lineRule="exact"/>
        <w:rPr>
          <w:rFonts w:ascii="Arial" w:cs="Arial" w:eastAsia="Arial" w:hAnsi="Arial"/>
          <w:sz w:val="18"/>
          <w:szCs w:val="18"/>
          <w:color w:val="auto"/>
        </w:rPr>
      </w:pPr>
    </w:p>
    <w:p>
      <w:pPr>
        <w:ind w:left="500" w:right="400" w:hanging="330"/>
        <w:spacing w:after="0" w:line="263" w:lineRule="auto"/>
        <w:tabs>
          <w:tab w:leader="none" w:pos="4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w:t>
      </w:r>
    </w:p>
    <w:p>
      <w:pPr>
        <w:spacing w:after="0" w:line="75" w:lineRule="exact"/>
        <w:rPr>
          <w:rFonts w:ascii="Arial" w:cs="Arial" w:eastAsia="Arial" w:hAnsi="Arial"/>
          <w:sz w:val="18"/>
          <w:szCs w:val="18"/>
          <w:color w:val="auto"/>
        </w:rPr>
      </w:pPr>
    </w:p>
    <w:p>
      <w:pPr>
        <w:ind w:left="500" w:right="120" w:hanging="330"/>
        <w:spacing w:after="0" w:line="275" w:lineRule="auto"/>
        <w:tabs>
          <w:tab w:leader="none" w:pos="4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receive reimbursement for our products or our ability to receive comparable reimbursement to that of competing products; and</w:t>
      </w:r>
    </w:p>
    <w:p>
      <w:pPr>
        <w:spacing w:after="0" w:line="65" w:lineRule="exact"/>
        <w:rPr>
          <w:rFonts w:ascii="Arial" w:cs="Arial" w:eastAsia="Arial" w:hAnsi="Arial"/>
          <w:sz w:val="18"/>
          <w:szCs w:val="18"/>
          <w:color w:val="auto"/>
        </w:rPr>
      </w:pPr>
    </w:p>
    <w:p>
      <w:pPr>
        <w:ind w:left="500" w:right="20" w:hanging="330"/>
        <w:spacing w:after="0" w:line="263" w:lineRule="auto"/>
        <w:tabs>
          <w:tab w:leader="none" w:pos="4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7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Governments may use a variety of cost-containment measures to control the cost of products,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including price cuts, mandatory rebates, value-based pricing and reference pricing (i.e., referencing prices in other countries and using those reference prices to set a price). Drug prices are under significant scrutiny in the markets in which our products are prescribed; for example the IRA has certain provisions related to drug pricing. We expect drug pricing and other health care costs to continue to be subject to intense political and societal pressures on a global basis.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 acceptable prices in existing and potential new markets, which may limit market growth. This may create the opportunity for third-party cross-border trade or influence our decision to sell or not to sell a product, thus adversely affecting our geographic expansion plans and revenue. Additionally, and in part due to the impact of the COVID-19 pandemic, in certain jurisdictions governmental health agencies may adjust, retroactively and/or prospectively, reimbursement rates for our products.</w:t>
      </w:r>
    </w:p>
    <w:p>
      <w:pPr>
        <w:spacing w:after="0" w:line="88"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Competition from current and future competitors may negatively impact our ability to maintain pricing and our market share. New products marketed by our competitors could cause our revenue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spacing w:after="0" w:line="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8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w:t>
      </w:r>
    </w:p>
    <w:p>
      <w:pPr>
        <w:spacing w:after="0" w:line="68" w:lineRule="exact"/>
        <w:rPr>
          <w:sz w:val="20"/>
          <w:szCs w:val="20"/>
          <w:color w:val="auto"/>
        </w:rPr>
      </w:pPr>
    </w:p>
    <w:p>
      <w:pPr>
        <w:ind w:right="220"/>
        <w:spacing w:after="0" w:line="333" w:lineRule="auto"/>
        <w:rPr>
          <w:sz w:val="20"/>
          <w:szCs w:val="20"/>
          <w:color w:val="auto"/>
        </w:rPr>
      </w:pPr>
      <w:r>
        <w:rPr>
          <w:rFonts w:ascii="Arial" w:cs="Arial" w:eastAsia="Arial" w:hAnsi="Arial"/>
          <w:sz w:val="17"/>
          <w:szCs w:val="17"/>
          <w:b w:val="1"/>
          <w:bCs w:val="1"/>
          <w:i w:val="1"/>
          <w:iCs w:val="1"/>
          <w:color w:val="2573BA"/>
        </w:rPr>
        <w:t>We depend on relationships with collaborators and other third-parties for revenue, and for the development, regulatory approval, commercialization and marketing of certain of our products and product candidates, which are outside of our full control.</w:t>
      </w:r>
    </w:p>
    <w:p>
      <w:pPr>
        <w:spacing w:after="0" w:line="8"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third-parties. Reliance on third-parties subjects us to a number of risks, including:</w:t>
      </w:r>
    </w:p>
    <w:p>
      <w:pPr>
        <w:spacing w:after="0" w:line="82" w:lineRule="exact"/>
        <w:rPr>
          <w:sz w:val="20"/>
          <w:szCs w:val="20"/>
          <w:color w:val="auto"/>
        </w:rPr>
      </w:pPr>
    </w:p>
    <w:p>
      <w:pPr>
        <w:ind w:left="440" w:hanging="270"/>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or third-parties devote to our programs, products or product candidates;</w:t>
      </w:r>
    </w:p>
    <w:p>
      <w:pPr>
        <w:spacing w:after="0" w:line="117" w:lineRule="exact"/>
        <w:rPr>
          <w:rFonts w:ascii="Arial" w:cs="Arial" w:eastAsia="Arial" w:hAnsi="Arial"/>
          <w:sz w:val="18"/>
          <w:szCs w:val="18"/>
          <w:color w:val="auto"/>
        </w:rPr>
      </w:pPr>
    </w:p>
    <w:p>
      <w:pPr>
        <w:ind w:left="500" w:right="220" w:hanging="330"/>
        <w:spacing w:after="0" w:line="263"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third-parties fail to perform;</w:t>
      </w:r>
    </w:p>
    <w:p>
      <w:pPr>
        <w:spacing w:after="0" w:line="75" w:lineRule="exact"/>
        <w:rPr>
          <w:rFonts w:ascii="Arial" w:cs="Arial" w:eastAsia="Arial" w:hAnsi="Arial"/>
          <w:sz w:val="18"/>
          <w:szCs w:val="18"/>
          <w:color w:val="auto"/>
        </w:rPr>
      </w:pPr>
    </w:p>
    <w:p>
      <w:pPr>
        <w:ind w:left="500" w:right="320" w:hanging="330"/>
        <w:spacing w:after="0" w:line="285" w:lineRule="auto"/>
        <w:tabs>
          <w:tab w:leader="none" w:pos="4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interests of our collaborators or third-parties may not always be aligned with our interests, and such parties may not pursue regulatory approvals or market a product in the same manner or to the same extent that we would, which could adversely affect our revenue, or may adopt tax strategies that could have an adverse effect on our business, results of operations or financial condition;</w:t>
      </w:r>
    </w:p>
    <w:p>
      <w:pPr>
        <w:spacing w:after="0" w:line="59" w:lineRule="exact"/>
        <w:rPr>
          <w:rFonts w:ascii="Arial" w:cs="Arial" w:eastAsia="Arial" w:hAnsi="Arial"/>
          <w:sz w:val="17"/>
          <w:szCs w:val="17"/>
          <w:color w:val="auto"/>
        </w:rPr>
      </w:pPr>
    </w:p>
    <w:p>
      <w:pPr>
        <w:jc w:val="both"/>
        <w:ind w:left="500" w:right="480" w:hanging="330"/>
        <w:spacing w:after="0" w:line="263"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third-party relationships require the parties to cooperate, and failure to do so effectively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75" w:lineRule="exact"/>
        <w:rPr>
          <w:rFonts w:ascii="Arial" w:cs="Arial" w:eastAsia="Arial" w:hAnsi="Arial"/>
          <w:sz w:val="18"/>
          <w:szCs w:val="18"/>
          <w:color w:val="auto"/>
        </w:rPr>
      </w:pPr>
    </w:p>
    <w:p>
      <w:pPr>
        <w:ind w:left="500" w:right="180" w:hanging="330"/>
        <w:spacing w:after="0" w:line="285" w:lineRule="auto"/>
        <w:tabs>
          <w:tab w:leader="none" w:pos="4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failure on the part of our collaborators or third-parties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as well as involve us in possible legal proceedings;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right="220" w:hanging="330"/>
        <w:spacing w:after="0" w:line="263" w:lineRule="auto"/>
        <w:tabs>
          <w:tab w:leader="none" w:pos="4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or third-parties could subject us to civil or criminal investigations and monetary and injunctive penalties, impact the accuracy and timing of our financial reporting and/or adversely impact our ability to conduct business, our operating results and our reputation.</w:t>
      </w:r>
    </w:p>
    <w:p>
      <w:pPr>
        <w:spacing w:after="0" w:line="7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(including those contained in the IRA) and increasing pressure from social sources could significantly influence the manner in which our products are prescribed, purchased and reimbursed. For example, provisions of the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These changes have had and are expected to continue to have a significant impact on our business.</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There is increasing public attention on the costs of prescription drugs and we expect drug pricing and other health care costs to continue to be subject to intense political and societal pressures on a global basis. For example, two committees of the U.S. House of Representatives previously investigated the approval and price of ADUHELM. In addition, there have been (including elements of the IRA), and are expected to continue to be, legislative proposals to address prescription drug pricing. Some of these proposals could have significant effects on our business, including an executive order issued in September 2020 to test a “most favored nation” model for Part B and Part D drugs that tie reimbursement rates to international drug pricing metrics. These actions and the uncertainty about the future of the PPACA and healthcare laws may put downward pressure on pharmaceutical pricing and increase our regulatory burdens and operating costs.</w:t>
      </w:r>
    </w:p>
    <w:p>
      <w:pPr>
        <w:spacing w:after="0" w:line="8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There is also significant economic pressure on state budgets, including as a result of the COVID-19 pandemic,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84"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89"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in such activities, our business may be adversely affected.</w:t>
      </w:r>
    </w:p>
    <w:p>
      <w:pPr>
        <w:spacing w:after="0" w:line="3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development, manufacture and commercialization of biosimilar products require specialized expertise and are very costly and subject to complex regulation. Our success in commercializing biosimilars is subject to a number of risks, including:</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right="60" w:hanging="330"/>
        <w:spacing w:after="0" w:line="261"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Third-Parties. </w:t>
      </w:r>
      <w:r>
        <w:rPr>
          <w:rFonts w:ascii="Arial" w:cs="Arial" w:eastAsia="Arial" w:hAnsi="Arial"/>
          <w:sz w:val="18"/>
          <w:szCs w:val="18"/>
          <w:color w:val="auto"/>
        </w:rPr>
        <w:t>We are dependent, in part, on the efforts of collaboration partners and other third-parties over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limited or no control in the development and manufacturing of biosimilars products. If these third-parties fail to perform successfully, our biosimilar product development or commercialization of biosimilar products could be delayed, revenue from biosimilar products could decline and/or we may not realize the anticipated benefits of these arrangements;</w:t>
      </w:r>
    </w:p>
    <w:p>
      <w:pPr>
        <w:spacing w:after="0" w:line="71" w:lineRule="exact"/>
        <w:rPr>
          <w:rFonts w:ascii="Arial" w:cs="Arial" w:eastAsia="Arial" w:hAnsi="Arial"/>
          <w:sz w:val="18"/>
          <w:szCs w:val="18"/>
          <w:color w:val="auto"/>
        </w:rPr>
      </w:pPr>
    </w:p>
    <w:p>
      <w:pPr>
        <w:ind w:left="500" w:right="340" w:hanging="330"/>
        <w:spacing w:after="0" w:line="282"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53" w:lineRule="exact"/>
        <w:rPr>
          <w:rFonts w:ascii="Arial" w:cs="Arial" w:eastAsia="Arial" w:hAnsi="Arial"/>
          <w:sz w:val="18"/>
          <w:szCs w:val="18"/>
          <w:color w:val="auto"/>
        </w:rPr>
      </w:pPr>
    </w:p>
    <w:p>
      <w:pPr>
        <w:ind w:left="500" w:right="60" w:hanging="330"/>
        <w:spacing w:after="0" w:line="261"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Ability to Provide Adequate Supply. </w:t>
      </w:r>
      <w:r>
        <w:rPr>
          <w:rFonts w:ascii="Arial" w:cs="Arial" w:eastAsia="Arial" w:hAnsi="Arial"/>
          <w:sz w:val="18"/>
          <w:szCs w:val="18"/>
          <w:color w:val="auto"/>
        </w:rPr>
        <w:t>Manufacturing biosimilars is complex. If we encounter any manufacturing or supply chain difficulties</w:t>
      </w:r>
      <w:r>
        <w:rPr>
          <w:rFonts w:ascii="Arial" w:cs="Arial" w:eastAsia="Arial" w:hAnsi="Arial"/>
          <w:sz w:val="18"/>
          <w:szCs w:val="18"/>
          <w:i w:val="1"/>
          <w:iCs w:val="1"/>
          <w:color w:val="auto"/>
        </w:rPr>
        <w:t xml:space="preserve"> </w:t>
      </w:r>
      <w:r>
        <w:rPr>
          <w:rFonts w:ascii="Arial" w:cs="Arial" w:eastAsia="Arial" w:hAnsi="Arial"/>
          <w:sz w:val="18"/>
          <w:szCs w:val="18"/>
          <w:color w:val="auto"/>
        </w:rPr>
        <w:t>we may be unable to meet demand. We are dependent on a third-party for the manufacture of our biosimilar products and such third-party may not perform its obligations in a timely and cost-effective manner or in compliance with applicable regulations and may be unable or unwilling to increase production capacity commensurate with demand for our existing or future biosimilar products;</w:t>
      </w:r>
    </w:p>
    <w:p>
      <w:pPr>
        <w:spacing w:after="0" w:line="71" w:lineRule="exact"/>
        <w:rPr>
          <w:rFonts w:ascii="Arial" w:cs="Arial" w:eastAsia="Arial" w:hAnsi="Arial"/>
          <w:sz w:val="18"/>
          <w:szCs w:val="18"/>
          <w:color w:val="auto"/>
        </w:rPr>
      </w:pPr>
    </w:p>
    <w:p>
      <w:pPr>
        <w:ind w:left="500" w:right="340" w:hanging="330"/>
        <w:spacing w:after="0" w:line="266"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patent clearances, patent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injunctions or regulatory challenges, which could prevent the commercial launch of a product or delay it for many years or result in imposition of monetary damages, penalties or other civil sanctions and damage our reputation;</w:t>
      </w:r>
    </w:p>
    <w:p>
      <w:pPr>
        <w:spacing w:after="0" w:line="67" w:lineRule="exact"/>
        <w:rPr>
          <w:rFonts w:ascii="Arial" w:cs="Arial" w:eastAsia="Arial" w:hAnsi="Arial"/>
          <w:sz w:val="18"/>
          <w:szCs w:val="18"/>
          <w:color w:val="auto"/>
        </w:rPr>
      </w:pPr>
    </w:p>
    <w:p>
      <w:pPr>
        <w:ind w:left="500" w:right="40" w:hanging="330"/>
        <w:spacing w:after="0" w:line="266"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 physicians</w:t>
      </w:r>
      <w:r>
        <w:rPr>
          <w:rFonts w:ascii="Arial" w:cs="Arial" w:eastAsia="Arial" w:hAnsi="Arial"/>
          <w:sz w:val="18"/>
          <w:szCs w:val="18"/>
          <w:i w:val="1"/>
          <w:iCs w:val="1"/>
          <w:color w:val="auto"/>
        </w:rPr>
        <w:t xml:space="preserve"> </w:t>
      </w:r>
      <w:r>
        <w:rPr>
          <w:rFonts w:ascii="Arial" w:cs="Arial" w:eastAsia="Arial" w:hAnsi="Arial"/>
          <w:sz w:val="18"/>
          <w:szCs w:val="18"/>
          <w:color w:val="auto"/>
        </w:rPr>
        <w:t>and/or payors do not accept biosimilar products as safe and efficacious products offering a more competitive price or other benefit over existing therapies; and</w:t>
      </w:r>
    </w:p>
    <w:p>
      <w:pPr>
        <w:spacing w:after="0" w:line="67" w:lineRule="exact"/>
        <w:rPr>
          <w:rFonts w:ascii="Arial" w:cs="Arial" w:eastAsia="Arial" w:hAnsi="Arial"/>
          <w:sz w:val="18"/>
          <w:szCs w:val="18"/>
          <w:color w:val="auto"/>
        </w:rPr>
      </w:pPr>
    </w:p>
    <w:p>
      <w:pPr>
        <w:ind w:left="500" w:right="180" w:hanging="330"/>
        <w:spacing w:after="0" w:line="256"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 The decision to explore strategic options related to our biosimilars business could adversely effect our operations related to our biosimilars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104"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spacing w:after="0" w:line="1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third-parties. Legal proceedings, administrative challenges or other types of proceedings are and may in the future be necessary to determine the validity, scope or non-infringement of certain patent rights claimed by third-parties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a decline or volatility in our stock price.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04" w:lineRule="exact"/>
        <w:rPr>
          <w:sz w:val="20"/>
          <w:szCs w:val="20"/>
          <w:color w:val="auto"/>
        </w:rPr>
      </w:pPr>
    </w:p>
    <w:p>
      <w:pPr>
        <w:ind w:right="620"/>
        <w:spacing w:after="0" w:line="301" w:lineRule="auto"/>
        <w:rPr>
          <w:sz w:val="20"/>
          <w:szCs w:val="20"/>
          <w:color w:val="auto"/>
        </w:rPr>
      </w:pPr>
      <w:r>
        <w:rPr>
          <w:rFonts w:ascii="Arial" w:cs="Arial" w:eastAsia="Arial" w:hAnsi="Arial"/>
          <w:sz w:val="18"/>
          <w:szCs w:val="18"/>
          <w:b w:val="1"/>
          <w:bCs w:val="1"/>
          <w:i w:val="1"/>
          <w:iCs w:val="1"/>
          <w:color w:val="2573BA"/>
        </w:rPr>
        <w:t>Successful preclinical work or early stage clinical trials does not ensure success in later stage trials, regulatory approval or commercial viability of a product.</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or not approve adequate reimbursement. Regulatory authorities may also fail to approve the facilities or processes used to manufacture a product candidate, our dosing or delivery methods or companion devices. Regulatory authorities may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76" w:lineRule="exact"/>
        <w:rPr>
          <w:sz w:val="20"/>
          <w:szCs w:val="20"/>
          <w:color w:val="auto"/>
        </w:rPr>
      </w:pPr>
    </w:p>
    <w:p>
      <w:pPr>
        <w:ind w:right="600"/>
        <w:spacing w:after="0" w:line="301"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3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third-parties to carry out our clinical trial related activities and rely on such parties to accurately report their results. Our reliance on third-parties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spacing w:after="0" w:line="77"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w:t>
      </w:r>
    </w:p>
    <w:p>
      <w:pPr>
        <w:spacing w:after="0" w:line="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our stock price to experience periods of volatility.</w:t>
      </w:r>
    </w:p>
    <w:p>
      <w:pPr>
        <w:spacing w:after="0" w:line="82"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Restrictions on use or safety warnings that may be required to be included in the label of our products may significantly reduce expected revenue for those products and require significant expense and management time.</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 breakdown or breach of our technology systems could subject us to liability or interrupt the operation of our business.</w:t>
      </w:r>
    </w:p>
    <w:p>
      <w:pPr>
        <w:spacing w:after="0" w:line="11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increasingly dependent upon technology systems and data to operate our business. The COVID-19 pandemic has caused us to modify our business practices in ways that heighten this dependence, including changing the requirement that most of our office-based employees in the U.S. and our other key markets work from the office, with a number of our employees now working in hybrid or full-remote positions. As a result, we are increasingly dependent upon our technology systems to operate our business and our ability to effectively manage our business depends on the security, reliability and adequacy of our technology systems and data, which includes use of cloud technologies, including Software as a Service (SaaS), Platform as a Service (PaaS) and Infrastructure as a Service (IaaS). Breakdowns, invasions, corruptions, destructions and/or breaches of our technology systems or those of our business partners, including our cloud technologies, and/or unauthorized access to our data and information could subject us to liability, negatively impact our business operations, and/or require replacement of technology and/or ransom payments. Our technology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spacing w:after="0" w:line="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Cyber-attacks are increasing in their frequency, sophistication and intensity, and are becoming increasingly difficult to detect, when they impact vendors, customers or companies, including vendors, suppliers and other companies in our supply chain. They are often carried out by motivated, well-resourced, skilled and persistent actors, including nation states, organized crime groups, “hacktivists” and employees or contractors acting with careless or malicious intent. Geopolitical instability, including that related to Russia's invasion of Ukraine may increase cyber-attacks. Cyber-attacks include deployment of harmful malware and key loggers, ransomware, a denial-of-service attack, a malicious website,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posture. In addition, our increased use of cloud technologies heightens these and other operational risks, and any failure by cloud or other technology service providers to adequately safeguard their systems and prevent cyber-attacks could disrupt our operations and result in misappropriation, corruption or loss of confidential or propriety information.</w:t>
      </w:r>
    </w:p>
    <w:p>
      <w:pPr>
        <w:spacing w:after="0" w:line="14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While we continue to build and improve our systems and infrastructure, including our business continuity plans, there can be no assurance that our efforts will prevent breakdowns or breaches in our systems that could adversely affect our business and operations and/or result in the loss of critical or sensitive information, which could result in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Regulators are considering new cyber security regulations. For example, the SEC has proposed amendments to its disclosure rules regarding cyber security risk management, strategy, governance and incident reporting by public companies. These proposed regulations may impact the manner in which we operate.</w:t>
      </w:r>
    </w:p>
    <w:p>
      <w:pPr>
        <w:spacing w:after="0" w:line="13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Regulators are imposing new data privacy and security requirements, including new and greater monetary fines for privacy violations. For example, the E.U.’s General Data Protection Regulation established regulations regarding the handling of personal data, and provides an enforcement authority and imposes large penalties for noncompliance. New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98" w:lineRule="exact"/>
        <w:rPr>
          <w:sz w:val="20"/>
          <w:szCs w:val="20"/>
          <w:color w:val="auto"/>
        </w:rPr>
      </w:pPr>
    </w:p>
    <w:p>
      <w:pPr>
        <w:ind w:left="500" w:right="160" w:hanging="330"/>
        <w:spacing w:after="0" w:line="267" w:lineRule="auto"/>
        <w:tabs>
          <w:tab w:leader="none" w:pos="4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Risks of Reliance on Third-Parties and Single Source Providers. </w:t>
      </w:r>
      <w:r>
        <w:rPr>
          <w:rFonts w:ascii="Arial" w:cs="Arial" w:eastAsia="Arial" w:hAnsi="Arial"/>
          <w:sz w:val="18"/>
          <w:szCs w:val="18"/>
          <w:color w:val="auto"/>
        </w:rPr>
        <w:t>We rely on third-party suppliers and manufacturers for many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manufacturing process for our products and product candidates. In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
        <w:spacing w:after="0" w:line="251" w:lineRule="auto"/>
        <w:rPr>
          <w:sz w:val="20"/>
          <w:szCs w:val="20"/>
          <w:color w:val="auto"/>
        </w:rPr>
      </w:pPr>
      <w:r>
        <w:rPr>
          <w:rFonts w:ascii="Arial" w:cs="Arial" w:eastAsia="Arial" w:hAnsi="Arial"/>
          <w:sz w:val="17"/>
          <w:szCs w:val="17"/>
          <w:color w:val="auto"/>
        </w:rPr>
        <w:t>some cases, due to the unique manner in which our products are manufactured, we rely on single source providers of raw materials and manufacturing supplies. These third-parties are independent entities subject to their own unique operational and financial risks that are outside of our control. These third-parties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w:t>
      </w:r>
    </w:p>
    <w:p>
      <w:pPr>
        <w:ind w:left="500" w:right="560"/>
        <w:spacing w:after="0" w:line="235" w:lineRule="auto"/>
        <w:rPr>
          <w:sz w:val="20"/>
          <w:szCs w:val="20"/>
          <w:color w:val="auto"/>
        </w:rPr>
      </w:pPr>
      <w:r>
        <w:rPr>
          <w:rFonts w:ascii="Arial" w:cs="Arial" w:eastAsia="Arial" w:hAnsi="Arial"/>
          <w:sz w:val="18"/>
          <w:szCs w:val="18"/>
          <w:color w:val="auto"/>
        </w:rPr>
        <w:t>manufacturing methods. We cannot be certain that we could reach agreement with alternative providers or that the FDA or other regulatory authorities would approve our use of such alternatives.</w:t>
      </w:r>
    </w:p>
    <w:p>
      <w:pPr>
        <w:spacing w:after="0" w:line="76" w:lineRule="exact"/>
        <w:rPr>
          <w:sz w:val="20"/>
          <w:szCs w:val="20"/>
          <w:color w:val="auto"/>
        </w:rPr>
      </w:pPr>
    </w:p>
    <w:p>
      <w:pPr>
        <w:ind w:left="500" w:right="160" w:hanging="330"/>
        <w:spacing w:after="0" w:line="245" w:lineRule="auto"/>
        <w:tabs>
          <w:tab w:leader="none" w:pos="45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Global Bulk Supply Risks. </w:t>
      </w:r>
      <w:r>
        <w:rPr>
          <w:rFonts w:ascii="Arial" w:cs="Arial" w:eastAsia="Arial" w:hAnsi="Arial"/>
          <w:sz w:val="18"/>
          <w:szCs w:val="18"/>
          <w:color w:val="auto"/>
        </w:rPr>
        <w:t>We rely on our manufacturing facilities for the production of drug substance for our large molecule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product candidates. Our global bulk supply of these products and product candidates depends on the uninterrupted and efficient operation of these facilities, which could be adversely affected by equipment failures, labor or raw material shortages, public health epidemics, natural disasters, power failures, cyber-attacks and many other factors.</w:t>
      </w:r>
    </w:p>
    <w:p>
      <w:pPr>
        <w:spacing w:after="0" w:line="86" w:lineRule="exact"/>
        <w:rPr>
          <w:rFonts w:ascii="Arial" w:cs="Arial" w:eastAsia="Arial" w:hAnsi="Arial"/>
          <w:sz w:val="18"/>
          <w:szCs w:val="18"/>
          <w:color w:val="auto"/>
        </w:rPr>
      </w:pPr>
    </w:p>
    <w:p>
      <w:pPr>
        <w:ind w:left="500" w:right="80" w:hanging="330"/>
        <w:spacing w:after="0" w:line="274" w:lineRule="auto"/>
        <w:tabs>
          <w:tab w:leader="none" w:pos="45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Risks Relating to Compliance with current GMP (cGMP). </w:t>
      </w:r>
      <w:r>
        <w:rPr>
          <w:rFonts w:ascii="Arial" w:cs="Arial" w:eastAsia="Arial" w:hAnsi="Arial"/>
          <w:sz w:val="17"/>
          <w:szCs w:val="17"/>
          <w:color w:val="auto"/>
        </w:rPr>
        <w:t>We and our third-party providers are generally required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cGMP and other stringent requirements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65" w:lineRule="exact"/>
        <w:rPr>
          <w:rFonts w:ascii="Arial" w:cs="Arial" w:eastAsia="Arial" w:hAnsi="Arial"/>
          <w:sz w:val="17"/>
          <w:szCs w:val="17"/>
          <w:color w:val="auto"/>
        </w:rPr>
      </w:pPr>
    </w:p>
    <w:p>
      <w:pPr>
        <w:ind w:left="500" w:right="120" w:hanging="330"/>
        <w:spacing w:after="0" w:line="258" w:lineRule="auto"/>
        <w:tabs>
          <w:tab w:leader="none" w:pos="45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8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spacing w:after="0" w:line="6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Furthermore, factors such as the COVID-19 pandemic and other global health outbreaks, weather events, labor or raw material shortages and other supply chain disruptions could result in difficulties and delays in manufacturing our products, which could have an adverse impact on our results in operations or result in product shortages. 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100"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6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2573BA"/>
        </w:rPr>
        <w:t>Management, personnel and other organizational changes may disrupt our operations, and we may have difficulty retaining personnel or attracting and retaining qualified replacements on a timely basis for the management and other personnel who may leave the Company.</w:t>
      </w:r>
    </w:p>
    <w:p>
      <w:pPr>
        <w:spacing w:after="0" w:line="5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13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the underperformance or discontinuation of one or more marketed, pre-clinical or clinical programs, recruitment by competitors or changes in the overall labor market. In addition, changes in our organizational structure or in our flexible working arrangements could impact employees' productivity and morale as well as our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spacing w:after="0" w:line="56"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 care industry, we could face increased costs, penalties and a loss of business.</w:t>
      </w:r>
    </w:p>
    <w:p>
      <w:pPr>
        <w:spacing w:after="0" w:line="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 care providers that prescribe or purchase our products are also subject to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Conditions and regulations governing the health care industry are subject to change, with possible retroactive effect, including:</w:t>
      </w:r>
    </w:p>
    <w:p>
      <w:pPr>
        <w:spacing w:after="0" w:line="117" w:lineRule="exact"/>
        <w:rPr>
          <w:sz w:val="20"/>
          <w:szCs w:val="20"/>
          <w:color w:val="auto"/>
        </w:rPr>
      </w:pPr>
    </w:p>
    <w:p>
      <w:pPr>
        <w:ind w:left="500" w:right="220" w:hanging="330"/>
        <w:spacing w:after="0" w:line="256"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84" w:lineRule="exact"/>
        <w:rPr>
          <w:rFonts w:ascii="Arial" w:cs="Arial" w:eastAsia="Arial" w:hAnsi="Arial"/>
          <w:sz w:val="18"/>
          <w:szCs w:val="18"/>
          <w:color w:val="auto"/>
        </w:rPr>
      </w:pPr>
    </w:p>
    <w:p>
      <w:pPr>
        <w:ind w:left="500" w:right="100" w:hanging="330"/>
        <w:spacing w:after="0" w:line="275"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or perspectives that may delay or prevent the approval of new products and result in lost market opportunity;</w:t>
      </w:r>
    </w:p>
    <w:p>
      <w:pPr>
        <w:spacing w:after="0" w:line="65" w:lineRule="exact"/>
        <w:rPr>
          <w:rFonts w:ascii="Arial" w:cs="Arial" w:eastAsia="Arial" w:hAnsi="Arial"/>
          <w:sz w:val="18"/>
          <w:szCs w:val="18"/>
          <w:color w:val="auto"/>
        </w:rPr>
      </w:pPr>
    </w:p>
    <w:p>
      <w:pPr>
        <w:ind w:left="500" w:hanging="330"/>
        <w:spacing w:after="0" w:line="275"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government shutdowns or relocations may result in delays to the review and approval process, slowing the time necessary for new drug candidates to be reviewed and/or approved, which may adversely affect our business;</w:t>
      </w:r>
    </w:p>
    <w:p>
      <w:pPr>
        <w:spacing w:after="0" w:line="65" w:lineRule="exact"/>
        <w:rPr>
          <w:rFonts w:ascii="Arial" w:cs="Arial" w:eastAsia="Arial" w:hAnsi="Arial"/>
          <w:sz w:val="18"/>
          <w:szCs w:val="18"/>
          <w:color w:val="auto"/>
        </w:rPr>
      </w:pPr>
    </w:p>
    <w:p>
      <w:pPr>
        <w:ind w:left="500" w:right="60" w:hanging="330"/>
        <w:spacing w:after="0" w:line="285" w:lineRule="auto"/>
        <w:tabs>
          <w:tab w:leader="none" w:pos="4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59" w:lineRule="exact"/>
        <w:rPr>
          <w:rFonts w:ascii="Arial" w:cs="Arial" w:eastAsia="Arial" w:hAnsi="Arial"/>
          <w:sz w:val="17"/>
          <w:szCs w:val="17"/>
          <w:color w:val="auto"/>
        </w:rPr>
      </w:pPr>
    </w:p>
    <w:p>
      <w:pPr>
        <w:ind w:left="500" w:right="20" w:hanging="330"/>
        <w:spacing w:after="0" w:line="263"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compliance controls, policies and procedures in place to comply with the laws or regulations of the jurisdictions in which we operate, there is a risk that acts committed by our employees, agents, distributors, collaborators or third-party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117" w:lineRule="exact"/>
        <w:rPr>
          <w:sz w:val="20"/>
          <w:szCs w:val="20"/>
          <w:color w:val="auto"/>
        </w:rPr>
      </w:pPr>
    </w:p>
    <w:p>
      <w:pPr>
        <w:ind w:left="500" w:right="780" w:hanging="330"/>
        <w:spacing w:after="0" w:line="275"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the global economy and the delivery of healthcare treatments;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approvals of products in a timely manner;</w:t>
      </w:r>
    </w:p>
    <w:p>
      <w:pPr>
        <w:spacing w:after="0" w:line="117" w:lineRule="exact"/>
        <w:rPr>
          <w:rFonts w:ascii="Arial" w:cs="Arial" w:eastAsia="Arial" w:hAnsi="Arial"/>
          <w:sz w:val="18"/>
          <w:szCs w:val="18"/>
          <w:color w:val="auto"/>
        </w:rPr>
      </w:pPr>
    </w:p>
    <w:p>
      <w:pPr>
        <w:ind w:left="500" w:right="400" w:hanging="330"/>
        <w:spacing w:after="0" w:line="275"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reimbursement or receive price increases, including those resulting from governmental or regulatory requirements;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cost of goods due to factors such as inflation and supply chain disruptions;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complexity in manufacturing internationally;</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in clinical trials relating to geopolitical instability related to Russia's invasion of Ukraine;</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117" w:lineRule="exact"/>
        <w:rPr>
          <w:rFonts w:ascii="Arial" w:cs="Arial" w:eastAsia="Arial" w:hAnsi="Arial"/>
          <w:sz w:val="18"/>
          <w:szCs w:val="18"/>
          <w:color w:val="auto"/>
        </w:rPr>
      </w:pPr>
    </w:p>
    <w:p>
      <w:pPr>
        <w:ind w:left="500" w:right="800" w:hanging="330"/>
        <w:spacing w:after="0" w:line="275"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117" w:lineRule="exact"/>
        <w:rPr>
          <w:rFonts w:ascii="Arial" w:cs="Arial" w:eastAsia="Arial" w:hAnsi="Arial"/>
          <w:sz w:val="18"/>
          <w:szCs w:val="18"/>
          <w:color w:val="auto"/>
        </w:rPr>
      </w:pPr>
    </w:p>
    <w:p>
      <w:pPr>
        <w:ind w:left="500" w:right="40" w:hanging="330"/>
        <w:spacing w:after="0" w:line="275"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65" w:lineRule="exact"/>
        <w:rPr>
          <w:rFonts w:ascii="Arial" w:cs="Arial" w:eastAsia="Arial" w:hAnsi="Arial"/>
          <w:sz w:val="18"/>
          <w:szCs w:val="18"/>
          <w:color w:val="auto"/>
        </w:rPr>
      </w:pPr>
    </w:p>
    <w:p>
      <w:pPr>
        <w:ind w:left="500" w:right="780" w:hanging="330"/>
        <w:spacing w:after="0" w:line="275"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far-reaching anti-bribery and anti-corruption legislation in the U.K., including the U.K. Bribery Act 2010, and elsewhere and escalation of investigations and prosecutions pursuant to such laws;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imposition of tariffs or embargoes and other trade restrictions.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our international operations are subject to regulation under U.S. law. For example,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 In addition,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spacing w:after="0" w:line="85"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2573BA"/>
        </w:rPr>
        <w:t>We are building a large-scale biologics manufacturing facility and a gene therapy manufacturing facility, which will result in the incurrence of significant investment with no assurance that such investment will be recouped.</w:t>
      </w:r>
    </w:p>
    <w:p>
      <w:pPr>
        <w:spacing w:after="0" w:line="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order to support our future growth and drug development pipeline, we are expanding our large molecule production capacity by building a large-scale biologics manufacturing facility in Solothurn, Switzerland with no assurance that the additional capacity will be required or this investment will be recouped.</w:t>
      </w:r>
    </w:p>
    <w:p>
      <w:pPr>
        <w:spacing w:after="0" w:line="62"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If we are unable to fully utilize our manufacturing facilities, our business may be harmed. Charges resulting from excess capacity may continue to occur and would have a negative effect on our financial condition and results of operations.</w:t>
      </w:r>
    </w:p>
    <w:p>
      <w:pPr>
        <w:spacing w:after="0" w:line="2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Although the Solothurn facility was approved by the FDA for ADUHELM and LEQEMBI, there can be no assurance that the regulatory authorities will approve the Solothurn facility for the manufacturing of other products.</w:t>
      </w:r>
    </w:p>
    <w:p>
      <w:pPr>
        <w:spacing w:after="0" w:line="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we are building a new gene therapy manufacturing facility in RTP, North Carolina with no assurance that this investment will be fully utilized. If we are unable to fully utilize this gene therapy manufacturing facility, charges from excess capacity may occur and would have a negative effect on our financial condition and results of operations.</w:t>
      </w:r>
    </w:p>
    <w:p>
      <w:pPr>
        <w:spacing w:after="0" w:line="59"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2573BA"/>
        </w:rPr>
        <w:t>The COVID -19 pandemic and other global health outbreaks may, directly or indirectly, adversely affect our business, results of operations and financial condition.</w:t>
      </w:r>
    </w:p>
    <w:p>
      <w:pPr>
        <w:spacing w:after="0" w:line="1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Our business has and could continue to be adversely affected, directly or indirectly, by the COVID-19 pandemic and other global health outbreaks.</w:t>
      </w:r>
    </w:p>
    <w:p>
      <w:pPr>
        <w:spacing w:after="0" w:line="3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We continue to monitor our operations and applicable government recommendations, and we have made modifications to our normal operations because of the COVID-19 pandemic, including adopting flexible working arrangements. Customer-facing professionals interactions in healthcare settings have changed as a result of the COVID-19 pandemic. This limits our ability to market our products and educate physicians, which, in turn, could have an adverse effect on our ability to compete in the marketing and sales of our products.</w:t>
      </w:r>
    </w:p>
    <w:p>
      <w:pPr>
        <w:spacing w:after="0" w:line="5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Changes in flexible working arrangements could impact employee retention, employees' productivity and morale, strain our technology resources and introduce operational risks. Additionally, the risk of cyber-attacks or other privacy or data security incidents may be heightened as a result of our moving increasingly towards a remote working environment, which may be less secure and more susceptible to hacking attacks.</w:t>
      </w:r>
    </w:p>
    <w:p>
      <w:pPr>
        <w:spacing w:after="0" w:line="68"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Delays and disruptions experienced by our collaborators or other third-parties due to the COVID-19 pandemic and other global health outbreaks could adversely impact the ability of such parties to fulfill their obligations, which could affect product sales or the clinical development or regulatory approvals of product candidates under joint control.</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State and federal healthcare reform measures have been adopted in the past, and may be adopted in the future, any of which could limit the amounts that federal and state governments will pay for healthcare products and services, which could result in reduced demand for our products or additional pricing pressures and have a financial impact on our business that we cannot predict.</w:t>
      </w:r>
    </w:p>
    <w:p>
      <w:pPr>
        <w:spacing w:after="0" w:line="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While it is not possible at this time to estimate the entirety of the impact that the COVID-19 pandemic and other global health outbreaks may have on our business, the broad global health outbreaks on our business activities may materially and adversely affect our business, supply chain and distribution systems, results of operations and financial condition.</w:t>
      </w:r>
    </w:p>
    <w:p>
      <w:pPr>
        <w:spacing w:after="0" w:line="66"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2573BA"/>
        </w:rPr>
        <w:t>The illegal distribution and sale by third-parties of counterfeit or unfit versions of our products or stolen products could have a negative impact on our reputation and business.</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Third-parties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 increasing use of social media platforms and artificial intelligence based software presents new risks and challenges.</w:t>
      </w:r>
    </w:p>
    <w:p>
      <w:pPr>
        <w:spacing w:after="0" w:line="73"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negative publicity or if adverse information concerning us is posted on social</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media platforms or similar mediums, which we may not be able to reverse. If any of these events were to occur or we otherwise fail to comply with applicable regulations, we could incur liability, face restrictive regulatory actions or incur other harm to our business. Additionally, the use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of artificial intelligence (AI) based software is increasingly being used in the biopharmaceutical industry. Use of AI based software may lead to the release of confidential proprietary information which may impact our ability to realize the benefit of our intellectual property.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1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Our quarterly revenue, expense and net income (loss)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 that we may take. We have recorded, or may be required to record, charges that include:</w:t>
      </w:r>
    </w:p>
    <w:p>
      <w:pPr>
        <w:spacing w:after="0" w:line="76" w:lineRule="exact"/>
        <w:rPr>
          <w:sz w:val="20"/>
          <w:szCs w:val="20"/>
          <w:color w:val="auto"/>
        </w:rPr>
      </w:pPr>
    </w:p>
    <w:p>
      <w:pPr>
        <w:ind w:left="440" w:hanging="270"/>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IPR&amp;D and other intangible assets;</w:t>
      </w:r>
    </w:p>
    <w:p>
      <w:pPr>
        <w:spacing w:after="0" w:line="117" w:lineRule="exact"/>
        <w:rPr>
          <w:rFonts w:ascii="Arial" w:cs="Arial" w:eastAsia="Arial" w:hAnsi="Arial"/>
          <w:sz w:val="18"/>
          <w:szCs w:val="18"/>
          <w:color w:val="auto"/>
        </w:rPr>
      </w:pPr>
    </w:p>
    <w:p>
      <w:pPr>
        <w:ind w:left="500" w:right="440" w:hanging="330"/>
        <w:spacing w:after="0" w:line="275"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recurring charges for excess or obsolete inventory and charges for inventory write-downs relating to product suspensions, expirations or recalls;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117" w:lineRule="exact"/>
        <w:rPr>
          <w:rFonts w:ascii="Arial" w:cs="Arial" w:eastAsia="Arial" w:hAnsi="Arial"/>
          <w:sz w:val="18"/>
          <w:szCs w:val="18"/>
          <w:color w:val="auto"/>
        </w:rPr>
      </w:pPr>
    </w:p>
    <w:p>
      <w:pPr>
        <w:ind w:left="500" w:right="240" w:hanging="330"/>
        <w:spacing w:after="0" w:line="275"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117" w:lineRule="exact"/>
        <w:rPr>
          <w:rFonts w:ascii="Arial" w:cs="Arial" w:eastAsia="Arial" w:hAnsi="Arial"/>
          <w:sz w:val="18"/>
          <w:szCs w:val="18"/>
          <w:color w:val="auto"/>
        </w:rPr>
      </w:pPr>
    </w:p>
    <w:p>
      <w:pPr>
        <w:ind w:left="500" w:right="700" w:hanging="330"/>
        <w:spacing w:after="0" w:line="275"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employees, the global economy and the delivery of healthcare treatments.</w:t>
      </w:r>
    </w:p>
    <w:p>
      <w:pPr>
        <w:spacing w:after="0" w:line="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during any one period do not necessarily suggest the anticipated results of future periods.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1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could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There can be no assurance that we will continue to repurchase shares or that we will repurchase shares at favorable prices.</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Additionally, the recently enacted IRA includes an excise tax on share repurchases, which will increase the cost of share repurchases. A reduction in repurchases under, or the completion of, our share repurchase programs could have a negative effect on our stock price. We can provide no assurance that we will repurchase shares at favorable prices, if at all.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terms that are favorable to us.</w:t>
      </w:r>
    </w:p>
    <w:p>
      <w:pPr>
        <w:spacing w:after="0" w:line="114" w:lineRule="exact"/>
        <w:rPr>
          <w:sz w:val="20"/>
          <w:szCs w:val="20"/>
          <w:color w:val="auto"/>
        </w:rPr>
      </w:pPr>
    </w:p>
    <w:p>
      <w:pPr>
        <w:jc w:val="both"/>
        <w:ind w:right="300"/>
        <w:spacing w:after="0" w:line="268" w:lineRule="auto"/>
        <w:rPr>
          <w:sz w:val="20"/>
          <w:szCs w:val="20"/>
          <w:color w:val="auto"/>
        </w:rPr>
      </w:pPr>
      <w:r>
        <w:rPr>
          <w:rFonts w:ascii="Arial" w:cs="Arial" w:eastAsia="Arial" w:hAnsi="Arial"/>
          <w:sz w:val="17"/>
          <w:szCs w:val="17"/>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w:t>
      </w:r>
    </w:p>
    <w:p>
      <w:pPr>
        <w:spacing w:after="0" w:line="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Changes in credit ratings issued by nationally recognized credit rating agencies could also adversely affect our cost of financing and the market price of our securities.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indebtedness could adversely affect our business and limit our ability to plan for or respond to changes in our business.</w:t>
      </w:r>
    </w:p>
    <w:p>
      <w:pPr>
        <w:spacing w:after="0" w:line="100"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66" w:lineRule="exact"/>
        <w:rPr>
          <w:sz w:val="20"/>
          <w:szCs w:val="20"/>
          <w:color w:val="auto"/>
        </w:rPr>
      </w:pPr>
    </w:p>
    <w:p>
      <w:pPr>
        <w:ind w:left="440" w:hanging="270"/>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7" w:lineRule="exact"/>
        <w:rPr>
          <w:rFonts w:ascii="Arial" w:cs="Arial" w:eastAsia="Arial" w:hAnsi="Arial"/>
          <w:sz w:val="18"/>
          <w:szCs w:val="18"/>
          <w:color w:val="auto"/>
        </w:rPr>
      </w:pPr>
    </w:p>
    <w:p>
      <w:pPr>
        <w:ind w:left="500" w:right="300" w:hanging="330"/>
        <w:spacing w:after="0" w:line="263"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75" w:lineRule="exact"/>
        <w:rPr>
          <w:rFonts w:ascii="Arial" w:cs="Arial" w:eastAsia="Arial" w:hAnsi="Arial"/>
          <w:sz w:val="18"/>
          <w:szCs w:val="18"/>
          <w:color w:val="auto"/>
        </w:rPr>
      </w:pPr>
    </w:p>
    <w:p>
      <w:pPr>
        <w:ind w:left="500" w:right="140" w:hanging="330"/>
        <w:spacing w:after="0" w:line="275"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disadvantage compared to our competitors that have less debt.</w:t>
      </w:r>
    </w:p>
    <w:p>
      <w:pPr>
        <w:spacing w:after="0" w:line="56"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third-party from attempting to acquire us.</w:t>
      </w:r>
    </w:p>
    <w:p>
      <w:pPr>
        <w:spacing w:after="0" w:line="3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global biopharmaceutical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(including those related to the impact of the Tax Cuts and Jobs Act of 2017), adjustments to the value of our uncertain tax positions, interpretations by tax authorities or other bodies with jurisdiction, the result of tax cases, changes in accounting for income taxes and changes in tax laws and regulations either prospectively or retrospectively (including those related to the IRA and the Tax Cuts and Jobs Act of 2017).</w:t>
      </w:r>
    </w:p>
    <w:p>
      <w:pPr>
        <w:spacing w:after="0" w:line="8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enactment of some or all of the recommendations set forth or that may be forthcoming in the OECD’s project on “Base Erosion and Profit Shifting” by tax authorities and economic blocs in the countries in which we operate, could unfavorably impact our effective tax rate. These initiatives focus on common international principles for the entitlement to taxation of global corporate profits and minimum global tax rates. Many countries have or are in the process of enacting legislation intended to implement the OECD GloBE Model Rules effective starting on January 1, 2024. The impact on the Company will depend on the exact nature of each country's GloBE legislation, guidance and regulations thereon and their application by tax authorities.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business involves environmental risks, which include the cost of compliance and the risk of contamination or injury.</w:t>
      </w:r>
    </w:p>
    <w:p>
      <w:pPr>
        <w:spacing w:after="0" w:line="11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are considering new environmental disclosure rules. For example, the SEC has proposed amendments to its disclosure rules regarding climate-related disclosure requirements. These proposed regulations may impact the manner in which we operate.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color w:val="auto"/>
        </w:rPr>
        <w:t>ITEM 2.</w:t>
        <w:tab/>
        <w:t>UNREGISTERED SALES OF EQUITY SECURITIES AND USE OF PROCEEDS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0070C0"/>
        </w:rPr>
        <w:t>ISSUER PURCHASES OF EQUITY SECURITIES</w:t>
      </w:r>
    </w:p>
    <w:p>
      <w:pPr>
        <w:spacing w:after="0" w:line="108" w:lineRule="exact"/>
        <w:rPr>
          <w:sz w:val="20"/>
          <w:szCs w:val="20"/>
          <w:color w:val="auto"/>
        </w:rPr>
      </w:pPr>
    </w:p>
    <w:p>
      <w:pPr>
        <w:ind w:right="600"/>
        <w:spacing w:after="0" w:line="273" w:lineRule="auto"/>
        <w:rPr>
          <w:sz w:val="20"/>
          <w:szCs w:val="20"/>
          <w:color w:val="auto"/>
        </w:rPr>
      </w:pPr>
      <w:r>
        <w:rPr>
          <w:rFonts w:ascii="Arial" w:cs="Arial" w:eastAsia="Arial" w:hAnsi="Arial"/>
          <w:sz w:val="18"/>
          <w:szCs w:val="18"/>
          <w:color w:val="auto"/>
        </w:rPr>
        <w:t>The following table summarizes our common stock repurchase activity under our 2020 Share Repurchase Program during the second quarter of 2023:</w:t>
      </w:r>
    </w:p>
    <w:tbl>
      <w:tblPr>
        <w:tblLayout w:type="fixed"/>
        <w:tblInd w:w="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ind w:left="188"/>
              <w:spacing w:after="0" w:line="150" w:lineRule="exact"/>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restart"/>
          </w:tcPr>
          <w:p>
            <w:pPr>
              <w:jc w:val="center"/>
              <w:ind w:left="24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Average Price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ind w:left="188"/>
              <w:spacing w:after="0" w:line="148" w:lineRule="exact"/>
              <w:rPr>
                <w:sz w:val="20"/>
                <w:szCs w:val="20"/>
                <w:color w:val="auto"/>
              </w:rPr>
            </w:pPr>
            <w:r>
              <w:rPr>
                <w:rFonts w:ascii="Arial" w:cs="Arial" w:eastAsia="Arial" w:hAnsi="Arial"/>
                <w:sz w:val="14"/>
                <w:szCs w:val="14"/>
                <w:b w:val="1"/>
                <w:bCs w:val="1"/>
                <w:color w:val="auto"/>
              </w:rPr>
              <w:t>as Part of Publicly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740" w:type="dxa"/>
            <w:vAlign w:val="bottom"/>
            <w:gridSpan w:val="2"/>
          </w:tcPr>
          <w:p>
            <w:pPr>
              <w:jc w:val="center"/>
              <w:ind w:left="248"/>
              <w:spacing w:after="0" w:line="135"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rPr>
              <w:t>Paid per Share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rPr>
              <w:t>Announced Programs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Our Programs</w:t>
            </w:r>
          </w:p>
        </w:tc>
        <w:tc>
          <w:tcPr>
            <w:tcW w:w="0" w:type="dxa"/>
            <w:vAlign w:val="bottom"/>
          </w:tcPr>
          <w:p>
            <w:pPr>
              <w:spacing w:after="0"/>
              <w:rPr>
                <w:sz w:val="1"/>
                <w:szCs w:val="1"/>
                <w:color w:val="auto"/>
              </w:rPr>
            </w:pPr>
          </w:p>
        </w:tc>
      </w:tr>
      <w:tr>
        <w:trPr>
          <w:trHeight w:val="201"/>
        </w:trPr>
        <w:tc>
          <w:tcPr>
            <w:tcW w:w="2520" w:type="dxa"/>
            <w:vAlign w:val="bottom"/>
            <w:tcBorders>
              <w:bottom w:val="single" w:sz="8" w:color="auto"/>
            </w:tcBorders>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6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8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3"/>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April 2023</w:t>
            </w:r>
          </w:p>
        </w:tc>
        <w:tc>
          <w:tcPr>
            <w:tcW w:w="124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280" w:type="dxa"/>
            <w:vAlign w:val="bottom"/>
            <w:shd w:val="clear" w:color="auto" w:fill="DBDBDB"/>
          </w:tcPr>
          <w:p>
            <w:pPr>
              <w:ind w:left="100"/>
              <w:spacing w:after="0"/>
              <w:rPr>
                <w:sz w:val="20"/>
                <w:szCs w:val="20"/>
                <w:color w:val="auto"/>
              </w:rPr>
            </w:pPr>
            <w:r>
              <w:rPr>
                <w:rFonts w:ascii="Arial" w:cs="Arial" w:eastAsia="Arial" w:hAnsi="Arial"/>
                <w:sz w:val="14"/>
                <w:szCs w:val="14"/>
                <w:color w:val="026DCE"/>
              </w:rPr>
              <w:t>—</w:t>
            </w:r>
          </w:p>
        </w:tc>
        <w:tc>
          <w:tcPr>
            <w:tcW w:w="1820" w:type="dxa"/>
            <w:vAlign w:val="bottom"/>
            <w:gridSpan w:val="3"/>
            <w:shd w:val="clear" w:color="auto" w:fill="DBDBDB"/>
          </w:tcPr>
          <w:p>
            <w:pPr>
              <w:jc w:val="right"/>
              <w:ind w:right="1508"/>
              <w:spacing w:after="0"/>
              <w:rPr>
                <w:sz w:val="20"/>
                <w:szCs w:val="20"/>
                <w:color w:val="auto"/>
              </w:rPr>
            </w:pPr>
            <w:r>
              <w:rPr>
                <w:rFonts w:ascii="Arial" w:cs="Arial" w:eastAsia="Arial" w:hAnsi="Arial"/>
                <w:sz w:val="14"/>
                <w:szCs w:val="14"/>
                <w:color w:val="026DCE"/>
              </w:rPr>
              <w:t>$</w:t>
            </w:r>
          </w:p>
        </w:tc>
        <w:tc>
          <w:tcPr>
            <w:tcW w:w="2280" w:type="dxa"/>
            <w:vAlign w:val="bottom"/>
            <w:gridSpan w:val="3"/>
            <w:shd w:val="clear" w:color="auto" w:fill="DBDBDB"/>
          </w:tcPr>
          <w:p>
            <w:pPr>
              <w:ind w:left="160"/>
              <w:spacing w:after="0"/>
              <w:rPr>
                <w:sz w:val="20"/>
                <w:szCs w:val="20"/>
                <w:color w:val="auto"/>
              </w:rPr>
            </w:pPr>
            <w:r>
              <w:rPr>
                <w:rFonts w:ascii="Arial" w:cs="Arial" w:eastAsia="Arial" w:hAnsi="Arial"/>
                <w:sz w:val="14"/>
                <w:szCs w:val="14"/>
                <w:color w:val="026DCE"/>
              </w:rPr>
              <w:t>—</w:t>
            </w:r>
          </w:p>
        </w:tc>
        <w:tc>
          <w:tcPr>
            <w:tcW w:w="240" w:type="dxa"/>
            <w:vAlign w:val="bottom"/>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840" w:type="dxa"/>
            <w:vAlign w:val="bottom"/>
            <w:gridSpan w:val="2"/>
            <w:shd w:val="clear" w:color="auto" w:fill="DBDBDB"/>
          </w:tcPr>
          <w:p>
            <w:pPr>
              <w:jc w:val="right"/>
              <w:ind w:right="54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190"/>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May 2023</w:t>
            </w:r>
          </w:p>
        </w:tc>
        <w:tc>
          <w:tcPr>
            <w:tcW w:w="124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280" w:type="dxa"/>
            <w:vAlign w:val="bottom"/>
            <w:shd w:val="clear" w:color="auto" w:fill="DBDBDB"/>
          </w:tcPr>
          <w:p>
            <w:pPr>
              <w:ind w:left="1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6"/>
                <w:szCs w:val="16"/>
                <w:color w:val="auto"/>
              </w:rPr>
            </w:pPr>
          </w:p>
        </w:tc>
        <w:tc>
          <w:tcPr>
            <w:tcW w:w="1800" w:type="dxa"/>
            <w:vAlign w:val="bottom"/>
            <w:gridSpan w:val="2"/>
            <w:shd w:val="clear" w:color="auto" w:fill="DBDBDB"/>
          </w:tcPr>
          <w:p>
            <w:pPr>
              <w:jc w:val="right"/>
              <w:ind w:right="1508"/>
              <w:spacing w:after="0"/>
              <w:rPr>
                <w:sz w:val="20"/>
                <w:szCs w:val="20"/>
                <w:color w:val="auto"/>
              </w:rPr>
            </w:pPr>
            <w:r>
              <w:rPr>
                <w:rFonts w:ascii="Arial" w:cs="Arial" w:eastAsia="Arial" w:hAnsi="Arial"/>
                <w:sz w:val="14"/>
                <w:szCs w:val="14"/>
                <w:color w:val="026DCE"/>
              </w:rPr>
              <w:t>$</w:t>
            </w:r>
          </w:p>
        </w:tc>
        <w:tc>
          <w:tcPr>
            <w:tcW w:w="2280" w:type="dxa"/>
            <w:vAlign w:val="bottom"/>
            <w:gridSpan w:val="3"/>
            <w:shd w:val="clear" w:color="auto" w:fill="DBDBDB"/>
          </w:tcPr>
          <w:p>
            <w:pPr>
              <w:ind w:left="160"/>
              <w:spacing w:after="0"/>
              <w:rPr>
                <w:sz w:val="20"/>
                <w:szCs w:val="20"/>
                <w:color w:val="auto"/>
              </w:rPr>
            </w:pPr>
            <w:r>
              <w:rPr>
                <w:rFonts w:ascii="Arial" w:cs="Arial" w:eastAsia="Arial" w:hAnsi="Arial"/>
                <w:sz w:val="14"/>
                <w:szCs w:val="14"/>
                <w:color w:val="026DCE"/>
              </w:rPr>
              <w:t>—</w:t>
            </w:r>
          </w:p>
        </w:tc>
        <w:tc>
          <w:tcPr>
            <w:tcW w:w="240" w:type="dxa"/>
            <w:vAlign w:val="bottom"/>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840" w:type="dxa"/>
            <w:vAlign w:val="bottom"/>
            <w:gridSpan w:val="2"/>
            <w:shd w:val="clear" w:color="auto" w:fill="DBDBDB"/>
          </w:tcPr>
          <w:p>
            <w:pPr>
              <w:jc w:val="right"/>
              <w:ind w:right="54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01"/>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June 2023</w:t>
            </w:r>
          </w:p>
        </w:tc>
        <w:tc>
          <w:tcPr>
            <w:tcW w:w="124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ind w:left="100"/>
              <w:spacing w:after="0"/>
              <w:rPr>
                <w:sz w:val="20"/>
                <w:szCs w:val="20"/>
                <w:color w:val="auto"/>
              </w:rPr>
            </w:pPr>
            <w:r>
              <w:rPr>
                <w:rFonts w:ascii="Arial" w:cs="Arial" w:eastAsia="Arial" w:hAnsi="Arial"/>
                <w:sz w:val="14"/>
                <w:szCs w:val="14"/>
                <w:color w:val="026DCE"/>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680" w:type="dxa"/>
            <w:vAlign w:val="bottom"/>
            <w:tcBorders>
              <w:bottom w:val="single" w:sz="8" w:color="auto"/>
            </w:tcBorders>
            <w:shd w:val="clear" w:color="auto" w:fill="DBDBDB"/>
          </w:tcPr>
          <w:p>
            <w:pPr>
              <w:jc w:val="right"/>
              <w:ind w:right="1508"/>
              <w:spacing w:after="0"/>
              <w:rPr>
                <w:sz w:val="20"/>
                <w:szCs w:val="20"/>
                <w:color w:val="auto"/>
              </w:rPr>
            </w:pPr>
            <w:r>
              <w:rPr>
                <w:rFonts w:ascii="Arial" w:cs="Arial" w:eastAsia="Arial" w:hAnsi="Arial"/>
                <w:sz w:val="14"/>
                <w:szCs w:val="14"/>
                <w:color w:val="026DCE"/>
              </w:rPr>
              <w:t>$</w:t>
            </w:r>
          </w:p>
        </w:tc>
        <w:tc>
          <w:tcPr>
            <w:tcW w:w="380" w:type="dxa"/>
            <w:vAlign w:val="bottom"/>
            <w:tcBorders>
              <w:bottom w:val="single" w:sz="8" w:color="auto"/>
            </w:tcBorders>
            <w:shd w:val="clear" w:color="auto" w:fill="DBDBDB"/>
          </w:tcPr>
          <w:p>
            <w:pPr>
              <w:ind w:left="160"/>
              <w:spacing w:after="0"/>
              <w:rPr>
                <w:sz w:val="20"/>
                <w:szCs w:val="20"/>
                <w:color w:val="auto"/>
              </w:rPr>
            </w:pPr>
            <w:r>
              <w:rPr>
                <w:rFonts w:ascii="Arial" w:cs="Arial" w:eastAsia="Arial" w:hAnsi="Arial"/>
                <w:sz w:val="14"/>
                <w:szCs w:val="14"/>
                <w:color w:val="026DCE"/>
              </w:rPr>
              <w:t>—</w:t>
            </w:r>
          </w:p>
        </w:tc>
        <w:tc>
          <w:tcPr>
            <w:tcW w:w="1900" w:type="dxa"/>
            <w:vAlign w:val="bottom"/>
            <w:tcBorders>
              <w:bottom w:val="single" w:sz="8" w:color="DBDBDB"/>
            </w:tcBorders>
            <w:gridSpan w:val="2"/>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840" w:type="dxa"/>
            <w:vAlign w:val="bottom"/>
            <w:tcBorders>
              <w:bottom w:val="single" w:sz="8" w:color="DBDBDB"/>
            </w:tcBorders>
            <w:gridSpan w:val="2"/>
            <w:shd w:val="clear" w:color="auto" w:fill="DBDBDB"/>
          </w:tcPr>
          <w:p>
            <w:pPr>
              <w:jc w:val="right"/>
              <w:ind w:right="548"/>
              <w:spacing w:after="0"/>
              <w:rPr>
                <w:sz w:val="20"/>
                <w:szCs w:val="20"/>
                <w:color w:val="auto"/>
              </w:rPr>
            </w:pPr>
            <w:r>
              <w:rPr>
                <w:rFonts w:ascii="Arial" w:cs="Arial" w:eastAsia="Arial" w:hAnsi="Arial"/>
                <w:sz w:val="14"/>
                <w:szCs w:val="14"/>
                <w:color w:val="026DCE"/>
              </w:rPr>
              <w:t>$</w:t>
            </w:r>
          </w:p>
        </w:tc>
        <w:tc>
          <w:tcPr>
            <w:tcW w:w="1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80" w:type="dxa"/>
            <w:vAlign w:val="bottom"/>
            <w:gridSpan w:val="2"/>
          </w:tcPr>
          <w:p>
            <w:pPr>
              <w:ind w:left="100"/>
              <w:spacing w:after="0"/>
              <w:rPr>
                <w:sz w:val="20"/>
                <w:szCs w:val="20"/>
                <w:color w:val="auto"/>
              </w:rPr>
            </w:pPr>
            <w:r>
              <w:rPr>
                <w:rFonts w:ascii="Arial" w:cs="Arial" w:eastAsia="Arial" w:hAnsi="Arial"/>
                <w:sz w:val="14"/>
                <w:szCs w:val="14"/>
                <w:color w:val="auto"/>
              </w:rPr>
              <w:t>Total</w:t>
            </w:r>
            <w:r>
              <w:rPr>
                <w:rFonts w:ascii="Arial" w:cs="Arial" w:eastAsia="Arial" w:hAnsi="Arial"/>
                <w:sz w:val="9"/>
                <w:szCs w:val="9"/>
                <w:color w:val="auto"/>
              </w:rPr>
              <w:t>(1)</w:t>
            </w:r>
          </w:p>
        </w:tc>
        <w:tc>
          <w:tcPr>
            <w:tcW w:w="124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280" w:type="dxa"/>
            <w:vAlign w:val="bottom"/>
            <w:shd w:val="clear" w:color="auto" w:fill="DBDBDB"/>
          </w:tcPr>
          <w:p>
            <w:pPr>
              <w:ind w:left="1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80" w:type="dxa"/>
            <w:vAlign w:val="bottom"/>
            <w:shd w:val="clear" w:color="auto" w:fill="DBDBDB"/>
          </w:tcPr>
          <w:p>
            <w:pPr>
              <w:jc w:val="right"/>
              <w:ind w:right="1508"/>
              <w:spacing w:after="0"/>
              <w:rPr>
                <w:sz w:val="20"/>
                <w:szCs w:val="20"/>
                <w:color w:val="auto"/>
              </w:rPr>
            </w:pPr>
            <w:r>
              <w:rPr>
                <w:rFonts w:ascii="Arial" w:cs="Arial" w:eastAsia="Arial" w:hAnsi="Arial"/>
                <w:sz w:val="14"/>
                <w:szCs w:val="14"/>
                <w:color w:val="026DCE"/>
              </w:rPr>
              <w:t>$</w:t>
            </w:r>
          </w:p>
        </w:tc>
        <w:tc>
          <w:tcPr>
            <w:tcW w:w="2280" w:type="dxa"/>
            <w:vAlign w:val="bottom"/>
            <w:gridSpan w:val="3"/>
            <w:shd w:val="clear" w:color="auto" w:fill="DBDBDB"/>
          </w:tcPr>
          <w:p>
            <w:pPr>
              <w:ind w:left="160"/>
              <w:spacing w:after="0"/>
              <w:rPr>
                <w:sz w:val="20"/>
                <w:szCs w:val="20"/>
                <w:color w:val="auto"/>
              </w:rPr>
            </w:pPr>
            <w:r>
              <w:rPr>
                <w:rFonts w:ascii="Arial" w:cs="Arial" w:eastAsia="Arial" w:hAnsi="Arial"/>
                <w:sz w:val="14"/>
                <w:szCs w:val="14"/>
                <w:color w:val="026DCE"/>
              </w:rPr>
              <w:t>—</w:t>
            </w:r>
          </w:p>
        </w:tc>
        <w:tc>
          <w:tcPr>
            <w:tcW w:w="2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2"/>
          <w:szCs w:val="12"/>
          <w:color w:val="auto"/>
        </w:rPr>
        <w:t>There were no share repurchases during the second quarter of 2023.</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2.4 million shares of our common stock at a cost of approximately $500.0 million during the three and six months ended June 30, 2022. There were no share repurchases of our common stock during the three and six months ended June 30, 2023. Approximately $2.1 billion remained available under our 2020 Share Repurchase Program as of June 30, 2023.</w:t>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5.</w:t>
        <w:tab/>
        <w:t>OTHER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0070C0"/>
        </w:rPr>
        <w:t>TRADING ARRANGEMENTS</w:t>
      </w:r>
    </w:p>
    <w:p>
      <w:pPr>
        <w:spacing w:after="0" w:line="10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There were no trading arrangements for the purchase or sale of our securities entered into or terminated by our Directors or Officers during the second quarter of 2023.</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354"/>
        </w:trPr>
        <w:tc>
          <w:tcPr>
            <w:tcW w:w="1020" w:type="dxa"/>
            <w:vAlign w:val="bottom"/>
            <w:gridSpan w:val="3"/>
          </w:tcPr>
          <w:p>
            <w:pPr>
              <w:spacing w:after="0"/>
              <w:rPr>
                <w:sz w:val="20"/>
                <w:szCs w:val="20"/>
                <w:color w:val="auto"/>
              </w:rPr>
            </w:pPr>
            <w:r>
              <w:rPr>
                <w:rFonts w:ascii="Arial" w:cs="Arial" w:eastAsia="Arial" w:hAnsi="Arial"/>
                <w:sz w:val="25"/>
                <w:szCs w:val="25"/>
                <w:b w:val="1"/>
                <w:bCs w:val="1"/>
                <w:color w:val="auto"/>
              </w:rPr>
              <w:t>ITEM 6.</w:t>
            </w:r>
          </w:p>
        </w:tc>
        <w:tc>
          <w:tcPr>
            <w:tcW w:w="10180" w:type="dxa"/>
            <w:vAlign w:val="bottom"/>
            <w:gridSpan w:val="6"/>
          </w:tcPr>
          <w:p>
            <w:pPr>
              <w:ind w:left="140"/>
              <w:spacing w:after="0"/>
              <w:rPr>
                <w:sz w:val="20"/>
                <w:szCs w:val="20"/>
                <w:color w:val="auto"/>
              </w:rPr>
            </w:pPr>
            <w:r>
              <w:rPr>
                <w:rFonts w:ascii="Arial" w:cs="Arial" w:eastAsia="Arial" w:hAnsi="Arial"/>
                <w:sz w:val="25"/>
                <w:szCs w:val="25"/>
                <w:b w:val="1"/>
                <w:bCs w:val="1"/>
                <w:color w:val="auto"/>
              </w:rPr>
              <w:t>EXHIBITS</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11160" w:type="dxa"/>
            <w:vAlign w:val="bottom"/>
            <w:gridSpan w:val="8"/>
          </w:tcPr>
          <w:p>
            <w:pPr>
              <w:ind w:left="420"/>
              <w:spacing w:after="0"/>
              <w:rPr>
                <w:sz w:val="20"/>
                <w:szCs w:val="20"/>
                <w:color w:val="auto"/>
              </w:rPr>
            </w:pPr>
            <w:r>
              <w:rPr>
                <w:rFonts w:ascii="Arial" w:cs="Arial" w:eastAsia="Arial" w:hAnsi="Arial"/>
                <w:sz w:val="18"/>
                <w:szCs w:val="18"/>
                <w:color w:val="auto"/>
              </w:rPr>
              <w:t>The exhibits listed below are filed or furnished as part of this Quarterly Report on Form 10-Q.</w:t>
            </w: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40" w:type="dxa"/>
            <w:vAlign w:val="bottom"/>
            <w:gridSpan w:val="4"/>
          </w:tcPr>
          <w:p>
            <w:pPr>
              <w:ind w:left="520"/>
              <w:spacing w:after="0"/>
              <w:rPr>
                <w:sz w:val="20"/>
                <w:szCs w:val="20"/>
                <w:color w:val="auto"/>
              </w:rPr>
            </w:pPr>
            <w:r>
              <w:rPr>
                <w:rFonts w:ascii="Arial" w:cs="Arial" w:eastAsia="Arial" w:hAnsi="Arial"/>
                <w:sz w:val="25"/>
                <w:szCs w:val="25"/>
                <w:color w:val="0070C0"/>
              </w:rPr>
              <w:t>EXHIBIT INDEX</w:t>
            </w:r>
          </w:p>
        </w:tc>
        <w:tc>
          <w:tcPr>
            <w:tcW w:w="0" w:type="dxa"/>
            <w:vAlign w:val="bottom"/>
          </w:tcPr>
          <w:p>
            <w:pPr>
              <w:spacing w:after="0"/>
              <w:rPr>
                <w:sz w:val="1"/>
                <w:szCs w:val="1"/>
                <w:color w:val="auto"/>
              </w:rPr>
            </w:pPr>
          </w:p>
        </w:tc>
      </w:tr>
      <w:tr>
        <w:trPr>
          <w:trHeight w:val="532"/>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460" w:type="dxa"/>
            <w:vAlign w:val="bottom"/>
          </w:tcPr>
          <w:p>
            <w:pPr>
              <w:spacing w:after="0"/>
              <w:rPr>
                <w:sz w:val="24"/>
                <w:szCs w:val="24"/>
                <w:color w:val="auto"/>
              </w:rPr>
            </w:pPr>
          </w:p>
        </w:tc>
        <w:tc>
          <w:tcPr>
            <w:tcW w:w="872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Number</w:t>
            </w:r>
          </w:p>
        </w:tc>
        <w:tc>
          <w:tcPr>
            <w:tcW w:w="1460" w:type="dxa"/>
            <w:vAlign w:val="bottom"/>
          </w:tcPr>
          <w:p>
            <w:pPr>
              <w:spacing w:after="0"/>
              <w:rPr>
                <w:sz w:val="15"/>
                <w:szCs w:val="15"/>
                <w:color w:val="auto"/>
              </w:rPr>
            </w:pPr>
          </w:p>
        </w:tc>
        <w:tc>
          <w:tcPr>
            <w:tcW w:w="87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6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1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Certification of the Chief Financial Officer Pursuant to Section 302 of the Sarbanes-Oxley Act of 2002.</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7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Pursuant to Section 906 of the Sarbanes-Oxley Act of 2002.</w:t>
            </w:r>
          </w:p>
        </w:tc>
        <w:tc>
          <w:tcPr>
            <w:tcW w:w="2300" w:type="dxa"/>
            <w:vAlign w:val="bottom"/>
            <w:tcBorders>
              <w:top w:val="single" w:sz="8" w:color="0000FF"/>
            </w:tcBorders>
          </w:tcPr>
          <w:p>
            <w:pPr>
              <w:spacing w:after="0"/>
              <w:rPr>
                <w:sz w:val="24"/>
                <w:szCs w:val="24"/>
                <w:color w:val="auto"/>
              </w:rPr>
            </w:pPr>
          </w:p>
        </w:tc>
        <w:tc>
          <w:tcPr>
            <w:tcW w:w="6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The following materials from Biogen Inc.’s Quarterly Report on Form 10-Q for the quarter ended June 30,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720" w:type="dxa"/>
            <w:vAlign w:val="bottom"/>
            <w:gridSpan w:val="5"/>
          </w:tcPr>
          <w:p>
            <w:pPr>
              <w:spacing w:after="0" w:line="189" w:lineRule="exact"/>
              <w:rPr>
                <w:sz w:val="20"/>
                <w:szCs w:val="20"/>
                <w:color w:val="auto"/>
              </w:rPr>
            </w:pPr>
            <w:r>
              <w:rPr>
                <w:rFonts w:ascii="Arial" w:cs="Arial" w:eastAsia="Arial" w:hAnsi="Arial"/>
                <w:sz w:val="18"/>
                <w:szCs w:val="18"/>
                <w:color w:val="auto"/>
              </w:rPr>
              <w:t>2023, formatted in iXBRL (Inline Extensible Business Reporting Language): (i) the Condensed Consolidated</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720" w:type="dxa"/>
            <w:vAlign w:val="bottom"/>
            <w:gridSpan w:val="5"/>
          </w:tcPr>
          <w:p>
            <w:pPr>
              <w:spacing w:after="0" w:line="176" w:lineRule="exact"/>
              <w:rPr>
                <w:sz w:val="20"/>
                <w:szCs w:val="20"/>
                <w:color w:val="auto"/>
              </w:rPr>
            </w:pPr>
            <w:r>
              <w:rPr>
                <w:rFonts w:ascii="Arial" w:cs="Arial" w:eastAsia="Arial" w:hAnsi="Arial"/>
                <w:sz w:val="18"/>
                <w:szCs w:val="18"/>
                <w:color w:val="auto"/>
              </w:rPr>
              <w:t>Statements of Income, (ii) the Condensed Consolidated Statements of Comprehensive Income, (iii) the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720" w:type="dxa"/>
            <w:vAlign w:val="bottom"/>
            <w:gridSpan w:val="5"/>
          </w:tcPr>
          <w:p>
            <w:pPr>
              <w:spacing w:after="0" w:line="176" w:lineRule="exact"/>
              <w:rPr>
                <w:sz w:val="20"/>
                <w:szCs w:val="20"/>
                <w:color w:val="auto"/>
              </w:rPr>
            </w:pPr>
            <w:r>
              <w:rPr>
                <w:rFonts w:ascii="Arial" w:cs="Arial" w:eastAsia="Arial" w:hAnsi="Arial"/>
                <w:sz w:val="18"/>
                <w:szCs w:val="18"/>
                <w:color w:val="auto"/>
                <w:w w:val="99"/>
              </w:rPr>
              <w:t>Condensed Consolidated Balance Sheets, (iv) the Condensed Consolidated Statements of Cash Flow, (v) the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720" w:type="dxa"/>
            <w:vAlign w:val="bottom"/>
            <w:gridSpan w:val="5"/>
          </w:tcPr>
          <w:p>
            <w:pPr>
              <w:spacing w:after="0" w:line="189" w:lineRule="exact"/>
              <w:rPr>
                <w:sz w:val="20"/>
                <w:szCs w:val="20"/>
                <w:color w:val="auto"/>
              </w:rPr>
            </w:pPr>
            <w:r>
              <w:rPr>
                <w:rFonts w:ascii="Arial" w:cs="Arial" w:eastAsia="Arial" w:hAnsi="Arial"/>
                <w:sz w:val="18"/>
                <w:szCs w:val="18"/>
                <w:color w:val="auto"/>
              </w:rPr>
              <w:t>Condensed Consolidated Statements of Equity and (vi) Notes to Condensed Consolidated Financial</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30"/>
        </w:trPr>
        <w:tc>
          <w:tcPr>
            <w:tcW w:w="6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The cover page from this Quarterly Report on Form 10-Q for the quarter ended June 30, 2023, formatted in</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Inline XBRL.</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5" w:right="37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1C5A7D"/>
        </w:rPr>
        <w:t>SIGNATURES</w:t>
      </w:r>
    </w:p>
    <w:p>
      <w:pPr>
        <w:spacing w:after="0" w:line="172" w:lineRule="exact"/>
        <w:rPr>
          <w:sz w:val="20"/>
          <w:szCs w:val="20"/>
          <w:color w:val="auto"/>
        </w:rPr>
      </w:pPr>
    </w:p>
    <w:p>
      <w:pPr>
        <w:ind w:firstLine="446"/>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BIOGEN INC.</w:t>
      </w:r>
    </w:p>
    <w:p>
      <w:pPr>
        <w:spacing w:after="0" w:line="293" w:lineRule="exact"/>
        <w:rPr>
          <w:sz w:val="20"/>
          <w:szCs w:val="20"/>
          <w:color w:val="auto"/>
        </w:rPr>
      </w:pPr>
    </w:p>
    <w:p>
      <w:pPr>
        <w:ind w:left="5120"/>
        <w:spacing w:after="0"/>
        <w:tabs>
          <w:tab w:leader="none" w:pos="5500" w:val="left"/>
        </w:tabs>
        <w:rPr>
          <w:sz w:val="20"/>
          <w:szCs w:val="20"/>
          <w:color w:val="auto"/>
        </w:rPr>
      </w:pPr>
      <w:r>
        <w:rPr>
          <w:rFonts w:ascii="Arial" w:cs="Arial" w:eastAsia="Arial" w:hAnsi="Arial"/>
          <w:sz w:val="18"/>
          <w:szCs w:val="18"/>
          <w:color w:val="auto"/>
        </w:rPr>
        <w:t>/s/</w:t>
        <w:tab/>
        <w:t>Michael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13970</wp:posOffset>
            </wp:positionV>
            <wp:extent cx="16630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Michael R. McDonnell</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July 25, 2023</w:t>
      </w: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780"/>
          </w:cols>
          <w:pgMar w:left="320" w:top="126" w:right="79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Viehbacher,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252" w:lineRule="exact"/>
        <w:rPr>
          <w:rFonts w:ascii="Arial" w:cs="Arial" w:eastAsia="Arial" w:hAnsi="Arial"/>
          <w:sz w:val="18"/>
          <w:szCs w:val="18"/>
          <w:color w:val="auto"/>
        </w:rPr>
      </w:pPr>
    </w:p>
    <w:p>
      <w:pPr>
        <w:ind w:left="660" w:right="80" w:hanging="652"/>
        <w:spacing w:after="0" w:line="263"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right="240" w:hanging="652"/>
        <w:spacing w:after="0" w:line="263"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00" w:hanging="644"/>
        <w:spacing w:after="0" w:line="263" w:lineRule="auto"/>
        <w:tabs>
          <w:tab w:leader="none" w:pos="13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540" w:hanging="644"/>
        <w:spacing w:after="0" w:line="285" w:lineRule="auto"/>
        <w:tabs>
          <w:tab w:leader="none" w:pos="1315"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7"/>
          <w:szCs w:val="17"/>
          <w:color w:val="auto"/>
        </w:rPr>
      </w:pPr>
    </w:p>
    <w:p>
      <w:pPr>
        <w:ind w:left="1300" w:right="300" w:hanging="644"/>
        <w:spacing w:after="0" w:line="263" w:lineRule="auto"/>
        <w:tabs>
          <w:tab w:leader="none" w:pos="13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00" w:right="60" w:hanging="644"/>
        <w:spacing w:after="0" w:line="263" w:lineRule="auto"/>
        <w:tabs>
          <w:tab w:leader="none" w:pos="13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300" w:right="420" w:hanging="644"/>
        <w:spacing w:after="0" w:line="263" w:lineRule="auto"/>
        <w:tabs>
          <w:tab w:leader="none" w:pos="13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00" w:right="760" w:hanging="644"/>
        <w:spacing w:after="0" w:line="275" w:lineRule="auto"/>
        <w:tabs>
          <w:tab w:leader="none" w:pos="13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Date: July 25, 2023</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 Viehbacher</w:t>
            </w:r>
          </w:p>
        </w:tc>
      </w:tr>
      <w:tr>
        <w:trPr>
          <w:trHeight w:val="223"/>
        </w:trPr>
        <w:tc>
          <w:tcPr>
            <w:tcW w:w="62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Christopher A. Viehbacher</w:t>
            </w:r>
          </w:p>
        </w:tc>
      </w:tr>
      <w:tr>
        <w:trPr>
          <w:trHeight w:val="230"/>
        </w:trPr>
        <w:tc>
          <w:tcPr>
            <w:tcW w:w="62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 Michael R. McDonnell, certify that:</w:t>
      </w:r>
    </w:p>
    <w:p>
      <w:pPr>
        <w:spacing w:after="0" w:line="252"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252" w:lineRule="exact"/>
        <w:rPr>
          <w:rFonts w:ascii="Arial" w:cs="Arial" w:eastAsia="Arial" w:hAnsi="Arial"/>
          <w:sz w:val="18"/>
          <w:szCs w:val="18"/>
          <w:color w:val="auto"/>
        </w:rPr>
      </w:pPr>
    </w:p>
    <w:p>
      <w:pPr>
        <w:ind w:left="660" w:right="80" w:hanging="652"/>
        <w:spacing w:after="0" w:line="263"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right="240" w:hanging="652"/>
        <w:spacing w:after="0" w:line="263"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00" w:hanging="644"/>
        <w:spacing w:after="0" w:line="263" w:lineRule="auto"/>
        <w:tabs>
          <w:tab w:leader="none" w:pos="13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540" w:hanging="644"/>
        <w:spacing w:after="0" w:line="285" w:lineRule="auto"/>
        <w:tabs>
          <w:tab w:leader="none" w:pos="1315"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7"/>
          <w:szCs w:val="17"/>
          <w:color w:val="auto"/>
        </w:rPr>
      </w:pPr>
    </w:p>
    <w:p>
      <w:pPr>
        <w:ind w:left="1300" w:right="300" w:hanging="644"/>
        <w:spacing w:after="0" w:line="263" w:lineRule="auto"/>
        <w:tabs>
          <w:tab w:leader="none" w:pos="1316"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00" w:right="60" w:hanging="644"/>
        <w:spacing w:after="0" w:line="263" w:lineRule="auto"/>
        <w:tabs>
          <w:tab w:leader="none" w:pos="13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300" w:right="420" w:hanging="644"/>
        <w:spacing w:after="0" w:line="263" w:lineRule="auto"/>
        <w:tabs>
          <w:tab w:leader="none" w:pos="13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00" w:right="760" w:hanging="644"/>
        <w:spacing w:after="0" w:line="275" w:lineRule="auto"/>
        <w:tabs>
          <w:tab w:leader="none" w:pos="13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Date: July 25, 2023</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McDonnell</w:t>
            </w:r>
          </w:p>
        </w:tc>
      </w:tr>
      <w:tr>
        <w:trPr>
          <w:trHeight w:val="223"/>
        </w:trPr>
        <w:tc>
          <w:tcPr>
            <w:tcW w:w="62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Michael R. McDonnell</w:t>
            </w:r>
          </w:p>
        </w:tc>
      </w:tr>
      <w:tr>
        <w:trPr>
          <w:trHeight w:val="230"/>
        </w:trPr>
        <w:tc>
          <w:tcPr>
            <w:tcW w:w="62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9" w:lineRule="exact"/>
        <w:rPr>
          <w:sz w:val="20"/>
          <w:szCs w:val="20"/>
          <w:color w:val="auto"/>
        </w:rPr>
      </w:pPr>
    </w:p>
    <w:p>
      <w:pPr>
        <w:ind w:right="100" w:firstLine="446"/>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30" w:lineRule="exact"/>
        <w:rPr>
          <w:sz w:val="20"/>
          <w:szCs w:val="20"/>
          <w:color w:val="auto"/>
        </w:rPr>
      </w:pPr>
    </w:p>
    <w:p>
      <w:pPr>
        <w:ind w:right="420" w:firstLine="446"/>
        <w:spacing w:after="0" w:line="263" w:lineRule="auto"/>
        <w:rPr>
          <w:sz w:val="20"/>
          <w:szCs w:val="20"/>
          <w:color w:val="auto"/>
        </w:rPr>
      </w:pPr>
      <w:r>
        <w:rPr>
          <w:rFonts w:ascii="Arial" w:cs="Arial" w:eastAsia="Arial" w:hAnsi="Arial"/>
          <w:sz w:val="18"/>
          <w:szCs w:val="18"/>
          <w:color w:val="auto"/>
        </w:rPr>
        <w:t>The Quarterly Report on Form 10-Q for the quarter ended June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Date: July 25, 2023</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 Viehbacher</w:t>
            </w:r>
          </w:p>
        </w:tc>
      </w:tr>
      <w:tr>
        <w:trPr>
          <w:trHeight w:val="223"/>
        </w:trPr>
        <w:tc>
          <w:tcPr>
            <w:tcW w:w="62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Christopher A. Viehbacher</w:t>
            </w:r>
          </w:p>
        </w:tc>
      </w:tr>
      <w:tr>
        <w:trPr>
          <w:trHeight w:val="229"/>
        </w:trPr>
        <w:tc>
          <w:tcPr>
            <w:tcW w:w="62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6220" w:type="dxa"/>
            <w:vAlign w:val="bottom"/>
          </w:tcPr>
          <w:p>
            <w:pPr>
              <w:spacing w:after="0"/>
              <w:rPr>
                <w:sz w:val="21"/>
                <w:szCs w:val="21"/>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34"/>
        </w:trPr>
        <w:tc>
          <w:tcPr>
            <w:tcW w:w="6220" w:type="dxa"/>
            <w:vAlign w:val="bottom"/>
          </w:tcPr>
          <w:p>
            <w:pPr>
              <w:spacing w:after="0"/>
              <w:rPr>
                <w:sz w:val="20"/>
                <w:szCs w:val="20"/>
                <w:color w:val="auto"/>
              </w:rPr>
            </w:pPr>
            <w:r>
              <w:rPr>
                <w:rFonts w:ascii="Arial" w:cs="Arial" w:eastAsia="Arial" w:hAnsi="Arial"/>
                <w:sz w:val="18"/>
                <w:szCs w:val="18"/>
                <w:color w:val="auto"/>
              </w:rPr>
              <w:t>Date: July 25, 2023</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McDonnell</w:t>
            </w:r>
          </w:p>
        </w:tc>
      </w:tr>
      <w:tr>
        <w:trPr>
          <w:trHeight w:val="223"/>
        </w:trPr>
        <w:tc>
          <w:tcPr>
            <w:tcW w:w="62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Michael R. McDonnell</w:t>
            </w:r>
          </w:p>
        </w:tc>
      </w:tr>
      <w:tr>
        <w:trPr>
          <w:trHeight w:val="229"/>
        </w:trPr>
        <w:tc>
          <w:tcPr>
            <w:tcW w:w="62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6220" w:type="dxa"/>
            <w:vAlign w:val="bottom"/>
          </w:tcPr>
          <w:p>
            <w:pPr>
              <w:spacing w:after="0"/>
              <w:rPr>
                <w:sz w:val="21"/>
                <w:szCs w:val="21"/>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352" w:lineRule="exact"/>
        <w:rPr>
          <w:sz w:val="20"/>
          <w:szCs w:val="20"/>
          <w:color w:val="auto"/>
        </w:rPr>
      </w:pPr>
    </w:p>
    <w:p>
      <w:pPr>
        <w:ind w:right="580" w:firstLine="446"/>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2023-07-25T15:35:31Z</dcterms:created>
  <dcterms:modified xsi:type="dcterms:W3CDTF">2023-07-25T15:35:31Z</dcterms:modified>
</cp:coreProperties>
</file>