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12065</wp:posOffset>
            </wp:positionV>
            <wp:extent cx="1011555" cy="334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155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993" w:right="339" w:bottom="144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51" w:lineRule="exact"/>
        <w:rPr>
          <w:sz w:val="24"/>
          <w:szCs w:val="24"/>
          <w:color w:val="auto"/>
        </w:rPr>
      </w:pPr>
    </w:p>
    <w:p>
      <w:pPr>
        <w:sectPr>
          <w:pgSz w:w="11900" w:h="16838" w:orient="portrait"/>
          <w:cols w:equalWidth="0" w:num="3">
            <w:col w:w="4960" w:space="720"/>
            <w:col w:w="2420" w:space="720"/>
            <w:col w:w="2420"/>
          </w:cols>
          <w:pgMar w:left="320" w:top="993" w:right="3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440" w:space="720"/>
            <w:col w:w="2360" w:space="720"/>
            <w:col w:w="3000"/>
          </w:cols>
          <w:pgMar w:left="320" w:top="993" w:right="339" w:bottom="1440"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225 Binney Street, Cambridge, Massachusetts </w:t>
      </w:r>
      <w:r>
        <w:rPr>
          <w:rFonts w:ascii="Arial" w:cs="Arial" w:eastAsia="Arial" w:hAnsi="Arial"/>
          <w:sz w:val="18"/>
          <w:szCs w:val="18"/>
          <w:color w:val="auto"/>
        </w:rPr>
        <w:t>02142</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47" w:lineRule="exact"/>
        <w:rPr>
          <w:rFonts w:ascii="MS PGothic" w:cs="MS PGothic" w:eastAsia="MS PGothic" w:hAnsi="MS PGothic"/>
          <w:sz w:val="22"/>
          <w:szCs w:val="22"/>
          <w:color w:val="auto"/>
        </w:rPr>
      </w:pPr>
    </w:p>
    <w:p>
      <w:pPr>
        <w:ind w:left="380" w:hanging="372"/>
        <w:spacing w:after="0" w:line="233"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5" w:lineRule="exact"/>
        <w:rPr>
          <w:rFonts w:ascii="MS PGothic" w:cs="MS PGothic" w:eastAsia="MS PGothic" w:hAnsi="MS PGothic"/>
          <w:sz w:val="22"/>
          <w:szCs w:val="22"/>
          <w:color w:val="auto"/>
        </w:rPr>
      </w:pPr>
    </w:p>
    <w:p>
      <w:pPr>
        <w:ind w:left="380" w:hanging="372"/>
        <w:spacing w:after="0" w:line="233"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5" w:lineRule="exact"/>
        <w:rPr>
          <w:rFonts w:ascii="MS PGothic" w:cs="MS PGothic" w:eastAsia="MS PGothic" w:hAnsi="MS PGothic"/>
          <w:sz w:val="22"/>
          <w:szCs w:val="22"/>
          <w:color w:val="auto"/>
        </w:rPr>
      </w:pPr>
    </w:p>
    <w:p>
      <w:pPr>
        <w:ind w:left="380" w:hanging="372"/>
        <w:spacing w:after="0" w:line="233"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0" w:type="dxa"/>
        <w:tblCellMar>
          <w:top w:w="0" w:type="dxa"/>
          <w:left w:w="0" w:type="dxa"/>
          <w:bottom w:w="0" w:type="dxa"/>
          <w:right w:w="0" w:type="dxa"/>
        </w:tblCellMar>
      </w:tblPr>
      <w:tr>
        <w:trPr>
          <w:trHeight w:val="194"/>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3660" w:type="dxa"/>
            <w:vAlign w:val="bottom"/>
          </w:tcPr>
          <w:p>
            <w:pPr>
              <w:ind w:left="400"/>
              <w:spacing w:after="0"/>
              <w:rPr>
                <w:sz w:val="20"/>
                <w:szCs w:val="20"/>
                <w:color w:val="auto"/>
              </w:rPr>
            </w:pPr>
            <w:r>
              <w:rPr>
                <w:rFonts w:ascii="Arial" w:cs="Arial" w:eastAsia="Arial" w:hAnsi="Arial"/>
                <w:sz w:val="14"/>
                <w:szCs w:val="14"/>
                <w:color w:val="auto"/>
              </w:rPr>
              <w:t>Name of each exchange on which registered</w:t>
            </w:r>
          </w:p>
        </w:tc>
      </w:tr>
      <w:tr>
        <w:trPr>
          <w:trHeight w:val="244"/>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$0.0005 par value</w:t>
            </w:r>
          </w:p>
        </w:tc>
        <w:tc>
          <w:tcPr>
            <w:tcW w:w="100" w:type="dxa"/>
            <w:vAlign w:val="bottom"/>
          </w:tcPr>
          <w:p>
            <w:pPr>
              <w:spacing w:after="0"/>
              <w:rPr>
                <w:sz w:val="21"/>
                <w:szCs w:val="21"/>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BIIB</w:t>
            </w:r>
          </w:p>
        </w:tc>
        <w:tc>
          <w:tcPr>
            <w:tcW w:w="120" w:type="dxa"/>
            <w:vAlign w:val="bottom"/>
          </w:tcPr>
          <w:p>
            <w:pPr>
              <w:spacing w:after="0"/>
              <w:rPr>
                <w:sz w:val="21"/>
                <w:szCs w:val="21"/>
                <w:color w:val="auto"/>
              </w:rPr>
            </w:pPr>
          </w:p>
        </w:tc>
        <w:tc>
          <w:tcPr>
            <w:tcW w:w="3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The Nasdaq Global Select Market</w:t>
            </w:r>
          </w:p>
        </w:tc>
      </w:tr>
    </w:tbl>
    <w:p>
      <w:pPr>
        <w:spacing w:after="0" w:line="301"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0"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Emerging growth company</w:t>
      </w:r>
    </w:p>
    <w:p>
      <w:pPr>
        <w:spacing w:after="0" w:line="232" w:lineRule="exact"/>
        <w:rPr>
          <w:sz w:val="24"/>
          <w:szCs w:val="24"/>
          <w:color w:val="auto"/>
        </w:rPr>
      </w:pPr>
    </w:p>
    <w:p>
      <w:pPr>
        <w:ind w:right="20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type w:val="continuous"/>
        </w:sectPr>
      </w:pPr>
    </w:p>
    <w:bookmarkStart w:id="1" w:name="page2"/>
    <w:bookmarkEnd w:id="1"/>
    <w:p>
      <w:pPr>
        <w:spacing w:after="0"/>
        <w:tabs>
          <w:tab w:leader="none" w:pos="1220" w:val="left"/>
        </w:tabs>
        <w:rPr>
          <w:sz w:val="20"/>
          <w:szCs w:val="20"/>
          <w:color w:val="auto"/>
        </w:rPr>
      </w:pPr>
      <w:r>
        <w:rPr>
          <w:rFonts w:ascii="Arial" w:cs="Arial" w:eastAsia="Arial" w:hAnsi="Arial"/>
          <w:sz w:val="22"/>
          <w:szCs w:val="22"/>
          <w:b w:val="1"/>
          <w:bCs w:val="1"/>
          <w:color w:val="1C5A7D"/>
        </w:rPr>
        <w:t>Item 2.02</w:t>
      </w:r>
      <w:r>
        <w:rPr>
          <w:sz w:val="20"/>
          <w:szCs w:val="20"/>
          <w:color w:val="auto"/>
        </w:rPr>
        <w:tab/>
      </w:r>
      <w:r>
        <w:rPr>
          <w:rFonts w:ascii="Arial" w:cs="Arial" w:eastAsia="Arial" w:hAnsi="Arial"/>
          <w:sz w:val="21"/>
          <w:szCs w:val="21"/>
          <w:b w:val="1"/>
          <w:bCs w:val="1"/>
          <w:color w:val="1C5A7D"/>
        </w:rPr>
        <w:t>Results of Operations and Financial Condition</w:t>
      </w:r>
    </w:p>
    <w:p>
      <w:pPr>
        <w:spacing w:after="0" w:line="16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Biogen Inc. (Biogen) expects that its GAAP and non-GAAP results for the first quarter of 2026 will include acquired in-process research and development, upfront and milestone expense of approximately $34 million on a pre-tax basis. The estimated charge is expected to impact GAAP and non-GAAP net income per diluted share for the first quarter of 2026 by approximately $0.19 per share.</w:t>
      </w:r>
    </w:p>
    <w:p>
      <w:pPr>
        <w:spacing w:after="0" w:line="19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 Biogen does not forecast such acquired in-process research and development, upfront and milestone expense due to the uncertainty of the future occurrence, magnitude and timing of these transactions in any given period.</w:t>
      </w:r>
    </w:p>
    <w:p>
      <w:pPr>
        <w:spacing w:after="0" w:line="2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Results for the quarter ended March 31, 2026, have not been finalized and are subject to our financial statement closing procedures. There can be no assurance that our final results will not differ from the preliminary unaudited estimates described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Regarding Forward-Looking Statements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Current Report on Form 8-K contains forward-looking statements relating to our financial and operating results and financial guidance,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“should,” “target,” “will,” “would” or the negative of these words or other words and terms of similar meaning.</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Given their forward-looking nature, these statements involve substantial risks and uncertainties and may be based on inaccurate assumptions and could cause actual results to differ materially from those reflected in such statements. The information above includes, among others, forward-looking statements reflecting management’s current intentions and expectations for the future with respect to Biogen’s estimated acquired in-process research and development, upfront and milestone expense for the quarter ended March 31, 2026, and the related impact to Biogen’s GAAP and non-GAAP earnings per share for such period. These forward-looking statements are based on management's current beliefs and assumptions and on information currently available to management. Given their nature, we cannot assure that any outcome expressed in these forward-looking statements will be realized in whole or in part.</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statements speak only as of the date of this Current Report on Form 8-K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and Form 10-K,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1C5A7D"/>
        </w:rPr>
        <w:t>Signatures</w:t>
      </w:r>
    </w:p>
    <w:p>
      <w:pPr>
        <w:spacing w:after="0" w:line="2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By: /s/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-7620</wp:posOffset>
            </wp:positionV>
            <wp:extent cx="143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891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Wendell Taylor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2026</w:t>
      </w:r>
    </w:p>
    <w:sectPr>
      <w:pgSz w:w="11900" w:h="16838" w:orient="portrait"/>
      <w:cols w:equalWidth="0" w:num="1">
        <w:col w:w="11220"/>
      </w:cols>
      <w:pgMar w:left="320" w:top="11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2026-04-06T05:33:37Z</dcterms:created>
  <dcterms:modified xsi:type="dcterms:W3CDTF">2026-04-06T05:33:37Z</dcterms:modified>
</cp:coreProperties>
</file>