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440055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4" w:lineRule="exact"/>
        <w:rPr>
          <w:sz w:val="24"/>
          <w:szCs w:val="24"/>
          <w:color w:val="auto"/>
        </w:rPr>
      </w:pPr>
    </w:p>
    <w:p>
      <w:pPr>
        <w:ind w:left="680"/>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w:t>
      </w:r>
    </w:p>
    <w:p>
      <w:pPr>
        <w:spacing w:after="0" w:line="3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OF 1934</w:t>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September 30, 2026</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680"/>
        <w:spacing w:after="0"/>
        <w:rPr>
          <w:sz w:val="20"/>
          <w:szCs w:val="20"/>
          <w:color w:val="auto"/>
        </w:rPr>
      </w:pPr>
      <w:r>
        <w:rPr>
          <w:rFonts w:ascii="Arial" w:cs="Arial" w:eastAsia="Arial" w:hAnsi="Arial"/>
          <w:sz w:val="22"/>
          <w:szCs w:val="22"/>
          <w:b w:val="1"/>
          <w:bCs w:val="1"/>
          <w:color w:val="auto"/>
        </w:rPr>
        <w:t>TRANSITION REPORT PURSUANT TO SECTION 13 OR 15(d) OF THE SECURITIES EXCHANGE ACT</w:t>
      </w:r>
    </w:p>
    <w:p>
      <w:pPr>
        <w:spacing w:after="0" w:line="30"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0-19311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94615</wp:posOffset>
            </wp:positionV>
            <wp:extent cx="788670" cy="257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8670" cy="25717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BIOGEN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36" w:lineRule="exact"/>
        <w:rPr>
          <w:sz w:val="24"/>
          <w:szCs w:val="24"/>
          <w:color w:val="auto"/>
        </w:rPr>
      </w:pPr>
    </w:p>
    <w:p>
      <w:pPr>
        <w:ind w:left="2440"/>
        <w:spacing w:after="0"/>
        <w:tabs>
          <w:tab w:leader="none" w:pos="818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33-0112644</w:t>
      </w:r>
    </w:p>
    <w:p>
      <w:pPr>
        <w:spacing w:after="0" w:line="30" w:lineRule="exact"/>
        <w:rPr>
          <w:sz w:val="24"/>
          <w:szCs w:val="24"/>
          <w:color w:val="auto"/>
        </w:rPr>
      </w:pPr>
    </w:p>
    <w:p>
      <w:pPr>
        <w:ind w:left="1860"/>
        <w:spacing w:after="0"/>
        <w:tabs>
          <w:tab w:leader="none" w:pos="8020" w:val="left"/>
        </w:tabs>
        <w:rPr>
          <w:sz w:val="20"/>
          <w:szCs w:val="20"/>
          <w:color w:val="auto"/>
        </w:rPr>
      </w:pPr>
      <w:r>
        <w:rPr>
          <w:rFonts w:ascii="Arial" w:cs="Arial" w:eastAsia="Arial" w:hAnsi="Arial"/>
          <w:sz w:val="14"/>
          <w:szCs w:val="14"/>
          <w:i w:val="1"/>
          <w:iCs w:val="1"/>
          <w:color w:val="auto"/>
        </w:rPr>
        <w:t>(State or other jurisdiction of</w:t>
      </w:r>
      <w:r>
        <w:rPr>
          <w:sz w:val="20"/>
          <w:szCs w:val="20"/>
          <w:color w:val="auto"/>
        </w:rPr>
        <w:tab/>
      </w:r>
      <w:r>
        <w:rPr>
          <w:rFonts w:ascii="Arial" w:cs="Arial" w:eastAsia="Arial" w:hAnsi="Arial"/>
          <w:sz w:val="14"/>
          <w:szCs w:val="14"/>
          <w:i w:val="1"/>
          <w:iCs w:val="1"/>
          <w:color w:val="auto"/>
        </w:rPr>
        <w:t>(I.R.S. Employer</w:t>
      </w:r>
    </w:p>
    <w:p>
      <w:pPr>
        <w:ind w:left="1820"/>
        <w:spacing w:after="0"/>
        <w:tabs>
          <w:tab w:leader="none" w:pos="8000" w:val="left"/>
        </w:tabs>
        <w:rPr>
          <w:sz w:val="20"/>
          <w:szCs w:val="20"/>
          <w:color w:val="auto"/>
        </w:rPr>
      </w:pPr>
      <w:r>
        <w:rPr>
          <w:rFonts w:ascii="Arial" w:cs="Arial" w:eastAsia="Arial" w:hAnsi="Arial"/>
          <w:sz w:val="14"/>
          <w:szCs w:val="14"/>
          <w:i w:val="1"/>
          <w:iCs w:val="1"/>
          <w:color w:val="auto"/>
        </w:rPr>
        <w:t>incorporation or organization)</w:t>
      </w:r>
      <w:r>
        <w:rPr>
          <w:sz w:val="20"/>
          <w:szCs w:val="20"/>
          <w:color w:val="auto"/>
        </w:rPr>
        <w:tab/>
      </w:r>
      <w:r>
        <w:rPr>
          <w:rFonts w:ascii="Arial" w:cs="Arial" w:eastAsia="Arial" w:hAnsi="Arial"/>
          <w:sz w:val="14"/>
          <w:szCs w:val="14"/>
          <w:i w:val="1"/>
          <w:iCs w:val="1"/>
          <w:color w:val="auto"/>
        </w:rPr>
        <w:t>Identification No.)</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225 Binney Street, Cambridge, MA 02142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679-2000</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including zip code, and telephone number, including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area code, of registrant’s principal executive offices)</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0" w:lineRule="exact"/>
        <w:rPr>
          <w:sz w:val="24"/>
          <w:szCs w:val="24"/>
          <w:color w:val="auto"/>
        </w:rPr>
      </w:pPr>
    </w:p>
    <w:p>
      <w:pPr>
        <w:ind w:left="1460"/>
        <w:spacing w:after="0"/>
        <w:tabs>
          <w:tab w:leader="none" w:pos="4520" w:val="left"/>
          <w:tab w:leader="none" w:pos="7240" w:val="left"/>
        </w:tabs>
        <w:rPr>
          <w:sz w:val="20"/>
          <w:szCs w:val="20"/>
          <w:color w:val="auto"/>
        </w:rPr>
      </w:pPr>
      <w:r>
        <w:rPr>
          <w:rFonts w:ascii="Arial" w:cs="Arial" w:eastAsia="Arial" w:hAnsi="Arial"/>
          <w:sz w:val="14"/>
          <w:szCs w:val="14"/>
          <w:color w:val="auto"/>
        </w:rPr>
        <w:t>Title of each class</w:t>
      </w:r>
      <w:r>
        <w:rPr>
          <w:sz w:val="20"/>
          <w:szCs w:val="20"/>
          <w:color w:val="auto"/>
        </w:rPr>
        <w:tab/>
      </w:r>
      <w:r>
        <w:rPr>
          <w:rFonts w:ascii="Arial" w:cs="Arial" w:eastAsia="Arial" w:hAnsi="Arial"/>
          <w:sz w:val="14"/>
          <w:szCs w:val="14"/>
          <w:color w:val="auto"/>
        </w:rPr>
        <w:t>Trading Symbol(s)</w:t>
      </w:r>
      <w:r>
        <w:rPr>
          <w:sz w:val="20"/>
          <w:szCs w:val="20"/>
          <w:color w:val="auto"/>
        </w:rPr>
        <w:tab/>
      </w:r>
      <w:r>
        <w:rPr>
          <w:rFonts w:ascii="Arial" w:cs="Arial" w:eastAsia="Arial" w:hAnsi="Arial"/>
          <w:sz w:val="14"/>
          <w:szCs w:val="14"/>
          <w:color w:val="auto"/>
        </w:rPr>
        <w:t>Name of each exchange on which registered</w:t>
      </w:r>
    </w:p>
    <w:p>
      <w:pPr>
        <w:spacing w:after="0" w:line="42" w:lineRule="exact"/>
        <w:rPr>
          <w:sz w:val="24"/>
          <w:szCs w:val="24"/>
          <w:color w:val="auto"/>
        </w:rPr>
      </w:pPr>
    </w:p>
    <w:p>
      <w:pPr>
        <w:ind w:left="860"/>
        <w:spacing w:after="0"/>
        <w:tabs>
          <w:tab w:leader="none" w:pos="4960" w:val="left"/>
          <w:tab w:leader="none" w:pos="7540" w:val="left"/>
        </w:tabs>
        <w:rPr>
          <w:sz w:val="20"/>
          <w:szCs w:val="20"/>
          <w:color w:val="auto"/>
        </w:rPr>
      </w:pPr>
      <w:r>
        <w:rPr>
          <w:rFonts w:ascii="Arial" w:cs="Arial" w:eastAsia="Arial" w:hAnsi="Arial"/>
          <w:sz w:val="14"/>
          <w:szCs w:val="14"/>
          <w:b w:val="1"/>
          <w:bCs w:val="1"/>
          <w:color w:val="auto"/>
        </w:rPr>
        <w:t>Common Stock, $0.0005 par value</w:t>
      </w:r>
      <w:r>
        <w:rPr>
          <w:sz w:val="20"/>
          <w:szCs w:val="20"/>
          <w:color w:val="auto"/>
        </w:rPr>
        <w:tab/>
      </w:r>
      <w:r>
        <w:rPr>
          <w:rFonts w:ascii="Arial" w:cs="Arial" w:eastAsia="Arial" w:hAnsi="Arial"/>
          <w:sz w:val="14"/>
          <w:szCs w:val="14"/>
          <w:b w:val="1"/>
          <w:bCs w:val="1"/>
          <w:color w:val="auto"/>
        </w:rPr>
        <w:t>BIIB</w:t>
      </w:r>
      <w:r>
        <w:rPr>
          <w:sz w:val="20"/>
          <w:szCs w:val="20"/>
          <w:color w:val="auto"/>
        </w:rPr>
        <w:tab/>
      </w:r>
      <w:r>
        <w:rPr>
          <w:rFonts w:ascii="Arial" w:cs="Arial" w:eastAsia="Arial" w:hAnsi="Arial"/>
          <w:sz w:val="14"/>
          <w:szCs w:val="14"/>
          <w:b w:val="1"/>
          <w:bCs w:val="1"/>
          <w:color w:val="auto"/>
        </w:rPr>
        <w:t>The Nasdaq Global Select Market</w:t>
      </w:r>
    </w:p>
    <w:p>
      <w:pPr>
        <w:spacing w:after="0" w:line="126" w:lineRule="exact"/>
        <w:rPr>
          <w:sz w:val="24"/>
          <w:szCs w:val="24"/>
          <w:color w:val="auto"/>
        </w:rPr>
      </w:pPr>
    </w:p>
    <w:p>
      <w:pPr>
        <w:ind w:right="240" w:firstLine="445"/>
        <w:spacing w:after="0" w:line="268"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firstLine="445"/>
        <w:spacing w:after="0" w:line="268"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ectPr>
          <w:pgSz w:w="11900" w:h="16838" w:orient="portrait"/>
          <w:cols w:equalWidth="0" w:num="1">
            <w:col w:w="11220"/>
          </w:cols>
          <w:pgMar w:left="320" w:top="790" w:right="359" w:bottom="1440" w:gutter="0" w:footer="0" w:header="0"/>
        </w:sectPr>
      </w:pPr>
    </w:p>
    <w:p>
      <w:pPr>
        <w:spacing w:after="0" w:line="63" w:lineRule="exact"/>
        <w:rPr>
          <w:sz w:val="24"/>
          <w:szCs w:val="24"/>
          <w:color w:val="auto"/>
        </w:rPr>
      </w:pPr>
    </w:p>
    <w:p>
      <w:pPr>
        <w:ind w:right="40" w:firstLine="445"/>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7" w:lineRule="exact"/>
        <w:rPr>
          <w:sz w:val="24"/>
          <w:szCs w:val="24"/>
          <w:color w:val="auto"/>
        </w:rPr>
      </w:pPr>
    </w:p>
    <w:p>
      <w:pPr>
        <w:ind w:left="20"/>
        <w:spacing w:after="0"/>
        <w:tabs>
          <w:tab w:leader="none" w:pos="2580" w:val="left"/>
          <w:tab w:leader="none" w:pos="97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Wingdings" w:cs="Wingdings" w:eastAsia="Wingdings" w:hAnsi="Wingdings"/>
          <w:sz w:val="14"/>
          <w:szCs w:val="14"/>
          <w:b w:val="1"/>
          <w:bCs w:val="1"/>
          <w:color w:val="auto"/>
        </w:rPr>
        <w:t>x</w:t>
      </w:r>
      <w:r>
        <w:rPr>
          <w:sz w:val="20"/>
          <w:szCs w:val="20"/>
          <w:color w:val="auto"/>
        </w:rPr>
        <w:tab/>
      </w:r>
      <w:r>
        <w:rPr>
          <w:rFonts w:ascii="Arial" w:cs="Arial" w:eastAsia="Arial" w:hAnsi="Arial"/>
          <w:sz w:val="14"/>
          <w:szCs w:val="14"/>
          <w:color w:val="auto"/>
        </w:rPr>
        <w:t>Accelerated filer</w:t>
      </w:r>
    </w:p>
    <w:p>
      <w:pPr>
        <w:spacing w:after="0" w:line="29" w:lineRule="exact"/>
        <w:rPr>
          <w:sz w:val="24"/>
          <w:szCs w:val="24"/>
          <w:color w:val="auto"/>
        </w:rPr>
      </w:pPr>
    </w:p>
    <w:p>
      <w:pPr>
        <w:ind w:left="20"/>
        <w:spacing w:after="0" w:line="221" w:lineRule="exact"/>
        <w:tabs>
          <w:tab w:leader="none" w:pos="2580" w:val="left"/>
          <w:tab w:leader="none" w:pos="91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14"/>
          <w:szCs w:val="14"/>
          <w:color w:val="auto"/>
        </w:rPr>
        <w:t>Smaller reporting company</w:t>
      </w:r>
    </w:p>
    <w:p>
      <w:pPr>
        <w:spacing w:after="0" w:line="130" w:lineRule="exact"/>
        <w:rPr>
          <w:sz w:val="24"/>
          <w:szCs w:val="24"/>
          <w:color w:val="auto"/>
        </w:rPr>
      </w:pPr>
    </w:p>
    <w:p>
      <w:pPr>
        <w:ind w:left="91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5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6" w:lineRule="exact"/>
        <w:rPr>
          <w:sz w:val="24"/>
          <w:szCs w:val="24"/>
          <w:color w:val="auto"/>
        </w:rPr>
      </w:pPr>
    </w:p>
    <w:p>
      <w:pPr>
        <w:sectPr>
          <w:pgSz w:w="11900" w:h="16838" w:orient="portrait"/>
          <w:cols w:equalWidth="0" w:num="2">
            <w:col w:w="10840" w:space="160"/>
            <w:col w:w="220"/>
          </w:cols>
          <w:pgMar w:left="320" w:top="790" w:right="359" w:bottom="1440" w:gutter="0" w:footer="0" w:header="0"/>
          <w:type w:val="continuous"/>
        </w:sectPr>
      </w:pPr>
    </w:p>
    <w:p>
      <w:pPr>
        <w:ind w:right="600" w:firstLine="445"/>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 w:lineRule="exact"/>
        <w:rPr>
          <w:sz w:val="24"/>
          <w:szCs w:val="24"/>
          <w:color w:val="auto"/>
        </w:rPr>
      </w:pPr>
    </w:p>
    <w:p>
      <w:pPr>
        <w:ind w:left="460"/>
        <w:spacing w:after="0" w:line="32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The number of shares of the issuer’s Common Stock, $0.0005 par value, outstanding as of October 26, 2026, was 147,820,223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790"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5B7F"/>
        </w:rPr>
        <w:t>BIOGEN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5B7F"/>
        </w:rPr>
        <w:t>FORM 10-Q — Quarterly Report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5B7F"/>
        </w:rPr>
        <w:t>For the Quarterly Period Ended September 30, 2026</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0070C0"/>
        </w:rPr>
        <w:t>TABLE OF CONTENTS</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80" w:type="dxa"/>
            <w:vAlign w:val="bottom"/>
            <w:gridSpan w:val="11"/>
            <w:vMerge w:val="restart"/>
          </w:tcPr>
          <w:p>
            <w:pPr>
              <w:ind w:left="780"/>
              <w:spacing w:after="0"/>
              <w:rPr>
                <w:sz w:val="20"/>
                <w:szCs w:val="20"/>
                <w:color w:val="auto"/>
              </w:rPr>
            </w:pPr>
            <w:r>
              <w:rPr>
                <w:rFonts w:ascii="Arial" w:cs="Arial" w:eastAsia="Arial" w:hAnsi="Arial"/>
                <w:sz w:val="16"/>
                <w:szCs w:val="16"/>
                <w:b w:val="1"/>
                <w:bCs w:val="1"/>
                <w:color w:val="auto"/>
              </w:rPr>
              <w:t xml:space="preserve">PART I — </w:t>
            </w:r>
            <w:r>
              <w:rPr>
                <w:rFonts w:ascii="Arial" w:cs="Arial" w:eastAsia="Arial" w:hAnsi="Arial"/>
                <w:sz w:val="16"/>
                <w:szCs w:val="16"/>
                <w:b w:val="1"/>
                <w:bCs w:val="1"/>
                <w:color w:val="0000FF"/>
              </w:rPr>
              <w:t>FINANCIAL INFORMATION</w:t>
            </w:r>
          </w:p>
        </w:tc>
        <w:tc>
          <w:tcPr>
            <w:tcW w:w="112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80" w:type="dxa"/>
            <w:vAlign w:val="bottom"/>
            <w:gridSpan w:val="11"/>
            <w:vMerge w:val="continue"/>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3920" w:type="dxa"/>
            <w:vAlign w:val="bottom"/>
            <w:gridSpan w:val="4"/>
          </w:tcPr>
          <w:p>
            <w:pPr>
              <w:spacing w:after="0"/>
              <w:rPr>
                <w:sz w:val="20"/>
                <w:szCs w:val="20"/>
                <w:color w:val="auto"/>
              </w:rPr>
            </w:pPr>
            <w:r>
              <w:rPr>
                <w:rFonts w:ascii="Arial" w:cs="Arial" w:eastAsia="Arial" w:hAnsi="Arial"/>
                <w:sz w:val="16"/>
                <w:szCs w:val="16"/>
                <w:color w:val="0000FF"/>
              </w:rPr>
              <w:t>Financial Statements (unaudited)</w:t>
            </w:r>
          </w:p>
        </w:tc>
        <w:tc>
          <w:tcPr>
            <w:tcW w:w="2040" w:type="dxa"/>
            <w:vAlign w:val="bottom"/>
            <w:tcBorders>
              <w:top w:val="single" w:sz="8" w:color="0000FF"/>
            </w:tcBorders>
            <w:gridSpan w:val="3"/>
          </w:tcPr>
          <w:p>
            <w:pPr>
              <w:spacing w:after="0"/>
              <w:rPr>
                <w:sz w:val="21"/>
                <w:szCs w:val="21"/>
                <w:color w:val="auto"/>
              </w:rPr>
            </w:pPr>
          </w:p>
        </w:tc>
        <w:tc>
          <w:tcPr>
            <w:tcW w:w="3080" w:type="dxa"/>
            <w:vAlign w:val="bottom"/>
            <w:gridSpan w:val="7"/>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4"/>
          </w:tcPr>
          <w:p>
            <w:pPr>
              <w:spacing w:after="0"/>
              <w:rPr>
                <w:sz w:val="20"/>
                <w:szCs w:val="20"/>
                <w:color w:val="auto"/>
              </w:rPr>
            </w:pPr>
            <w:r>
              <w:rPr>
                <w:rFonts w:ascii="Arial" w:cs="Arial" w:eastAsia="Arial" w:hAnsi="Arial"/>
                <w:sz w:val="16"/>
                <w:szCs w:val="16"/>
                <w:color w:val="0000FF"/>
              </w:rPr>
              <w:t>Condensed Consolidated Statements of Income — For the Three and Nine Months Ended September 30, 2026 and 2025</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4"/>
          </w:tcPr>
          <w:p>
            <w:pPr>
              <w:spacing w:after="0"/>
              <w:rPr>
                <w:sz w:val="20"/>
                <w:szCs w:val="20"/>
                <w:color w:val="auto"/>
              </w:rPr>
            </w:pPr>
            <w:r>
              <w:rPr>
                <w:rFonts w:ascii="Arial" w:cs="Arial" w:eastAsia="Arial" w:hAnsi="Arial"/>
                <w:sz w:val="16"/>
                <w:szCs w:val="16"/>
                <w:color w:val="0000FF"/>
              </w:rPr>
              <w:t>Condensed Consolidated Statements of Comprehensive Income — For the Three and Nine Months Ended September 30,</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08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9"/>
              </w:rPr>
              <w:t>2026 and 2025</w:t>
            </w:r>
          </w:p>
        </w:tc>
        <w:tc>
          <w:tcPr>
            <w:tcW w:w="7660" w:type="dxa"/>
            <w:vAlign w:val="bottom"/>
            <w:tcBorders>
              <w:top w:val="single" w:sz="8" w:color="0000FF"/>
            </w:tcBorders>
            <w:gridSpan w:val="12"/>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4"/>
          </w:tcPr>
          <w:p>
            <w:pPr>
              <w:spacing w:after="0"/>
              <w:rPr>
                <w:sz w:val="20"/>
                <w:szCs w:val="20"/>
                <w:color w:val="auto"/>
              </w:rPr>
            </w:pPr>
            <w:r>
              <w:rPr>
                <w:rFonts w:ascii="Arial" w:cs="Arial" w:eastAsia="Arial" w:hAnsi="Arial"/>
                <w:sz w:val="16"/>
                <w:szCs w:val="16"/>
                <w:color w:val="0000FF"/>
              </w:rPr>
              <w:t>Condensed Consolidated Balance Sheets — As of September 30, 2026 and December 31, 2025</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140" w:type="dxa"/>
            <w:vAlign w:val="bottom"/>
            <w:gridSpan w:val="10"/>
          </w:tcPr>
          <w:p>
            <w:pPr>
              <w:spacing w:after="0"/>
              <w:rPr>
                <w:sz w:val="20"/>
                <w:szCs w:val="20"/>
                <w:color w:val="auto"/>
              </w:rPr>
            </w:pPr>
            <w:r>
              <w:rPr>
                <w:rFonts w:ascii="Arial" w:cs="Arial" w:eastAsia="Arial" w:hAnsi="Arial"/>
                <w:sz w:val="16"/>
                <w:szCs w:val="16"/>
                <w:color w:val="0000FF"/>
              </w:rPr>
              <w:t>Condensed Consolidated Statements of Cash Flow — For the Nine Months Ended September 30, 2026 and 2025</w:t>
            </w:r>
          </w:p>
        </w:tc>
        <w:tc>
          <w:tcPr>
            <w:tcW w:w="900" w:type="dxa"/>
            <w:vAlign w:val="bottom"/>
            <w:gridSpan w:val="4"/>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4"/>
          </w:tcPr>
          <w:p>
            <w:pPr>
              <w:spacing w:after="0"/>
              <w:rPr>
                <w:sz w:val="20"/>
                <w:szCs w:val="20"/>
                <w:color w:val="auto"/>
              </w:rPr>
            </w:pPr>
            <w:r>
              <w:rPr>
                <w:rFonts w:ascii="Arial" w:cs="Arial" w:eastAsia="Arial" w:hAnsi="Arial"/>
                <w:sz w:val="16"/>
                <w:szCs w:val="16"/>
                <w:color w:val="0000FF"/>
              </w:rPr>
              <w:t>Condensed Consolidated Statements of Equity — For the Three and Nine Months Ended September 30, 2026 and 2025</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4020" w:type="dxa"/>
            <w:vAlign w:val="bottom"/>
            <w:gridSpan w:val="5"/>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4580" w:type="dxa"/>
            <w:vAlign w:val="bottom"/>
            <w:gridSpan w:val="6"/>
          </w:tcPr>
          <w:p>
            <w:pPr>
              <w:spacing w:after="0"/>
              <w:rPr>
                <w:sz w:val="21"/>
                <w:szCs w:val="21"/>
                <w:color w:val="auto"/>
              </w:rPr>
            </w:pPr>
          </w:p>
        </w:tc>
        <w:tc>
          <w:tcPr>
            <w:tcW w:w="440" w:type="dxa"/>
            <w:vAlign w:val="bottom"/>
            <w:gridSpan w:val="3"/>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040" w:type="dxa"/>
            <w:vAlign w:val="bottom"/>
            <w:gridSpan w:val="14"/>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240" w:type="dxa"/>
            <w:vAlign w:val="bottom"/>
            <w:gridSpan w:val="6"/>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gridSpan w:val="2"/>
          </w:tcPr>
          <w:p>
            <w:pPr>
              <w:spacing w:after="0"/>
              <w:rPr>
                <w:sz w:val="21"/>
                <w:szCs w:val="21"/>
                <w:color w:val="auto"/>
              </w:rPr>
            </w:pPr>
          </w:p>
        </w:tc>
        <w:tc>
          <w:tcPr>
            <w:tcW w:w="2680" w:type="dxa"/>
            <w:vAlign w:val="bottom"/>
            <w:gridSpan w:val="6"/>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gridSpan w:val="6"/>
          </w:tcPr>
          <w:p>
            <w:pPr>
              <w:spacing w:after="0"/>
              <w:rPr>
                <w:sz w:val="20"/>
                <w:szCs w:val="20"/>
                <w:color w:val="auto"/>
              </w:rPr>
            </w:pPr>
            <w:r>
              <w:rPr>
                <w:rFonts w:ascii="Arial" w:cs="Arial" w:eastAsia="Arial" w:hAnsi="Arial"/>
                <w:sz w:val="16"/>
                <w:szCs w:val="16"/>
                <w:color w:val="0000FF"/>
              </w:rPr>
              <w:t>Controls and Procedures</w:t>
            </w:r>
          </w:p>
        </w:tc>
        <w:tc>
          <w:tcPr>
            <w:tcW w:w="4800" w:type="dxa"/>
            <w:vAlign w:val="bottom"/>
            <w:gridSpan w:val="8"/>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00" w:type="dxa"/>
            <w:vAlign w:val="bottom"/>
            <w:gridSpan w:val="4"/>
          </w:tcPr>
          <w:p>
            <w:pPr>
              <w:ind w:left="1940"/>
              <w:spacing w:after="0"/>
              <w:rPr>
                <w:sz w:val="20"/>
                <w:szCs w:val="20"/>
                <w:color w:val="auto"/>
              </w:rPr>
            </w:pPr>
            <w:r>
              <w:rPr>
                <w:rFonts w:ascii="Arial" w:cs="Arial" w:eastAsia="Arial" w:hAnsi="Arial"/>
                <w:sz w:val="16"/>
                <w:szCs w:val="16"/>
                <w:b w:val="1"/>
                <w:bCs w:val="1"/>
                <w:color w:val="auto"/>
              </w:rPr>
              <w:t xml:space="preserve">PART II — </w:t>
            </w:r>
            <w:r>
              <w:rPr>
                <w:rFonts w:ascii="Arial" w:cs="Arial" w:eastAsia="Arial" w:hAnsi="Arial"/>
                <w:sz w:val="16"/>
                <w:szCs w:val="16"/>
                <w:b w:val="1"/>
                <w:bCs w:val="1"/>
                <w:color w:val="0000FF"/>
              </w:rPr>
              <w:t>OTHER INFORMATION</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340" w:type="dxa"/>
            <w:vAlign w:val="bottom"/>
            <w:gridSpan w:val="4"/>
          </w:tcPr>
          <w:p>
            <w:pPr>
              <w:spacing w:after="0"/>
              <w:rPr>
                <w:sz w:val="20"/>
                <w:szCs w:val="20"/>
                <w:color w:val="auto"/>
              </w:rPr>
            </w:pPr>
            <w:r>
              <w:rPr>
                <w:rFonts w:ascii="Arial" w:cs="Arial" w:eastAsia="Arial" w:hAnsi="Arial"/>
                <w:sz w:val="16"/>
                <w:szCs w:val="16"/>
                <w:color w:val="0000FF"/>
                <w:w w:val="99"/>
              </w:rPr>
              <w:t>Legal Proceedings</w:t>
            </w:r>
          </w:p>
        </w:tc>
        <w:tc>
          <w:tcPr>
            <w:tcW w:w="2740" w:type="dxa"/>
            <w:vAlign w:val="bottom"/>
          </w:tcPr>
          <w:p>
            <w:pPr>
              <w:spacing w:after="0"/>
              <w:rPr>
                <w:sz w:val="21"/>
                <w:szCs w:val="21"/>
                <w:color w:val="auto"/>
              </w:rPr>
            </w:pPr>
          </w:p>
        </w:tc>
        <w:tc>
          <w:tcPr>
            <w:tcW w:w="1740" w:type="dxa"/>
            <w:vAlign w:val="bottom"/>
            <w:tcBorders>
              <w:top w:val="single" w:sz="8" w:color="0000FF"/>
            </w:tcBorders>
            <w:gridSpan w:val="2"/>
          </w:tcPr>
          <w:p>
            <w:pPr>
              <w:spacing w:after="0"/>
              <w:rPr>
                <w:sz w:val="21"/>
                <w:szCs w:val="21"/>
                <w:color w:val="auto"/>
              </w:rPr>
            </w:pPr>
          </w:p>
        </w:tc>
        <w:tc>
          <w:tcPr>
            <w:tcW w:w="2020" w:type="dxa"/>
            <w:vAlign w:val="bottom"/>
          </w:tcPr>
          <w:p>
            <w:pPr>
              <w:spacing w:after="0"/>
              <w:rPr>
                <w:sz w:val="21"/>
                <w:szCs w:val="21"/>
                <w:color w:val="auto"/>
              </w:rPr>
            </w:pPr>
          </w:p>
        </w:tc>
        <w:tc>
          <w:tcPr>
            <w:tcW w:w="2300" w:type="dxa"/>
            <w:vAlign w:val="bottom"/>
            <w:gridSpan w:val="3"/>
          </w:tcPr>
          <w:p>
            <w:pPr>
              <w:jc w:val="right"/>
              <w:spacing w:after="0"/>
              <w:rPr>
                <w:sz w:val="20"/>
                <w:szCs w:val="20"/>
                <w:color w:val="auto"/>
              </w:rPr>
            </w:pPr>
            <w:r>
              <w:rPr>
                <w:rFonts w:ascii="Arial" w:cs="Arial" w:eastAsia="Arial" w:hAnsi="Arial"/>
                <w:sz w:val="16"/>
                <w:szCs w:val="16"/>
                <w:color w:val="0000FF"/>
              </w:rPr>
              <w:t>88</w:t>
            </w: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00" w:type="dxa"/>
            <w:vAlign w:val="bottom"/>
            <w:gridSpan w:val="2"/>
          </w:tcPr>
          <w:p>
            <w:pPr>
              <w:spacing w:after="0"/>
              <w:rPr>
                <w:sz w:val="20"/>
                <w:szCs w:val="20"/>
                <w:color w:val="auto"/>
              </w:rPr>
            </w:pPr>
            <w:r>
              <w:rPr>
                <w:rFonts w:ascii="Arial" w:cs="Arial" w:eastAsia="Arial" w:hAnsi="Arial"/>
                <w:sz w:val="16"/>
                <w:szCs w:val="16"/>
                <w:color w:val="0000FF"/>
                <w:w w:val="98"/>
              </w:rPr>
              <w:t>Risk Factors</w:t>
            </w:r>
          </w:p>
        </w:tc>
        <w:tc>
          <w:tcPr>
            <w:tcW w:w="440" w:type="dxa"/>
            <w:vAlign w:val="bottom"/>
            <w:gridSpan w:val="2"/>
          </w:tcPr>
          <w:p>
            <w:pPr>
              <w:spacing w:after="0"/>
              <w:rPr>
                <w:sz w:val="21"/>
                <w:szCs w:val="21"/>
                <w:color w:val="auto"/>
              </w:rPr>
            </w:pPr>
          </w:p>
        </w:tc>
        <w:tc>
          <w:tcPr>
            <w:tcW w:w="6500" w:type="dxa"/>
            <w:vAlign w:val="bottom"/>
            <w:gridSpan w:val="4"/>
          </w:tcPr>
          <w:p>
            <w:pPr>
              <w:spacing w:after="0"/>
              <w:rPr>
                <w:sz w:val="21"/>
                <w:szCs w:val="21"/>
                <w:color w:val="auto"/>
              </w:rPr>
            </w:pPr>
          </w:p>
        </w:tc>
        <w:tc>
          <w:tcPr>
            <w:tcW w:w="2300" w:type="dxa"/>
            <w:vAlign w:val="bottom"/>
            <w:gridSpan w:val="3"/>
          </w:tcPr>
          <w:p>
            <w:pPr>
              <w:jc w:val="right"/>
              <w:spacing w:after="0"/>
              <w:rPr>
                <w:sz w:val="20"/>
                <w:szCs w:val="20"/>
                <w:color w:val="auto"/>
              </w:rPr>
            </w:pPr>
            <w:r>
              <w:rPr>
                <w:rFonts w:ascii="Arial" w:cs="Arial" w:eastAsia="Arial" w:hAnsi="Arial"/>
                <w:sz w:val="16"/>
                <w:szCs w:val="16"/>
                <w:color w:val="0000FF"/>
              </w:rPr>
              <w:t>88</w:t>
            </w: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43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3480" w:type="dxa"/>
            <w:vAlign w:val="bottom"/>
            <w:gridSpan w:val="2"/>
          </w:tcPr>
          <w:p>
            <w:pPr>
              <w:spacing w:after="0"/>
              <w:rPr>
                <w:sz w:val="21"/>
                <w:szCs w:val="21"/>
                <w:color w:val="auto"/>
              </w:rPr>
            </w:pPr>
          </w:p>
        </w:tc>
        <w:tc>
          <w:tcPr>
            <w:tcW w:w="2020" w:type="dxa"/>
            <w:vAlign w:val="bottom"/>
          </w:tcPr>
          <w:p>
            <w:pPr>
              <w:spacing w:after="0"/>
              <w:rPr>
                <w:sz w:val="21"/>
                <w:szCs w:val="21"/>
                <w:color w:val="auto"/>
              </w:rPr>
            </w:pP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97"/>
              </w:rPr>
              <w:t>104</w:t>
            </w: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Other Information</w:t>
            </w:r>
          </w:p>
        </w:tc>
        <w:tc>
          <w:tcPr>
            <w:tcW w:w="6580" w:type="dxa"/>
            <w:vAlign w:val="bottom"/>
            <w:gridSpan w:val="5"/>
          </w:tcPr>
          <w:p>
            <w:pPr>
              <w:spacing w:after="0"/>
              <w:rPr>
                <w:sz w:val="21"/>
                <w:szCs w:val="21"/>
                <w:color w:val="auto"/>
              </w:rPr>
            </w:pPr>
          </w:p>
        </w:tc>
        <w:tc>
          <w:tcPr>
            <w:tcW w:w="2020" w:type="dxa"/>
            <w:vAlign w:val="bottom"/>
          </w:tcPr>
          <w:p>
            <w:pPr>
              <w:spacing w:after="0"/>
              <w:rPr>
                <w:sz w:val="21"/>
                <w:szCs w:val="21"/>
                <w:color w:val="auto"/>
              </w:rPr>
            </w:pP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97"/>
              </w:rPr>
              <w:t>104</w:t>
            </w: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6.</w:t>
            </w:r>
          </w:p>
        </w:tc>
        <w:tc>
          <w:tcPr>
            <w:tcW w:w="5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Exhibits</w:t>
            </w:r>
          </w:p>
        </w:tc>
        <w:tc>
          <w:tcPr>
            <w:tcW w:w="7280" w:type="dxa"/>
            <w:vAlign w:val="bottom"/>
            <w:gridSpan w:val="7"/>
          </w:tcPr>
          <w:p>
            <w:pPr>
              <w:spacing w:after="0"/>
              <w:rPr>
                <w:sz w:val="21"/>
                <w:szCs w:val="21"/>
                <w:color w:val="auto"/>
              </w:rPr>
            </w:pPr>
          </w:p>
        </w:tc>
        <w:tc>
          <w:tcPr>
            <w:tcW w:w="2020" w:type="dxa"/>
            <w:vAlign w:val="bottom"/>
          </w:tcPr>
          <w:p>
            <w:pPr>
              <w:spacing w:after="0"/>
              <w:rPr>
                <w:sz w:val="21"/>
                <w:szCs w:val="21"/>
                <w:color w:val="auto"/>
              </w:rPr>
            </w:pP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97"/>
              </w:rPr>
              <w:t>105</w:t>
            </w: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0000FF"/>
              </w:rPr>
              <w:t>Signatures</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300" w:type="dxa"/>
            <w:vAlign w:val="bottom"/>
            <w:gridSpan w:val="3"/>
          </w:tcPr>
          <w:p>
            <w:pPr>
              <w:jc w:val="right"/>
              <w:spacing w:after="0"/>
              <w:rPr>
                <w:sz w:val="20"/>
                <w:szCs w:val="20"/>
                <w:color w:val="auto"/>
              </w:rPr>
            </w:pPr>
            <w:r>
              <w:rPr>
                <w:rFonts w:ascii="Arial" w:cs="Arial" w:eastAsia="Arial" w:hAnsi="Arial"/>
                <w:sz w:val="16"/>
                <w:szCs w:val="16"/>
                <w:color w:val="0000FF"/>
              </w:rPr>
              <w:t>106</w:t>
            </w:r>
          </w:p>
        </w:tc>
      </w:tr>
      <w:tr>
        <w:trPr>
          <w:trHeight w:val="20"/>
        </w:trPr>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FORWARD-LOOKING STATEMENTS</w:t>
      </w:r>
    </w:p>
    <w:p>
      <w:pPr>
        <w:spacing w:after="0" w:line="1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report contains forward-looking statements that are being made pursuant to the provisions of the Private Securities Litigation Reform Act of 1995 (the PSLRA) with the intention of obtaining the benefits of the “Safe Harbor” provisions of the PSLRA. These forward-looking statements may be accompanied by such words as “aim,” “anticipate,” "assume," “believe,” “contemplate,” “continue," "could," “estimate,” “expect,” “forecast,” “goal,” “guidance,” “hope,” “intend,” “may,” “objective,” "outlook," “plan,” “possible,” "potential," “predict,” “project,” "seek," “should,” “target,” “will,” “would” or the negative of these words or other words and terms of similar meaning. Given their forward-looking nature, these statements involve substantial risks and uncertainties and may be based on inaccurate assumptions. This report includes, among others, forward-looking statements regarding:</w:t>
      </w:r>
    </w:p>
    <w:p>
      <w:pPr>
        <w:spacing w:after="0" w:line="88" w:lineRule="exact"/>
        <w:rPr>
          <w:sz w:val="20"/>
          <w:szCs w:val="20"/>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financial and operating performance;</w:t>
      </w:r>
    </w:p>
    <w:p>
      <w:pPr>
        <w:spacing w:after="0" w:line="130"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long-term strategy and supporting business plans, including our product pipeline;</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continued growth through acquisitions and key collaborative relationships and funding arrangements;</w:t>
      </w:r>
    </w:p>
    <w:p>
      <w:pPr>
        <w:spacing w:after="0" w:line="130" w:lineRule="exact"/>
        <w:rPr>
          <w:rFonts w:ascii="Arial" w:cs="Arial" w:eastAsia="Arial" w:hAnsi="Arial"/>
          <w:sz w:val="18"/>
          <w:szCs w:val="18"/>
          <w:color w:val="auto"/>
        </w:rPr>
      </w:pPr>
    </w:p>
    <w:p>
      <w:pPr>
        <w:ind w:left="420" w:right="400" w:hanging="331"/>
        <w:spacing w:after="0" w:line="268"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our long-term competitive position depends upon our success in discovering and developing innovative, cost-effective products that serve unmet medical needs, along with our ability to manufacture products efficiently and to launch and market them effectively in a highly competitive environment;</w:t>
      </w:r>
    </w:p>
    <w:p>
      <w:pPr>
        <w:spacing w:after="0" w:line="76"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adequate coverage, pricing and reimbursement from third-party payors;</w:t>
      </w:r>
    </w:p>
    <w:p>
      <w:pPr>
        <w:spacing w:after="0" w:line="144" w:lineRule="exact"/>
        <w:rPr>
          <w:rFonts w:ascii="Arial" w:cs="Arial" w:eastAsia="Arial" w:hAnsi="Arial"/>
          <w:sz w:val="18"/>
          <w:szCs w:val="18"/>
          <w:color w:val="auto"/>
        </w:rPr>
      </w:pPr>
    </w:p>
    <w:p>
      <w:pPr>
        <w:ind w:left="420" w:right="260" w:hanging="331"/>
        <w:spacing w:after="0" w:line="287"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certain legal and regulatory proceedings and investigations, and the currently anticipated impact of certain MFN pricing initiatives; and</w:t>
      </w:r>
    </w:p>
    <w:p>
      <w:pPr>
        <w:spacing w:after="0" w:line="58" w:lineRule="exact"/>
        <w:rPr>
          <w:rFonts w:ascii="Arial" w:cs="Arial" w:eastAsia="Arial" w:hAnsi="Arial"/>
          <w:sz w:val="18"/>
          <w:szCs w:val="18"/>
          <w:color w:val="auto"/>
        </w:rPr>
      </w:pPr>
    </w:p>
    <w:p>
      <w:pPr>
        <w:ind w:left="420" w:right="40" w:hanging="331"/>
        <w:spacing w:after="0" w:line="268"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w:t>
      </w:r>
    </w:p>
    <w:p>
      <w:pPr>
        <w:spacing w:after="0" w:line="4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forward-looking statements are based on management's current beliefs and assumptions and on information currently available to management. Given their nature, we cannot assure that any outcome expressed in these forward-looking statements will be realized in whole or in part. We caution that these statements are subject to risks and uncertainties, many of which are outside of our control and could cause future events or results to be materially different from those stated or implied in this document, including, among others, factors relating to:</w:t>
      </w:r>
    </w:p>
    <w:p>
      <w:pPr>
        <w:spacing w:after="0" w:line="82" w:lineRule="exact"/>
        <w:rPr>
          <w:sz w:val="20"/>
          <w:szCs w:val="20"/>
          <w:color w:val="auto"/>
        </w:rPr>
      </w:pPr>
    </w:p>
    <w:p>
      <w:pPr>
        <w:ind w:left="420" w:right="420" w:hanging="331"/>
        <w:spacing w:after="0" w:line="268"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substantial dependence on the anticipated amount, timing and accounting of revenue from our products, including from the successful development of new products and approval of additional indications for our existing products, including but not limited to LEQEMBI and SKYCLARYS;</w:t>
      </w:r>
    </w:p>
    <w:p>
      <w:pPr>
        <w:spacing w:after="0" w:line="76" w:lineRule="exact"/>
        <w:rPr>
          <w:rFonts w:ascii="Arial" w:cs="Arial" w:eastAsia="Arial" w:hAnsi="Arial"/>
          <w:sz w:val="18"/>
          <w:szCs w:val="18"/>
          <w:color w:val="auto"/>
        </w:rPr>
      </w:pPr>
    </w:p>
    <w:p>
      <w:pPr>
        <w:ind w:left="420" w:right="20" w:hanging="331"/>
        <w:spacing w:after="0" w:line="259"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anticipated amount, timing and accounting of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 amortization of intangible assets; foreign currency exchange risk; estimated fair value of assets and liabilities; and impairment assessments, including for goodwill balances;</w:t>
      </w:r>
    </w:p>
    <w:p>
      <w:pPr>
        <w:spacing w:after="0" w:line="98" w:lineRule="exact"/>
        <w:rPr>
          <w:rFonts w:ascii="Arial" w:cs="Arial" w:eastAsia="Arial" w:hAnsi="Arial"/>
          <w:sz w:val="18"/>
          <w:szCs w:val="18"/>
          <w:color w:val="auto"/>
        </w:rPr>
      </w:pPr>
    </w:p>
    <w:p>
      <w:pPr>
        <w:ind w:left="420" w:hanging="331"/>
        <w:spacing w:after="0" w:line="259"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plans, prospects and the timing of actions relating to product approvals, approvals of additional indications for our existing products, sales, pricing, growth, reimbursement and launch of our marketed and pipeline products all of which is subject to governmental and regulatory oversight, and therefore subject to risks and uncertainties, including but not limited to those related to approvals, unfavorable or delayed reimbursements and coverage determinations, and changes in reimbursement policies or practices of payors and other third parties;</w:t>
      </w:r>
    </w:p>
    <w:p>
      <w:pPr>
        <w:spacing w:after="0" w:line="84" w:lineRule="exact"/>
        <w:rPr>
          <w:rFonts w:ascii="Arial" w:cs="Arial" w:eastAsia="Arial" w:hAnsi="Arial"/>
          <w:sz w:val="18"/>
          <w:szCs w:val="18"/>
          <w:color w:val="auto"/>
        </w:rPr>
      </w:pPr>
    </w:p>
    <w:p>
      <w:pPr>
        <w:ind w:left="420" w:right="160" w:hanging="331"/>
        <w:spacing w:after="0" w:line="259"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increased product competition in the biopharmaceutical and healthcare industry, as well as any other markets in which we compete, including increased competition from new originator therapies, generics, prodrugs and biosimilars of existing products and products approved under abbreviated regulatory pathways, including generic, prodrugs or biosimilar versions of our marketed products or competing products, including but not limited to, increased competition from TECFIDERA generic entrants in the U.S. and international markets and a biosimilar entrant of TYSABRI;</w:t>
      </w:r>
    </w:p>
    <w:p>
      <w:pPr>
        <w:spacing w:after="0" w:line="84" w:lineRule="exact"/>
        <w:rPr>
          <w:rFonts w:ascii="Arial" w:cs="Arial" w:eastAsia="Arial" w:hAnsi="Arial"/>
          <w:sz w:val="18"/>
          <w:szCs w:val="18"/>
          <w:color w:val="auto"/>
        </w:rPr>
      </w:pPr>
    </w:p>
    <w:p>
      <w:pPr>
        <w:ind w:left="420" w:right="300" w:hanging="331"/>
        <w:spacing w:after="0" w:line="287"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patent terms, patent term extensions, patent office actions and expected availability and periods of regulatory exclusivities, as well as our ability to adequately enforce existing patents;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right="520" w:hanging="331"/>
        <w:spacing w:after="0" w:line="28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implement our corporate strategy which includes significant investment in product and pipeline candidates, including but not limited to felzartamab and litifilimab;</w:t>
      </w:r>
    </w:p>
    <w:p>
      <w:pPr>
        <w:spacing w:after="0" w:line="71" w:lineRule="exact"/>
        <w:rPr>
          <w:rFonts w:ascii="Arial" w:cs="Arial" w:eastAsia="Arial" w:hAnsi="Arial"/>
          <w:sz w:val="18"/>
          <w:szCs w:val="18"/>
          <w:color w:val="auto"/>
        </w:rPr>
      </w:pPr>
    </w:p>
    <w:p>
      <w:pPr>
        <w:ind w:left="420" w:right="220" w:hanging="331"/>
        <w:spacing w:after="0" w:line="291" w:lineRule="auto"/>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successful execution of our strategic and growth initiatives, including acquisitions, and our ability to realize the anticipated benefits from our acquisitions of Reata, HI-Bio and Apellis, including future performance of the SKYCLARYS, EMPAVELI and SYFOVRE products, development of the felzartamab product, future development of drug delivery solutions and anticipated synergies;</w:t>
      </w:r>
    </w:p>
    <w:p>
      <w:pPr>
        <w:spacing w:after="0" w:line="58" w:lineRule="exact"/>
        <w:rPr>
          <w:rFonts w:ascii="Arial" w:cs="Arial" w:eastAsia="Arial" w:hAnsi="Arial"/>
          <w:sz w:val="17"/>
          <w:szCs w:val="17"/>
          <w:color w:val="auto"/>
        </w:rPr>
      </w:pPr>
    </w:p>
    <w:p>
      <w:pPr>
        <w:ind w:left="420" w:right="220" w:hanging="331"/>
        <w:spacing w:after="0" w:line="262"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drivers for growing our business, including our plans and intention to commit resources relating to discovery, research and development programs and business development opportunities, including collaboration agreements, as well as the potential benefits and results of, and the anticipated completion of, certain business development transactions, reorganizations and cost-reduction measures;</w:t>
      </w:r>
    </w:p>
    <w:p>
      <w:pPr>
        <w:spacing w:after="0" w:line="81" w:lineRule="exact"/>
        <w:rPr>
          <w:rFonts w:ascii="Arial" w:cs="Arial" w:eastAsia="Arial" w:hAnsi="Arial"/>
          <w:sz w:val="18"/>
          <w:szCs w:val="18"/>
          <w:color w:val="auto"/>
        </w:rPr>
      </w:pPr>
    </w:p>
    <w:p>
      <w:pPr>
        <w:ind w:left="420" w:right="100" w:hanging="331"/>
        <w:spacing w:after="0" w:line="262"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expectations, development plans and anticipated timelines, including costs and timing of potential clinical trials, regulatory filing approvals and/or discontinuation, of our products, drug candidates and pipeline programs, including collaborations with third parties including but not limited to Eisai and Supernus, as well as the potential therapeutic scope of the development and commercialization of our and our collaborators’ pipeline products;</w:t>
      </w:r>
    </w:p>
    <w:p>
      <w:pPr>
        <w:spacing w:after="0" w:line="95" w:lineRule="exact"/>
        <w:rPr>
          <w:rFonts w:ascii="Arial" w:cs="Arial" w:eastAsia="Arial" w:hAnsi="Arial"/>
          <w:sz w:val="18"/>
          <w:szCs w:val="18"/>
          <w:color w:val="auto"/>
        </w:rPr>
      </w:pPr>
    </w:p>
    <w:p>
      <w:pPr>
        <w:ind w:left="420" w:right="340" w:hanging="331"/>
        <w:spacing w:after="0" w:line="28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impacts of disruptions, turnover or changes in strategy, priorities or capabilities at our collaborators resulting from, for example, a change in control, and the related impacts on the commercialization or manufacturing of our shared products;</w:t>
      </w:r>
    </w:p>
    <w:p>
      <w:pPr>
        <w:spacing w:after="0" w:line="58" w:lineRule="exact"/>
        <w:rPr>
          <w:rFonts w:ascii="Arial" w:cs="Arial" w:eastAsia="Arial" w:hAnsi="Arial"/>
          <w:sz w:val="18"/>
          <w:szCs w:val="18"/>
          <w:color w:val="auto"/>
        </w:rPr>
      </w:pPr>
    </w:p>
    <w:p>
      <w:pPr>
        <w:ind w:left="420" w:right="380" w:hanging="331"/>
        <w:spacing w:after="0" w:line="268"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outcome and impact of administrative, regulatory, legal and other proceedings, including those related to our patents and other proprietary and intellectual property rights, tax audits, assessments and settlements, pricing matters, sales and promotional practices, product liability, investigations and other matters;</w:t>
      </w:r>
    </w:p>
    <w:p>
      <w:pPr>
        <w:spacing w:after="0" w:line="76" w:lineRule="exact"/>
        <w:rPr>
          <w:rFonts w:ascii="Arial" w:cs="Arial" w:eastAsia="Arial" w:hAnsi="Arial"/>
          <w:sz w:val="18"/>
          <w:szCs w:val="18"/>
          <w:color w:val="auto"/>
        </w:rPr>
      </w:pPr>
    </w:p>
    <w:p>
      <w:pPr>
        <w:ind w:left="420" w:right="80" w:hanging="331"/>
        <w:spacing w:after="0" w:line="318" w:lineRule="auto"/>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commercialize biosimilars, which is subject to risks such as our reliance on third parties, competitive challenges, regulatory compliance, adequate supply, intellectual property and regulatory challenges and failure to gain market and patient acceptance;</w:t>
      </w:r>
    </w:p>
    <w:p>
      <w:pPr>
        <w:spacing w:after="0" w:line="48" w:lineRule="exact"/>
        <w:rPr>
          <w:rFonts w:ascii="Arial" w:cs="Arial" w:eastAsia="Arial" w:hAnsi="Arial"/>
          <w:sz w:val="17"/>
          <w:szCs w:val="17"/>
          <w:color w:val="auto"/>
        </w:rPr>
      </w:pPr>
    </w:p>
    <w:p>
      <w:pPr>
        <w:ind w:left="360" w:hanging="271"/>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finance our present and future operations and business initiatives and obtain funding for such activities on favorable terms;</w:t>
      </w:r>
    </w:p>
    <w:p>
      <w:pPr>
        <w:spacing w:after="0" w:line="130" w:lineRule="exact"/>
        <w:rPr>
          <w:rFonts w:ascii="Arial" w:cs="Arial" w:eastAsia="Arial" w:hAnsi="Arial"/>
          <w:sz w:val="18"/>
          <w:szCs w:val="18"/>
          <w:color w:val="auto"/>
        </w:rPr>
      </w:pPr>
    </w:p>
    <w:p>
      <w:pPr>
        <w:ind w:left="420" w:right="180" w:hanging="331"/>
        <w:spacing w:after="0" w:line="268"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retain and motivate qualified individuals for management and other employee positions in a highly competitive environment, including potential difficulty in retaining talent following acquisitions or following the discontinuation or underperformance of one or more marketed, pre-clinical or clinical programs;</w:t>
      </w:r>
    </w:p>
    <w:p>
      <w:pPr>
        <w:spacing w:after="0" w:line="76" w:lineRule="exact"/>
        <w:rPr>
          <w:rFonts w:ascii="Arial" w:cs="Arial" w:eastAsia="Arial" w:hAnsi="Arial"/>
          <w:sz w:val="18"/>
          <w:szCs w:val="18"/>
          <w:color w:val="auto"/>
        </w:rPr>
      </w:pPr>
    </w:p>
    <w:p>
      <w:pPr>
        <w:ind w:left="420" w:right="120" w:hanging="331"/>
        <w:spacing w:after="0" w:line="28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safety events involving our marketed or pipeline products, generic, prodrugs or biosimilar versions of our marketed products or any other products from the same class as one of our products;</w:t>
      </w:r>
    </w:p>
    <w:p>
      <w:pPr>
        <w:spacing w:after="0" w:line="71" w:lineRule="exact"/>
        <w:rPr>
          <w:rFonts w:ascii="Arial" w:cs="Arial" w:eastAsia="Arial" w:hAnsi="Arial"/>
          <w:sz w:val="18"/>
          <w:szCs w:val="18"/>
          <w:color w:val="auto"/>
        </w:rPr>
      </w:pPr>
    </w:p>
    <w:p>
      <w:pPr>
        <w:ind w:left="420" w:right="220" w:hanging="331"/>
        <w:spacing w:after="0" w:line="262"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current and potential impacts of geopolitical tensions, acts of war and other large-scale crises, including impacts to our operations, sales and the possible disruptions or delay in our plans to conduct clinical trial activities in areas of geopolitical tension, including tensions between the U.S., China and other countries, regions affected by Russia's invasion of Ukraine and the military conflict in the Middle East;</w:t>
      </w:r>
    </w:p>
    <w:p>
      <w:pPr>
        <w:spacing w:after="0" w:line="81" w:lineRule="exact"/>
        <w:rPr>
          <w:rFonts w:ascii="Arial" w:cs="Arial" w:eastAsia="Arial" w:hAnsi="Arial"/>
          <w:sz w:val="18"/>
          <w:szCs w:val="18"/>
          <w:color w:val="auto"/>
        </w:rPr>
      </w:pPr>
    </w:p>
    <w:p>
      <w:pPr>
        <w:ind w:left="420" w:right="320" w:hanging="331"/>
        <w:spacing w:after="0" w:line="318" w:lineRule="auto"/>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direct and indirect impact of global health outbreaks or adverse weather events on our business and operations, including sales, expense, reserves and allowances, the supply chain, manufacturing, research and development costs, clinical trials and employees;</w:t>
      </w:r>
    </w:p>
    <w:p>
      <w:pPr>
        <w:spacing w:after="0" w:line="35" w:lineRule="exact"/>
        <w:rPr>
          <w:rFonts w:ascii="Arial" w:cs="Arial" w:eastAsia="Arial" w:hAnsi="Arial"/>
          <w:sz w:val="17"/>
          <w:szCs w:val="17"/>
          <w:color w:val="auto"/>
        </w:rPr>
      </w:pPr>
    </w:p>
    <w:p>
      <w:pPr>
        <w:ind w:left="420" w:right="140" w:hanging="331"/>
        <w:spacing w:after="0" w:line="28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information technology systems and data and the potential impacts of any breakdowns, interruptions, invasions, corruptions, data breaches, destructions and/or other cybersecurity incidents of such systems or those of our business partners;</w:t>
      </w:r>
    </w:p>
    <w:p>
      <w:pPr>
        <w:spacing w:after="0" w:line="71" w:lineRule="exact"/>
        <w:rPr>
          <w:rFonts w:ascii="Arial" w:cs="Arial" w:eastAsia="Arial" w:hAnsi="Arial"/>
          <w:sz w:val="18"/>
          <w:szCs w:val="18"/>
          <w:color w:val="auto"/>
        </w:rPr>
      </w:pPr>
    </w:p>
    <w:p>
      <w:pPr>
        <w:ind w:left="360" w:hanging="271"/>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incorporation of technologies using AI into some of our processes;</w:t>
      </w:r>
    </w:p>
    <w:p>
      <w:pPr>
        <w:spacing w:after="0" w:line="130" w:lineRule="exact"/>
        <w:rPr>
          <w:rFonts w:ascii="Arial" w:cs="Arial" w:eastAsia="Arial" w:hAnsi="Arial"/>
          <w:sz w:val="18"/>
          <w:szCs w:val="18"/>
          <w:color w:val="auto"/>
        </w:rPr>
      </w:pPr>
    </w:p>
    <w:p>
      <w:pPr>
        <w:ind w:left="420" w:hanging="331"/>
        <w:spacing w:after="0" w:line="25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of healthcare reform in the U.S., including the IRA (or other legislative or executive acts that may modify or replace the IRA, such as the OBBBA) and the impact of the IRA Medicare Part D redesign, and measures being taken worldwide designed to reduce healthcare costs and limit the overall level of government expenditures, including the impact of pricing actions and reduced reimbursement for our products, as well as the continued and potential future impact of legislative and regulatory changes and priorities, including actions related to MFN drug pricing initiatives and reform including the recently finalized Global Benchmark for Efficient Drug Pricing Model;</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right="60" w:hanging="331"/>
        <w:spacing w:after="0" w:line="259"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manufacturing capacity, including our ability to effectively manufacture biosimilars, reliance on third-party contract manufacturing organizations, plans and timing relating to changes in our manufacturing capabilities, our ability to adequately address global bulk supply risks, our ability to fully utilize our manufacturing facilities, including our Solothurn facility, activities in new or existing manufacturing facilities and the expected timeline for the gene therapy, clinical packaging and other manufacturing facility in RTP, North Carolina to be operational;</w:t>
      </w:r>
    </w:p>
    <w:p>
      <w:pPr>
        <w:spacing w:after="0" w:line="98" w:lineRule="exact"/>
        <w:rPr>
          <w:rFonts w:ascii="Arial" w:cs="Arial" w:eastAsia="Arial" w:hAnsi="Arial"/>
          <w:sz w:val="18"/>
          <w:szCs w:val="18"/>
          <w:color w:val="auto"/>
        </w:rPr>
      </w:pPr>
    </w:p>
    <w:p>
      <w:pPr>
        <w:ind w:left="420" w:right="480" w:hanging="331"/>
        <w:spacing w:after="0" w:line="287"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continued uncertainty of the credit and economic conditions in certain countries and our ability to collect accounts receivable in such countries;</w:t>
      </w:r>
    </w:p>
    <w:p>
      <w:pPr>
        <w:spacing w:after="0" w:line="58" w:lineRule="exact"/>
        <w:rPr>
          <w:rFonts w:ascii="Arial" w:cs="Arial" w:eastAsia="Arial" w:hAnsi="Arial"/>
          <w:sz w:val="18"/>
          <w:szCs w:val="18"/>
          <w:color w:val="auto"/>
        </w:rPr>
      </w:pPr>
    </w:p>
    <w:p>
      <w:pPr>
        <w:ind w:left="360" w:hanging="271"/>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increased volatility in the financial markets on our ability to obtain financing;</w:t>
      </w:r>
    </w:p>
    <w:p>
      <w:pPr>
        <w:spacing w:after="0" w:line="130" w:lineRule="exact"/>
        <w:rPr>
          <w:rFonts w:ascii="Arial" w:cs="Arial" w:eastAsia="Arial" w:hAnsi="Arial"/>
          <w:sz w:val="18"/>
          <w:szCs w:val="18"/>
          <w:color w:val="auto"/>
        </w:rPr>
      </w:pPr>
    </w:p>
    <w:p>
      <w:pPr>
        <w:ind w:left="360" w:hanging="271"/>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 commitments, purchase obligations and the timing and satisfaction of other contractual obligations;</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effective tax rate and obligations in various jurisdictions in which we are subject to taxation; and</w:t>
      </w:r>
    </w:p>
    <w:p>
      <w:pPr>
        <w:spacing w:after="0" w:line="130" w:lineRule="exact"/>
        <w:rPr>
          <w:rFonts w:ascii="Arial" w:cs="Arial" w:eastAsia="Arial" w:hAnsi="Arial"/>
          <w:sz w:val="18"/>
          <w:szCs w:val="18"/>
          <w:color w:val="auto"/>
        </w:rPr>
      </w:pPr>
    </w:p>
    <w:p>
      <w:pPr>
        <w:ind w:left="420" w:right="160" w:hanging="331"/>
        <w:spacing w:after="0" w:line="268"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new laws, regulatory actions, judicial decisions, accounting standards and tariffs or trade restrictions, including any newly imposed U.S. tariffs and any responsive non-U.S. tariffs applicable to our products or operations, as well as the potential global macroeconomic effect of tariffs or trade restrictions.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These forward-looking statements involve risks and uncertainties, including those that are described in </w:t>
      </w:r>
      <w:r>
        <w:rPr>
          <w:rFonts w:ascii="Arial" w:cs="Arial" w:eastAsia="Arial" w:hAnsi="Arial"/>
          <w:sz w:val="18"/>
          <w:szCs w:val="18"/>
          <w:i w:val="1"/>
          <w:iCs w:val="1"/>
          <w:color w:val="auto"/>
        </w:rPr>
        <w:t>Part II, Item 1A. Risk Factors</w:t>
      </w:r>
      <w:r>
        <w:rPr>
          <w:rFonts w:ascii="Arial" w:cs="Arial" w:eastAsia="Arial" w:hAnsi="Arial"/>
          <w:sz w:val="18"/>
          <w:szCs w:val="18"/>
          <w:color w:val="auto"/>
        </w:rPr>
        <w:t xml:space="preserve"> and </w:t>
      </w:r>
      <w:r>
        <w:rPr>
          <w:rFonts w:ascii="Arial" w:cs="Arial" w:eastAsia="Arial" w:hAnsi="Arial"/>
          <w:sz w:val="18"/>
          <w:szCs w:val="18"/>
          <w:i w:val="1"/>
          <w:iCs w:val="1"/>
          <w:color w:val="auto"/>
        </w:rPr>
        <w:t>Part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 Item 2. Management's Discussion and Analysis of Financial Condition and Results of Operations </w:t>
      </w:r>
      <w:r>
        <w:rPr>
          <w:rFonts w:ascii="Arial" w:cs="Arial" w:eastAsia="Arial" w:hAnsi="Arial"/>
          <w:sz w:val="18"/>
          <w:szCs w:val="18"/>
          <w:color w:val="auto"/>
        </w:rPr>
        <w:t>included in this report and elsewhere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report, that could cause actual results to differ materially from those reflected in such statements. The factors identified above should not be construed as an exhaustive list of factors that could affect our future results and should be read in conjunction with the other cautionary statements that are included in our 2025 Form 10-K. Because some of these risks and uncertainties cannot be predicted or quantified and some are beyond our control, you should not rely on our forward-looking statements as predictions of future events and you should not place undue reliance on these statements. Moreover, we operate in a very competitive and rapidly changing environment, new risks and uncertainties may emerge from time to time and it is not possible for us to predict all risks nor identify all uncertainties. Forward-looking statements speak only as of the date of this report and are based on information and estimates available to us at this time. Except as required by law, we do not undertake any obligation to publicly update any forward-looking statements, whether as a result of new information, future developments or otherwise. You should read this report with the understanding that our actual future results, performance, events and circumstances might be materially different from what we expect.</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COMPANY AND PRODUCT REFERENCES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this report to:</w:t>
      </w:r>
    </w:p>
    <w:p>
      <w:pPr>
        <w:spacing w:after="0" w:line="117" w:lineRule="exact"/>
        <w:rPr>
          <w:sz w:val="20"/>
          <w:szCs w:val="20"/>
          <w:color w:val="auto"/>
        </w:rPr>
      </w:pPr>
    </w:p>
    <w:p>
      <w:pPr>
        <w:ind w:left="360" w:hanging="271"/>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“Biogen,” the “company,” “we,” “us” and “our” refer to Biogen Inc. and its consolidated subsidiaries; and</w:t>
      </w:r>
    </w:p>
    <w:p>
      <w:pPr>
        <w:spacing w:after="0" w:line="117" w:lineRule="exact"/>
        <w:rPr>
          <w:rFonts w:ascii="Arial" w:cs="Arial" w:eastAsia="Arial" w:hAnsi="Arial"/>
          <w:sz w:val="18"/>
          <w:szCs w:val="18"/>
          <w:color w:val="auto"/>
        </w:rPr>
      </w:pPr>
    </w:p>
    <w:p>
      <w:pPr>
        <w:ind w:left="420" w:right="260" w:hanging="331"/>
        <w:spacing w:after="0" w:line="287" w:lineRule="auto"/>
        <w:tabs>
          <w:tab w:leader="none" w:pos="37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“RITUXAN” refers to both RITUXAN (the trade name for rituximab in the U.S., Canada and Japan) and MabThera (the trade name for rituximab outside the U.S., Canada and Japan).</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TRADEMARKS</w:t>
      </w:r>
    </w:p>
    <w:p>
      <w:pPr>
        <w:spacing w:after="0" w:line="12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ADUHELM®, AVONEX®, EMPAVELI®, PLEGRIDY®, QALSODY®, RITUXAN®, RITUXAN HYCELA®, SKYCLARYS®, SPINRAZA®, SYFOVRE®, TECFIDERA®, THECAFLEX DRX®, TYSABRI® and VUMERITY® are registered trademarks of Biogen.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BENEPALI™, FLIXABI™, FUMADERM™, IMRALDI™ and OPUVIZ™ are trademarks of Biogen.</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ACTEMRA®, ASPAVELI®, COLUMVI®, ENBREL®, EYLEA®, FAMPYRA™, GAZYVA®, LEQEMBI®, HUMIRA®, LUCENTIS®, LUNSUMIO®, OCREVUS®, REMICADE®, TOFIDENCE®, ZURZUVAE® and other trademarks referenced in this report are the property of their respective owners.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DISCLOSURES</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have used, or expect in the future to use, our investor relations website (investors.biogen.com), the Biogen LinkedIn account (linkedin.com/company/biogen-) and the Biogen X account (https://x.com/biogen) as a means of disclosing information to the public in a broad, non-exclusionary manner, including for purposes of the SEC’s Regulation Fair Disclosure (Reg FD). Accordingly, investors should monitor our investor relations website and these social media channels in addition to our press releases, SEC filings, public conference calls and websites, as the information posted on them could be material to investors.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0" w:type="dxa"/>
            <w:vAlign w:val="bottom"/>
          </w:tcPr>
          <w:p>
            <w:pPr>
              <w:spacing w:after="0"/>
              <w:rPr>
                <w:sz w:val="24"/>
                <w:szCs w:val="24"/>
                <w:color w:val="auto"/>
              </w:rPr>
            </w:pPr>
          </w:p>
        </w:tc>
        <w:tc>
          <w:tcPr>
            <w:tcW w:w="3220" w:type="dxa"/>
            <w:vAlign w:val="bottom"/>
            <w:tcBorders>
              <w:bottom w:val="single" w:sz="8" w:color="0070C0"/>
            </w:tcBorders>
          </w:tcPr>
          <w:p>
            <w:pPr>
              <w:spacing w:after="0"/>
              <w:rPr>
                <w:sz w:val="24"/>
                <w:szCs w:val="24"/>
                <w:color w:val="auto"/>
              </w:rPr>
            </w:pPr>
          </w:p>
        </w:tc>
        <w:tc>
          <w:tcPr>
            <w:tcW w:w="7980" w:type="dxa"/>
            <w:vAlign w:val="bottom"/>
            <w:tcBorders>
              <w:bottom w:val="single" w:sz="8" w:color="0070C0"/>
            </w:tcBorders>
          </w:tcPr>
          <w:p>
            <w:pPr>
              <w:ind w:left="1360"/>
              <w:spacing w:after="0"/>
              <w:rPr>
                <w:sz w:val="20"/>
                <w:szCs w:val="20"/>
                <w:color w:val="auto"/>
              </w:rPr>
            </w:pPr>
            <w:r>
              <w:rPr>
                <w:rFonts w:ascii="Arial" w:cs="Arial" w:eastAsia="Arial" w:hAnsi="Arial"/>
                <w:sz w:val="25"/>
                <w:szCs w:val="25"/>
                <w:color w:val="0070C0"/>
              </w:rPr>
              <w:t>DEFINED TERMS</w:t>
            </w:r>
          </w:p>
        </w:tc>
        <w:tc>
          <w:tcPr>
            <w:tcW w:w="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2025 Form 10-K</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Annual Report on Form 10-K for the year ended December 31, 2025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2020 Share Repurchase Program</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Board of Directors authorized program to repurchase up to $5.0 billion of our common stock</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2026 Term Loan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$2.0 billion term loan credit agreement</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2025 Senior Notes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Senior Unsecured Notes Issued in May 2025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AbbVie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AbbVie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AI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Artificial Intelligence</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Alcyone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Alcyone Therapeutics,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Alloy</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Alloy Therapeutics,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ALS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Amyotrophic Lateral Sclerosis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Alteogen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Alteogen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AMR</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Antibody-Mediated Rejection</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AOCI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Apellis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Apellis Pharmaceuticals,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ASO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Antisense Oligonucleotide</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ASU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Accounting Standards Update</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BLA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Biologics License Application</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C3G</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C3 Glomerulopathy</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CCPA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California Consumer Privacy Act</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CLE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Cutaneous Lupus Erythematosus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CLL</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Chronic Lymphocytic Leukemia</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CMS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Centers for Medicare &amp; Medicaid Services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CNS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Central Nervous System</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CODM</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Chief Operating Decision Maker</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CROs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Contract Research Organizations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CVR</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Contingent Value Right</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Denali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Denali Therapeutics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District Court</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U.S. District Court for the District of Massachusetts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EC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European Commission</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Eisai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Eisai Co., Ltd.</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EMA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European Medicines Agency</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E.U.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European Union</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FA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Friedreich Ataxia</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FASB</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Financial Accounting Standards Board</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FCPA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Foreign Corrupt Practices Act</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FDA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U.S. Food and Drug Administration</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Fit for Growth</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Cost saving program initiated in 2023</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FSGS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Focal Segmental Glomerulosclerosis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GA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Geographic Atrophy</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Genentech</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Genentech,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GloBE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Global Anti-Base Erosion</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GMP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Good Manufacturing Practices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GPO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Group Purchasing Organization</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HHS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U.S. Department of Health and Human Services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HI-Bio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Human Immunology Biosciences,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Humana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Humana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IC-MPGN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Immune Complex Membranoproliferative Glomerulonephritis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IEEPA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International Emergency Economic Powers Act</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0F6EC8"/>
              </w:rPr>
              <w:t>IgAN</w:t>
            </w:r>
          </w:p>
        </w:tc>
        <w:tc>
          <w:tcPr>
            <w:tcW w:w="8000" w:type="dxa"/>
            <w:vAlign w:val="bottom"/>
            <w:gridSpan w:val="2"/>
          </w:tcPr>
          <w:p>
            <w:pPr>
              <w:ind w:left="20"/>
              <w:spacing w:after="0"/>
              <w:rPr>
                <w:sz w:val="20"/>
                <w:szCs w:val="20"/>
                <w:color w:val="auto"/>
              </w:rPr>
            </w:pPr>
            <w:r>
              <w:rPr>
                <w:rFonts w:ascii="Arial" w:cs="Arial" w:eastAsia="Arial" w:hAnsi="Arial"/>
                <w:sz w:val="14"/>
                <w:szCs w:val="14"/>
                <w:color w:val="auto"/>
              </w:rPr>
              <w:t>Immunoglobulin A Nephropathy</w:t>
            </w:r>
          </w:p>
        </w:tc>
      </w:tr>
      <w:tr>
        <w:trPr>
          <w:trHeight w:val="866"/>
        </w:trPr>
        <w:tc>
          <w:tcPr>
            <w:tcW w:w="20" w:type="dxa"/>
            <w:vAlign w:val="bottom"/>
          </w:tcPr>
          <w:p>
            <w:pPr>
              <w:spacing w:after="0"/>
              <w:rPr>
                <w:sz w:val="24"/>
                <w:szCs w:val="24"/>
                <w:color w:val="auto"/>
              </w:rPr>
            </w:pPr>
          </w:p>
        </w:tc>
        <w:tc>
          <w:tcPr>
            <w:tcW w:w="3220" w:type="dxa"/>
            <w:vAlign w:val="bottom"/>
            <w:tcBorders>
              <w:top w:val="single" w:sz="8" w:color="0070C0"/>
            </w:tcBorders>
          </w:tcPr>
          <w:p>
            <w:pPr>
              <w:spacing w:after="0"/>
              <w:rPr>
                <w:sz w:val="24"/>
                <w:szCs w:val="24"/>
                <w:color w:val="auto"/>
              </w:rPr>
            </w:pPr>
          </w:p>
        </w:tc>
        <w:tc>
          <w:tcPr>
            <w:tcW w:w="7980" w:type="dxa"/>
            <w:vAlign w:val="bottom"/>
            <w:tcBorders>
              <w:top w:val="single" w:sz="8" w:color="0070C0"/>
            </w:tcBorders>
          </w:tcPr>
          <w:p>
            <w:pPr>
              <w:ind w:left="23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7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0" w:type="dxa"/>
            <w:vAlign w:val="bottom"/>
          </w:tcPr>
          <w:p>
            <w:pPr>
              <w:spacing w:after="0"/>
              <w:rPr>
                <w:sz w:val="24"/>
                <w:szCs w:val="24"/>
                <w:color w:val="auto"/>
              </w:rPr>
            </w:pPr>
          </w:p>
        </w:tc>
        <w:tc>
          <w:tcPr>
            <w:tcW w:w="3220" w:type="dxa"/>
            <w:vAlign w:val="bottom"/>
            <w:tcBorders>
              <w:bottom w:val="single" w:sz="8" w:color="0070C0"/>
            </w:tcBorders>
          </w:tcPr>
          <w:p>
            <w:pPr>
              <w:spacing w:after="0"/>
              <w:rPr>
                <w:sz w:val="24"/>
                <w:szCs w:val="24"/>
                <w:color w:val="auto"/>
              </w:rPr>
            </w:pPr>
          </w:p>
        </w:tc>
        <w:tc>
          <w:tcPr>
            <w:tcW w:w="7980" w:type="dxa"/>
            <w:vAlign w:val="bottom"/>
            <w:tcBorders>
              <w:bottom w:val="single" w:sz="8" w:color="0070C0"/>
            </w:tcBorders>
          </w:tcPr>
          <w:p>
            <w:pPr>
              <w:ind w:left="700"/>
              <w:spacing w:after="0"/>
              <w:rPr>
                <w:sz w:val="20"/>
                <w:szCs w:val="20"/>
                <w:color w:val="auto"/>
              </w:rPr>
            </w:pPr>
            <w:r>
              <w:rPr>
                <w:rFonts w:ascii="Arial" w:cs="Arial" w:eastAsia="Arial" w:hAnsi="Arial"/>
                <w:sz w:val="25"/>
                <w:szCs w:val="25"/>
                <w:color w:val="0070C0"/>
              </w:rPr>
              <w:t>DEFINED TERMS (continued)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IND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Investigational New Drug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IPR&amp;D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In-process Research and Development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IRA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Inflation Reduction Act of 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IT</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Information Technology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IV</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Intravenous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0070C0"/>
              </w:rPr>
              <w:t>LEQEMBI Collaboration Agreement</w:t>
            </w:r>
          </w:p>
        </w:tc>
        <w:tc>
          <w:tcPr>
            <w:tcW w:w="800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Amended and Restated Collaboration Agreement entered into by Biogen MA Inc. and Eisai Co., Ltd. on October 22, 2017, as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220" w:type="dxa"/>
            <w:vAlign w:val="bottom"/>
            <w:vMerge w:val="continue"/>
            <w:shd w:val="clear" w:color="auto" w:fill="DBDBDB"/>
          </w:tcPr>
          <w:p>
            <w:pPr>
              <w:spacing w:after="0"/>
              <w:rPr>
                <w:sz w:val="9"/>
                <w:szCs w:val="9"/>
                <w:color w:val="auto"/>
              </w:rPr>
            </w:pPr>
          </w:p>
        </w:tc>
        <w:tc>
          <w:tcPr>
            <w:tcW w:w="7980" w:type="dxa"/>
            <w:vAlign w:val="bottom"/>
            <w:vMerge w:val="restart"/>
          </w:tcPr>
          <w:p>
            <w:pPr>
              <w:ind w:left="20"/>
              <w:spacing w:after="0"/>
              <w:rPr>
                <w:sz w:val="20"/>
                <w:szCs w:val="20"/>
                <w:color w:val="auto"/>
              </w:rPr>
            </w:pPr>
            <w:r>
              <w:rPr>
                <w:rFonts w:ascii="Arial" w:cs="Arial" w:eastAsia="Arial" w:hAnsi="Arial"/>
                <w:sz w:val="14"/>
                <w:szCs w:val="14"/>
                <w:color w:val="auto"/>
              </w:rPr>
              <w:t>amended on March 13, 2022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220" w:type="dxa"/>
            <w:vAlign w:val="bottom"/>
            <w:tcBorders>
              <w:bottom w:val="single" w:sz="8" w:color="0070C0"/>
            </w:tcBorders>
            <w:shd w:val="clear" w:color="auto" w:fill="DBDBDB"/>
          </w:tcPr>
          <w:p>
            <w:pPr>
              <w:spacing w:after="0"/>
              <w:rPr>
                <w:sz w:val="6"/>
                <w:szCs w:val="6"/>
                <w:color w:val="auto"/>
              </w:rPr>
            </w:pPr>
          </w:p>
        </w:tc>
        <w:tc>
          <w:tcPr>
            <w:tcW w:w="7980" w:type="dxa"/>
            <w:vAlign w:val="bottom"/>
            <w:tcBorders>
              <w:bottom w:val="single" w:sz="8" w:color="0070C0"/>
            </w:tcBorders>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LRRK2</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Leucine-Rich Repeat Kinase 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MorphoSys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MorphoSys AG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MFN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Most-Favored-Nation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Multiple Sclerosis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MVI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Microvascular Inflammation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NCTI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Net CFC Tested Income, previously known as Global Intangible Low-Taxed Income or GILTI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Neurimmune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Neurimmune SubOne AG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NMPA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National Medical Products Administration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OBBBA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Public Law 119-21, commonly referred to as the One Big Beautiful Bill Act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OECD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Organization for Economic Co-operation and Development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Organon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Organon LLC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PDUFA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Prescription Drug User Fee Act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PHS Act</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Public Health Service Act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PMN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Primary Membranous Nephropathy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PNH</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Paroxysmal Nocturnal Hemoglobinuria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PPACA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Patient Protection and Affordable Care Act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Postpartum Depression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PPMS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Primary Progressive MS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PRV</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Priority Review Voucher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RayThera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RayThera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R&amp;D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Research and Development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Reata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Reata Pharmaceuticals,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RMS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Relapsing MS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RNAi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RNA interference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RTP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Research Triangle Park</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Sage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Sage Therapeutics,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Samsung Bioepis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Samsung Bioepis Co., Ltd.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SEC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U.S. Securities and Exchange Commission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SG&amp;A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Selling, General and Administrative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SLE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Systemic Lupus Erythematosus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SMA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Spinal Muscular Atrophy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Sobi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Swedish Orphan Biovitrum AB (Publ)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SOD1</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Superoxide Dismutase 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Supernus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Supernus Pharmaceuticals,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SWISSMEDIC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Swiss Agency for Therapeutic Products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TJ Bio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TJ Biopharma (Hangzhou) Co., Ltd.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U.K.</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United Kingdom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U.S.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United States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U.S. GAAP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Accounting Principles Generally Accepted in the U.S.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VA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Veterans Affairs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0070C0"/>
              </w:rPr>
              <w:t>VAT</w:t>
            </w:r>
          </w:p>
        </w:tc>
        <w:tc>
          <w:tcPr>
            <w:tcW w:w="8000" w:type="dxa"/>
            <w:vAlign w:val="bottom"/>
            <w:gridSpan w:val="2"/>
          </w:tcPr>
          <w:p>
            <w:pPr>
              <w:ind w:left="20"/>
              <w:spacing w:after="0"/>
              <w:rPr>
                <w:sz w:val="20"/>
                <w:szCs w:val="20"/>
                <w:color w:val="auto"/>
              </w:rPr>
            </w:pPr>
            <w:r>
              <w:rPr>
                <w:rFonts w:ascii="Arial" w:cs="Arial" w:eastAsia="Arial" w:hAnsi="Arial"/>
                <w:sz w:val="14"/>
                <w:szCs w:val="14"/>
                <w:color w:val="auto"/>
              </w:rPr>
              <w:t>Value-added Tax</w:t>
            </w:r>
          </w:p>
        </w:tc>
        <w:tc>
          <w:tcPr>
            <w:tcW w:w="0" w:type="dxa"/>
            <w:vAlign w:val="bottom"/>
          </w:tcPr>
          <w:p>
            <w:pPr>
              <w:spacing w:after="0"/>
              <w:rPr>
                <w:sz w:val="1"/>
                <w:szCs w:val="1"/>
                <w:color w:val="auto"/>
              </w:rPr>
            </w:pPr>
          </w:p>
        </w:tc>
      </w:tr>
      <w:tr>
        <w:trPr>
          <w:trHeight w:val="866"/>
        </w:trPr>
        <w:tc>
          <w:tcPr>
            <w:tcW w:w="20" w:type="dxa"/>
            <w:vAlign w:val="bottom"/>
          </w:tcPr>
          <w:p>
            <w:pPr>
              <w:spacing w:after="0"/>
              <w:rPr>
                <w:sz w:val="24"/>
                <w:szCs w:val="24"/>
                <w:color w:val="auto"/>
              </w:rPr>
            </w:pPr>
          </w:p>
        </w:tc>
        <w:tc>
          <w:tcPr>
            <w:tcW w:w="3220" w:type="dxa"/>
            <w:vAlign w:val="bottom"/>
            <w:tcBorders>
              <w:top w:val="single" w:sz="8" w:color="0070C0"/>
            </w:tcBorders>
          </w:tcPr>
          <w:p>
            <w:pPr>
              <w:spacing w:after="0"/>
              <w:rPr>
                <w:sz w:val="24"/>
                <w:szCs w:val="24"/>
                <w:color w:val="auto"/>
              </w:rPr>
            </w:pPr>
          </w:p>
        </w:tc>
        <w:tc>
          <w:tcPr>
            <w:tcW w:w="7980" w:type="dxa"/>
            <w:vAlign w:val="bottom"/>
            <w:tcBorders>
              <w:top w:val="single" w:sz="8" w:color="0070C0"/>
            </w:tcBorders>
          </w:tcPr>
          <w:p>
            <w:pPr>
              <w:ind w:left="23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7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PART I FINANCIAL INFORMATION</w:t>
      </w:r>
    </w:p>
    <w:p>
      <w:pPr>
        <w:spacing w:after="0" w:line="247" w:lineRule="exact"/>
        <w:rPr>
          <w:sz w:val="20"/>
          <w:szCs w:val="20"/>
          <w:color w:val="auto"/>
        </w:rPr>
      </w:pPr>
    </w:p>
    <w:p>
      <w:pPr>
        <w:jc w:val="center"/>
        <w:spacing w:after="0" w:line="270" w:lineRule="auto"/>
        <w:rPr>
          <w:sz w:val="20"/>
          <w:szCs w:val="20"/>
          <w:color w:val="auto"/>
        </w:rPr>
      </w:pPr>
      <w:r>
        <w:rPr>
          <w:rFonts w:ascii="Arial" w:cs="Arial" w:eastAsia="Arial" w:hAnsi="Arial"/>
          <w:sz w:val="22"/>
          <w:szCs w:val="22"/>
          <w:b w:val="1"/>
          <w:bCs w:val="1"/>
          <w:color w:val="1C5A7D"/>
        </w:rPr>
        <w:t>BIOGEN INC. AND SUBSIDIARIES CONDENSED CONSOLIDATED STATEMENTS OF INCOME (unaudited, in millions, except per share amounts)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248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248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5920" w:type="dxa"/>
            <w:vAlign w:val="bottom"/>
            <w:vMerge w:val="restart"/>
          </w:tcPr>
          <w:p>
            <w:pPr>
              <w:spacing w:after="0"/>
              <w:rPr>
                <w:sz w:val="20"/>
                <w:szCs w:val="20"/>
                <w:color w:val="auto"/>
              </w:rPr>
            </w:pPr>
            <w:r>
              <w:rPr>
                <w:rFonts w:ascii="Arial" w:cs="Arial" w:eastAsia="Arial" w:hAnsi="Arial"/>
                <w:sz w:val="16"/>
                <w:szCs w:val="16"/>
                <w:color w:val="auto"/>
              </w:rPr>
              <w:t>Revenue:</w:t>
            </w:r>
          </w:p>
        </w:tc>
        <w:tc>
          <w:tcPr>
            <w:tcW w:w="120" w:type="dxa"/>
            <w:vAlign w:val="bottom"/>
            <w:tcBorders>
              <w:top w:val="single" w:sz="8" w:color="auto"/>
              <w:bottom w:val="single" w:sz="8" w:color="auto"/>
            </w:tcBorders>
            <w:shd w:val="clear" w:color="auto" w:fill="DBDBDB"/>
          </w:tcPr>
          <w:p>
            <w:pPr>
              <w:spacing w:after="0"/>
              <w:rPr>
                <w:sz w:val="18"/>
                <w:szCs w:val="18"/>
                <w:color w:val="auto"/>
              </w:rPr>
            </w:pPr>
          </w:p>
        </w:tc>
        <w:tc>
          <w:tcPr>
            <w:tcW w:w="1140" w:type="dxa"/>
            <w:vAlign w:val="bottom"/>
            <w:tcBorders>
              <w:top w:val="single" w:sz="8" w:color="auto"/>
              <w:bottom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b w:val="1"/>
                <w:bCs w:val="1"/>
                <w:color w:val="257ACB"/>
              </w:rPr>
              <w:t>2026</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shd w:val="clear" w:color="auto" w:fill="DBDBDB"/>
          </w:tcPr>
          <w:p>
            <w:pPr>
              <w:spacing w:after="0"/>
              <w:rPr>
                <w:sz w:val="18"/>
                <w:szCs w:val="18"/>
                <w:color w:val="auto"/>
              </w:rPr>
            </w:pPr>
          </w:p>
        </w:tc>
        <w:tc>
          <w:tcPr>
            <w:tcW w:w="1120" w:type="dxa"/>
            <w:vAlign w:val="bottom"/>
            <w:tcBorders>
              <w:top w:val="single" w:sz="8" w:color="auto"/>
              <w:bottom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b w:val="1"/>
                <w:bCs w:val="1"/>
                <w:color w:val="257ACB"/>
              </w:rPr>
              <w:t>2026</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4"/>
        </w:trPr>
        <w:tc>
          <w:tcPr>
            <w:tcW w:w="5920" w:type="dxa"/>
            <w:vAlign w:val="bottom"/>
            <w:vMerge w:val="continue"/>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Product revenue, net</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2,088.7</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1,846.9</w:t>
            </w:r>
          </w:p>
        </w:tc>
        <w:tc>
          <w:tcPr>
            <w:tcW w:w="80" w:type="dxa"/>
            <w:vAlign w:val="bottom"/>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5,757.4</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5,452.1</w:t>
            </w: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Revenue from anti-CD20 therapeutic programs</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497.3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493.9</w:t>
            </w:r>
          </w:p>
        </w:tc>
        <w:tc>
          <w:tcPr>
            <w:tcW w:w="8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1,429.9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1,339.4</w:t>
            </w: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Alzheimer's collaboration revenue</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42.7</w:t>
            </w:r>
          </w:p>
        </w:tc>
        <w:tc>
          <w:tcPr>
            <w:tcW w:w="8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191.6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130.6</w:t>
            </w: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Contract manufacturing, royalty and other revenue</w:t>
            </w:r>
          </w:p>
        </w:tc>
        <w:tc>
          <w:tcPr>
            <w:tcW w:w="1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149.7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w:t>
            </w:r>
          </w:p>
        </w:tc>
        <w:tc>
          <w:tcPr>
            <w:tcW w:w="8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639.0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689.1</w:t>
            </w:r>
          </w:p>
        </w:tc>
        <w:tc>
          <w:tcPr>
            <w:tcW w:w="0" w:type="dxa"/>
            <w:vAlign w:val="bottom"/>
          </w:tcPr>
          <w:p>
            <w:pPr>
              <w:spacing w:after="0"/>
              <w:rPr>
                <w:sz w:val="1"/>
                <w:szCs w:val="1"/>
                <w:color w:val="auto"/>
              </w:rPr>
            </w:pPr>
          </w:p>
        </w:tc>
      </w:tr>
      <w:tr>
        <w:trPr>
          <w:trHeight w:val="210"/>
        </w:trPr>
        <w:tc>
          <w:tcPr>
            <w:tcW w:w="5920" w:type="dxa"/>
            <w:vAlign w:val="bottom"/>
          </w:tcPr>
          <w:p>
            <w:pPr>
              <w:ind w:left="34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2,804.1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2,534.7</w:t>
            </w:r>
          </w:p>
        </w:tc>
        <w:tc>
          <w:tcPr>
            <w:tcW w:w="8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8,017.9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7,611.2</w:t>
            </w:r>
          </w:p>
        </w:tc>
        <w:tc>
          <w:tcPr>
            <w:tcW w:w="0" w:type="dxa"/>
            <w:vAlign w:val="bottom"/>
          </w:tcPr>
          <w:p>
            <w:pPr>
              <w:spacing w:after="0"/>
              <w:rPr>
                <w:sz w:val="1"/>
                <w:szCs w:val="1"/>
                <w:color w:val="auto"/>
              </w:rPr>
            </w:pPr>
          </w:p>
        </w:tc>
      </w:tr>
      <w:tr>
        <w:trPr>
          <w:trHeight w:val="195"/>
        </w:trPr>
        <w:tc>
          <w:tcPr>
            <w:tcW w:w="5920" w:type="dxa"/>
            <w:vAlign w:val="bottom"/>
          </w:tcPr>
          <w:p>
            <w:pPr>
              <w:spacing w:after="0"/>
              <w:rPr>
                <w:sz w:val="20"/>
                <w:szCs w:val="20"/>
                <w:color w:val="auto"/>
              </w:rPr>
            </w:pPr>
            <w:r>
              <w:rPr>
                <w:rFonts w:ascii="Arial" w:cs="Arial" w:eastAsia="Arial" w:hAnsi="Arial"/>
                <w:sz w:val="16"/>
                <w:szCs w:val="16"/>
                <w:color w:val="auto"/>
              </w:rPr>
              <w:t>Cost and expense:</w:t>
            </w:r>
          </w:p>
        </w:tc>
        <w:tc>
          <w:tcPr>
            <w:tcW w:w="12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920" w:type="dxa"/>
            <w:vAlign w:val="bottom"/>
          </w:tcPr>
          <w:p>
            <w:pPr>
              <w:ind w:left="120"/>
              <w:spacing w:after="0" w:line="164" w:lineRule="exact"/>
              <w:rPr>
                <w:sz w:val="20"/>
                <w:szCs w:val="20"/>
                <w:color w:val="auto"/>
              </w:rPr>
            </w:pPr>
            <w:r>
              <w:rPr>
                <w:rFonts w:ascii="Arial" w:cs="Arial" w:eastAsia="Arial" w:hAnsi="Arial"/>
                <w:sz w:val="16"/>
                <w:szCs w:val="16"/>
                <w:color w:val="auto"/>
              </w:rPr>
              <w:t>Cost of sales, excluding amortization and impairment of acquired intangible</w:t>
            </w:r>
          </w:p>
        </w:tc>
        <w:tc>
          <w:tcPr>
            <w:tcW w:w="120" w:type="dxa"/>
            <w:vAlign w:val="bottom"/>
            <w:shd w:val="clear" w:color="auto" w:fill="DBDBDB"/>
          </w:tcPr>
          <w:p>
            <w:pPr>
              <w:spacing w:after="0"/>
              <w:rPr>
                <w:sz w:val="14"/>
                <w:szCs w:val="14"/>
                <w:color w:val="auto"/>
              </w:rPr>
            </w:pPr>
          </w:p>
        </w:tc>
        <w:tc>
          <w:tcPr>
            <w:tcW w:w="11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257ACB"/>
              </w:rPr>
              <w:t>748.4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674.4</w:t>
            </w:r>
          </w:p>
        </w:tc>
        <w:tc>
          <w:tcPr>
            <w:tcW w:w="80" w:type="dxa"/>
            <w:vAlign w:val="bottom"/>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257ACB"/>
              </w:rPr>
              <w:t>2,186.3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1,908.7</w:t>
            </w:r>
          </w:p>
        </w:tc>
        <w:tc>
          <w:tcPr>
            <w:tcW w:w="0" w:type="dxa"/>
            <w:vAlign w:val="bottom"/>
          </w:tcPr>
          <w:p>
            <w:pPr>
              <w:spacing w:after="0"/>
              <w:rPr>
                <w:sz w:val="1"/>
                <w:szCs w:val="1"/>
                <w:color w:val="auto"/>
              </w:rPr>
            </w:pPr>
          </w:p>
        </w:tc>
      </w:tr>
      <w:tr>
        <w:trPr>
          <w:trHeight w:val="215"/>
        </w:trPr>
        <w:tc>
          <w:tcPr>
            <w:tcW w:w="5920" w:type="dxa"/>
            <w:vAlign w:val="bottom"/>
          </w:tcPr>
          <w:p>
            <w:pPr>
              <w:ind w:left="120"/>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DBDBDB"/>
          </w:tcPr>
          <w:p>
            <w:pPr>
              <w:spacing w:after="0"/>
              <w:rPr>
                <w:sz w:val="18"/>
                <w:szCs w:val="18"/>
                <w:color w:val="auto"/>
              </w:rPr>
            </w:pPr>
          </w:p>
        </w:tc>
        <w:tc>
          <w:tcPr>
            <w:tcW w:w="1140" w:type="dxa"/>
            <w:vAlign w:val="bottom"/>
            <w:vMerge w:val="continue"/>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vMerge w:val="continue"/>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574.0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436.1</w:t>
            </w:r>
          </w:p>
        </w:tc>
        <w:tc>
          <w:tcPr>
            <w:tcW w:w="8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1,642.6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1,269.2</w:t>
            </w: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Acquired in-process research and development, upfront and milestone expense</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283.8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0070C0"/>
              </w:rPr>
              <w:t>481.8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249.4</w:t>
            </w: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752.0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594.8</w:t>
            </w:r>
          </w:p>
        </w:tc>
        <w:tc>
          <w:tcPr>
            <w:tcW w:w="8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2,069.0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1,751.1</w:t>
            </w: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Amortization and impairment of acquired intangible assets</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172.8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135.7</w:t>
            </w:r>
          </w:p>
        </w:tc>
        <w:tc>
          <w:tcPr>
            <w:tcW w:w="8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477.5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378.4</w:t>
            </w: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Collaboration profit sharing/(loss reimbursement)</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87.2</w:t>
            </w:r>
          </w:p>
        </w:tc>
        <w:tc>
          <w:tcPr>
            <w:tcW w:w="8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220.8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220.3</w:t>
            </w: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(Gain) loss on fair value remeasurement of contingent consideration</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Restructuring charges</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239.8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137.4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8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175.6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w:t>
            </w:r>
          </w:p>
        </w:tc>
        <w:tc>
          <w:tcPr>
            <w:tcW w:w="0" w:type="dxa"/>
            <w:vAlign w:val="bottom"/>
          </w:tcPr>
          <w:p>
            <w:pPr>
              <w:spacing w:after="0"/>
              <w:rPr>
                <w:sz w:val="1"/>
                <w:szCs w:val="1"/>
                <w:color w:val="auto"/>
              </w:rPr>
            </w:pPr>
          </w:p>
        </w:tc>
      </w:tr>
      <w:tr>
        <w:trPr>
          <w:trHeight w:val="210"/>
        </w:trPr>
        <w:tc>
          <w:tcPr>
            <w:tcW w:w="5920" w:type="dxa"/>
            <w:vAlign w:val="bottom"/>
          </w:tcPr>
          <w:p>
            <w:pPr>
              <w:ind w:left="340"/>
              <w:spacing w:after="0"/>
              <w:rPr>
                <w:sz w:val="20"/>
                <w:szCs w:val="20"/>
                <w:color w:val="auto"/>
              </w:rPr>
            </w:pPr>
            <w:r>
              <w:rPr>
                <w:rFonts w:ascii="Arial" w:cs="Arial" w:eastAsia="Arial" w:hAnsi="Arial"/>
                <w:sz w:val="16"/>
                <w:szCs w:val="16"/>
                <w:color w:val="auto"/>
              </w:rPr>
              <w:t>Total cost and expense</w:t>
            </w:r>
          </w:p>
        </w:tc>
        <w:tc>
          <w:tcPr>
            <w:tcW w:w="1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2,813.1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1,977.4</w:t>
            </w:r>
          </w:p>
        </w:tc>
        <w:tc>
          <w:tcPr>
            <w:tcW w:w="8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7,516.8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5,998.7</w:t>
            </w:r>
          </w:p>
        </w:tc>
        <w:tc>
          <w:tcPr>
            <w:tcW w:w="0" w:type="dxa"/>
            <w:vAlign w:val="bottom"/>
          </w:tcPr>
          <w:p>
            <w:pPr>
              <w:spacing w:after="0"/>
              <w:rPr>
                <w:sz w:val="1"/>
                <w:szCs w:val="1"/>
                <w:color w:val="auto"/>
              </w:rPr>
            </w:pPr>
          </w:p>
        </w:tc>
      </w:tr>
      <w:tr>
        <w:trPr>
          <w:trHeight w:val="210"/>
        </w:trPr>
        <w:tc>
          <w:tcPr>
            <w:tcW w:w="5920" w:type="dxa"/>
            <w:vAlign w:val="bottom"/>
          </w:tcPr>
          <w:p>
            <w:pPr>
              <w:spacing w:after="0"/>
              <w:rPr>
                <w:sz w:val="20"/>
                <w:szCs w:val="20"/>
                <w:color w:val="auto"/>
              </w:rPr>
            </w:pPr>
            <w:r>
              <w:rPr>
                <w:rFonts w:ascii="Arial" w:cs="Arial" w:eastAsia="Arial" w:hAnsi="Arial"/>
                <w:sz w:val="16"/>
                <w:szCs w:val="16"/>
                <w:color w:val="auto"/>
              </w:rPr>
              <w:t>(Loss) Income before income tax (benefit) expense</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557.3</w:t>
            </w:r>
          </w:p>
        </w:tc>
        <w:tc>
          <w:tcPr>
            <w:tcW w:w="8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501.1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1,612.5</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1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11.6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8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104.7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51"/>
        </w:trPr>
        <w:tc>
          <w:tcPr>
            <w:tcW w:w="5920" w:type="dxa"/>
            <w:vAlign w:val="bottom"/>
          </w:tcPr>
          <w:p>
            <w:pPr>
              <w:spacing w:after="0"/>
              <w:rPr>
                <w:sz w:val="20"/>
                <w:szCs w:val="20"/>
                <w:color w:val="auto"/>
              </w:rPr>
            </w:pPr>
            <w:r>
              <w:rPr>
                <w:rFonts w:ascii="Arial" w:cs="Arial" w:eastAsia="Arial" w:hAnsi="Arial"/>
                <w:sz w:val="16"/>
                <w:szCs w:val="16"/>
                <w:color w:val="auto"/>
              </w:rPr>
              <w:t>Net (loss) income attributable to Biogen Inc.</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(20.6)</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466.5</w:t>
            </w:r>
          </w:p>
        </w:tc>
        <w:tc>
          <w:tcPr>
            <w:tcW w:w="80" w:type="dxa"/>
            <w:vAlign w:val="bottom"/>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396.4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1,341.8</w:t>
            </w:r>
          </w:p>
        </w:tc>
        <w:tc>
          <w:tcPr>
            <w:tcW w:w="0" w:type="dxa"/>
            <w:vAlign w:val="bottom"/>
          </w:tcPr>
          <w:p>
            <w:pPr>
              <w:spacing w:after="0"/>
              <w:rPr>
                <w:sz w:val="1"/>
                <w:szCs w:val="1"/>
                <w:color w:val="auto"/>
              </w:rPr>
            </w:pPr>
          </w:p>
        </w:tc>
      </w:tr>
      <w:tr>
        <w:trPr>
          <w:trHeight w:val="450"/>
        </w:trPr>
        <w:tc>
          <w:tcPr>
            <w:tcW w:w="5920" w:type="dxa"/>
            <w:vAlign w:val="bottom"/>
          </w:tcPr>
          <w:p>
            <w:pPr>
              <w:spacing w:after="0"/>
              <w:rPr>
                <w:sz w:val="20"/>
                <w:szCs w:val="20"/>
                <w:color w:val="auto"/>
              </w:rPr>
            </w:pPr>
            <w:r>
              <w:rPr>
                <w:rFonts w:ascii="Arial" w:cs="Arial" w:eastAsia="Arial" w:hAnsi="Arial"/>
                <w:sz w:val="16"/>
                <w:szCs w:val="16"/>
                <w:color w:val="auto"/>
              </w:rPr>
              <w:t>Net (loss) income per share:</w:t>
            </w:r>
          </w:p>
        </w:tc>
        <w:tc>
          <w:tcPr>
            <w:tcW w:w="120" w:type="dxa"/>
            <w:vAlign w:val="bottom"/>
            <w:shd w:val="clear" w:color="auto" w:fill="DBDBDB"/>
          </w:tcPr>
          <w:p>
            <w:pPr>
              <w:spacing w:after="0"/>
              <w:rPr>
                <w:sz w:val="24"/>
                <w:szCs w:val="24"/>
                <w:color w:val="auto"/>
              </w:rPr>
            </w:pPr>
          </w:p>
        </w:tc>
        <w:tc>
          <w:tcPr>
            <w:tcW w:w="114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12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(0.14)</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3.18</w:t>
            </w:r>
          </w:p>
        </w:tc>
        <w:tc>
          <w:tcPr>
            <w:tcW w:w="80" w:type="dxa"/>
            <w:vAlign w:val="bottom"/>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2.69</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(0.14)</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3.17</w:t>
            </w:r>
          </w:p>
        </w:tc>
        <w:tc>
          <w:tcPr>
            <w:tcW w:w="80" w:type="dxa"/>
            <w:vAlign w:val="bottom"/>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2.66</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486"/>
        </w:trPr>
        <w:tc>
          <w:tcPr>
            <w:tcW w:w="5920" w:type="dxa"/>
            <w:vAlign w:val="bottom"/>
          </w:tcPr>
          <w:p>
            <w:pPr>
              <w:spacing w:after="0"/>
              <w:rPr>
                <w:sz w:val="20"/>
                <w:szCs w:val="20"/>
                <w:color w:val="auto"/>
              </w:rPr>
            </w:pPr>
            <w:r>
              <w:rPr>
                <w:rFonts w:ascii="Arial" w:cs="Arial" w:eastAsia="Arial" w:hAnsi="Arial"/>
                <w:sz w:val="16"/>
                <w:szCs w:val="16"/>
                <w:color w:val="auto"/>
              </w:rPr>
              <w:t>Weighted-average shares used in calculating:</w:t>
            </w:r>
          </w:p>
        </w:tc>
        <w:tc>
          <w:tcPr>
            <w:tcW w:w="120" w:type="dxa"/>
            <w:vAlign w:val="bottom"/>
            <w:shd w:val="clear" w:color="auto" w:fill="DBDBDB"/>
          </w:tcPr>
          <w:p>
            <w:pPr>
              <w:spacing w:after="0"/>
              <w:rPr>
                <w:sz w:val="24"/>
                <w:szCs w:val="24"/>
                <w:color w:val="auto"/>
              </w:rPr>
            </w:pPr>
          </w:p>
        </w:tc>
        <w:tc>
          <w:tcPr>
            <w:tcW w:w="114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12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146.6</w:t>
            </w:r>
          </w:p>
        </w:tc>
        <w:tc>
          <w:tcPr>
            <w:tcW w:w="8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146.4</w:t>
            </w:r>
          </w:p>
        </w:tc>
        <w:tc>
          <w:tcPr>
            <w:tcW w:w="0" w:type="dxa"/>
            <w:vAlign w:val="bottom"/>
          </w:tcPr>
          <w:p>
            <w:pPr>
              <w:spacing w:after="0"/>
              <w:rPr>
                <w:sz w:val="1"/>
                <w:szCs w:val="1"/>
                <w:color w:val="auto"/>
              </w:rPr>
            </w:pPr>
          </w:p>
        </w:tc>
      </w:tr>
      <w:tr>
        <w:trPr>
          <w:trHeight w:val="218"/>
        </w:trPr>
        <w:tc>
          <w:tcPr>
            <w:tcW w:w="592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147.1</w:t>
            </w:r>
          </w:p>
        </w:tc>
        <w:tc>
          <w:tcPr>
            <w:tcW w:w="8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CONDENSED CONSOLIDATED STATEMENTS OF COMPREHENSIVE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(unaudited, in millions)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income attributable to Biogen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on securities available for sale, net of tax</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on cash flow hedges, net of tax</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on pension benefit obligation, net of tax</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Currency translation adjustments, net of tax</w:t>
      </w:r>
    </w:p>
    <w:p>
      <w:pPr>
        <w:spacing w:after="0" w:line="46" w:lineRule="exact"/>
        <w:rPr>
          <w:sz w:val="20"/>
          <w:szCs w:val="20"/>
          <w:color w:val="auto"/>
        </w:rPr>
      </w:pPr>
    </w:p>
    <w:p>
      <w:pPr>
        <w:ind w:left="20" w:right="1280"/>
        <w:spacing w:after="0" w:line="374" w:lineRule="auto"/>
        <w:rPr>
          <w:sz w:val="20"/>
          <w:szCs w:val="20"/>
          <w:color w:val="auto"/>
        </w:rPr>
      </w:pPr>
      <w:r>
        <w:rPr>
          <w:rFonts w:ascii="Arial" w:cs="Arial" w:eastAsia="Arial" w:hAnsi="Arial"/>
          <w:sz w:val="16"/>
          <w:szCs w:val="16"/>
          <w:color w:val="auto"/>
        </w:rPr>
        <w:t>Total other comprehensive income (loss), net of tax Comprehensive income (loss) attributable to Biogen Inc.</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For the Three Months Ended</w:t>
            </w:r>
          </w:p>
        </w:tc>
        <w:tc>
          <w:tcPr>
            <w:tcW w:w="160" w:type="dxa"/>
            <w:vAlign w:val="bottom"/>
          </w:tcPr>
          <w:p>
            <w:pPr>
              <w:spacing w:after="0"/>
              <w:rPr>
                <w:sz w:val="16"/>
                <w:szCs w:val="16"/>
                <w:color w:val="auto"/>
              </w:rPr>
            </w:pPr>
          </w:p>
        </w:tc>
        <w:tc>
          <w:tcPr>
            <w:tcW w:w="23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For the Nine Months Ended</w:t>
            </w:r>
          </w:p>
        </w:tc>
      </w:tr>
      <w:tr>
        <w:trPr>
          <w:trHeight w:val="216"/>
        </w:trPr>
        <w:tc>
          <w:tcPr>
            <w:tcW w:w="140" w:type="dxa"/>
            <w:vAlign w:val="bottom"/>
          </w:tcPr>
          <w:p>
            <w:pPr>
              <w:spacing w:after="0"/>
              <w:rPr>
                <w:sz w:val="18"/>
                <w:szCs w:val="18"/>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236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140" w:type="dxa"/>
            <w:vAlign w:val="bottom"/>
            <w:tcBorders>
              <w:top w:val="single" w:sz="8" w:color="auto"/>
              <w:bottom w:val="single" w:sz="8" w:color="auto"/>
            </w:tcBorders>
            <w:shd w:val="clear" w:color="auto" w:fill="DBDBDB"/>
          </w:tcPr>
          <w:p>
            <w:pPr>
              <w:spacing w:after="0"/>
              <w:rPr>
                <w:sz w:val="18"/>
                <w:szCs w:val="18"/>
                <w:color w:val="auto"/>
              </w:rPr>
            </w:pPr>
          </w:p>
        </w:tc>
        <w:tc>
          <w:tcPr>
            <w:tcW w:w="1100" w:type="dxa"/>
            <w:vAlign w:val="bottom"/>
            <w:tcBorders>
              <w:top w:val="single" w:sz="8" w:color="auto"/>
              <w:bottom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b w:val="1"/>
                <w:bCs w:val="1"/>
                <w:color w:val="257ACB"/>
              </w:rPr>
              <w:t>2026</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shd w:val="clear" w:color="auto" w:fill="DBDBDB"/>
          </w:tcPr>
          <w:p>
            <w:pPr>
              <w:spacing w:after="0"/>
              <w:rPr>
                <w:sz w:val="18"/>
                <w:szCs w:val="18"/>
                <w:color w:val="auto"/>
              </w:rPr>
            </w:pPr>
          </w:p>
        </w:tc>
        <w:tc>
          <w:tcPr>
            <w:tcW w:w="1060" w:type="dxa"/>
            <w:vAlign w:val="bottom"/>
            <w:tcBorders>
              <w:top w:val="single" w:sz="8" w:color="auto"/>
              <w:bottom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b w:val="1"/>
                <w:bCs w:val="1"/>
                <w:color w:val="257ACB"/>
              </w:rPr>
              <w:t>2026</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r>
      <w:tr>
        <w:trPr>
          <w:trHeight w:val="208"/>
        </w:trPr>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(20.6)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466.5</w:t>
            </w:r>
          </w:p>
        </w:tc>
        <w:tc>
          <w:tcPr>
            <w:tcW w:w="80" w:type="dxa"/>
            <w:vAlign w:val="bottom"/>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396.4</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1,341.8</w:t>
            </w:r>
          </w:p>
        </w:tc>
      </w:tr>
      <w:tr>
        <w:trPr>
          <w:trHeight w:val="431"/>
        </w:trPr>
        <w:tc>
          <w:tcPr>
            <w:tcW w:w="140" w:type="dxa"/>
            <w:vAlign w:val="bottom"/>
            <w:shd w:val="clear" w:color="auto" w:fill="DBDBDB"/>
          </w:tcPr>
          <w:p>
            <w:pPr>
              <w:spacing w:after="0"/>
              <w:rPr>
                <w:sz w:val="24"/>
                <w:szCs w:val="2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4"/>
                <w:szCs w:val="2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26.5</w:t>
            </w:r>
          </w:p>
        </w:tc>
        <w:tc>
          <w:tcPr>
            <w:tcW w:w="80" w:type="dxa"/>
            <w:vAlign w:val="bottom"/>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(137.1)</w:t>
            </w:r>
          </w:p>
        </w:tc>
      </w:tr>
      <w:tr>
        <w:trPr>
          <w:trHeight w:val="216"/>
        </w:trPr>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1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(4.6)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(16.7)</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w:t>
            </w:r>
          </w:p>
        </w:tc>
      </w:tr>
      <w:tr>
        <w:trPr>
          <w:trHeight w:val="210"/>
        </w:trPr>
        <w:tc>
          <w:tcPr>
            <w:tcW w:w="1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7.4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80" w:type="dxa"/>
            <w:vAlign w:val="bottom"/>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61.7</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w:t>
            </w:r>
          </w:p>
        </w:tc>
      </w:tr>
      <w:tr>
        <w:trPr>
          <w:trHeight w:val="229"/>
        </w:trPr>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489.8</w:t>
            </w:r>
          </w:p>
        </w:tc>
        <w:tc>
          <w:tcPr>
            <w:tcW w:w="80" w:type="dxa"/>
            <w:vAlign w:val="bottom"/>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458.1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1,263.2</w:t>
            </w:r>
          </w:p>
        </w:tc>
      </w:tr>
      <w:tr>
        <w:trPr>
          <w:trHeight w:val="20"/>
        </w:trPr>
        <w:tc>
          <w:tcPr>
            <w:tcW w:w="1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ectPr>
          <w:pgSz w:w="11900" w:h="16838" w:orient="portrait"/>
          <w:cols w:equalWidth="0" w:num="2">
            <w:col w:w="5340" w:space="720"/>
            <w:col w:w="51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26"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1C5A7D"/>
        </w:rPr>
        <w:t>CONDENSED CONSOLIDATED BALANCE SHEETS</w:t>
      </w:r>
    </w:p>
    <w:p>
      <w:pPr>
        <w:spacing w:after="0" w:line="4"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1C5A7D"/>
        </w:rPr>
        <w:t>(unaudited, in millions, except per share amounts)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780" w:type="dxa"/>
            <w:vAlign w:val="bottom"/>
            <w:gridSpan w:val="2"/>
            <w:shd w:val="clear" w:color="auto" w:fill="DBDBDB"/>
          </w:tcPr>
          <w:p>
            <w:pPr>
              <w:jc w:val="right"/>
              <w:ind w:right="19"/>
              <w:spacing w:after="0"/>
              <w:rPr>
                <w:sz w:val="20"/>
                <w:szCs w:val="20"/>
                <w:color w:val="auto"/>
              </w:rPr>
            </w:pPr>
            <w:r>
              <w:rPr>
                <w:rFonts w:ascii="Arial" w:cs="Arial" w:eastAsia="Arial" w:hAnsi="Arial"/>
                <w:sz w:val="16"/>
                <w:szCs w:val="16"/>
                <w:b w:val="1"/>
                <w:bCs w:val="1"/>
                <w:color w:val="026DCE"/>
              </w:rPr>
              <w:t>As of September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6"/>
        </w:trPr>
        <w:tc>
          <w:tcPr>
            <w:tcW w:w="7500" w:type="dxa"/>
            <w:vAlign w:val="bottom"/>
            <w:vMerge w:val="restart"/>
          </w:tcPr>
          <w:p>
            <w:pPr>
              <w:ind w:left="5280"/>
              <w:spacing w:after="0"/>
              <w:rPr>
                <w:sz w:val="20"/>
                <w:szCs w:val="20"/>
                <w:color w:val="auto"/>
              </w:rPr>
            </w:pPr>
            <w:r>
              <w:rPr>
                <w:rFonts w:ascii="Arial" w:cs="Arial" w:eastAsia="Arial" w:hAnsi="Arial"/>
                <w:sz w:val="16"/>
                <w:szCs w:val="16"/>
                <w:b w:val="1"/>
                <w:bCs w:val="1"/>
                <w:color w:val="auto"/>
              </w:rPr>
              <w:t>ASSETS</w:t>
            </w:r>
          </w:p>
        </w:tc>
        <w:tc>
          <w:tcPr>
            <w:tcW w:w="42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ind w:right="619"/>
              <w:spacing w:after="0"/>
              <w:rPr>
                <w:sz w:val="20"/>
                <w:szCs w:val="20"/>
                <w:color w:val="auto"/>
              </w:rPr>
            </w:pPr>
            <w:r>
              <w:rPr>
                <w:rFonts w:ascii="Arial" w:cs="Arial" w:eastAsia="Arial" w:hAnsi="Arial"/>
                <w:sz w:val="16"/>
                <w:szCs w:val="16"/>
                <w:b w:val="1"/>
                <w:bCs w:val="1"/>
                <w:color w:val="026DCE"/>
              </w:rPr>
              <w:t>2026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75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500" w:type="dxa"/>
            <w:vAlign w:val="bottom"/>
          </w:tcPr>
          <w:p>
            <w:pPr>
              <w:spacing w:after="0"/>
              <w:rPr>
                <w:sz w:val="20"/>
                <w:szCs w:val="20"/>
                <w:color w:val="auto"/>
              </w:rPr>
            </w:pPr>
            <w:r>
              <w:rPr>
                <w:rFonts w:ascii="Arial" w:cs="Arial" w:eastAsia="Arial" w:hAnsi="Arial"/>
                <w:sz w:val="16"/>
                <w:szCs w:val="16"/>
                <w:color w:val="auto"/>
              </w:rPr>
              <w:t>Current assets: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257ACB"/>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1,303.9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3,008.5</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Arial" w:cs="Arial" w:eastAsia="Arial" w:hAnsi="Arial"/>
                <w:sz w:val="16"/>
                <w:szCs w:val="16"/>
                <w:color w:val="auto"/>
              </w:rPr>
              <w:t>Current portion of marketable securities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807.2</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Arial" w:cs="Arial" w:eastAsia="Arial" w:hAnsi="Arial"/>
                <w:sz w:val="16"/>
                <w:szCs w:val="16"/>
                <w:color w:val="auto"/>
              </w:rPr>
              <w:t>Accounts receivable, net of allowance for doubtful accounts of $3.1 and $3.0, respectively</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1,884.6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1,342.4</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Arial" w:cs="Arial" w:eastAsia="Arial" w:hAnsi="Arial"/>
                <w:sz w:val="16"/>
                <w:szCs w:val="16"/>
                <w:color w:val="auto"/>
              </w:rPr>
              <w:t>Due from anti-CD20 therapeutic programs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498.0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524.6</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2,224.4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2,168.1</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42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1,673.5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1,123.3</w:t>
            </w:r>
          </w:p>
        </w:tc>
        <w:tc>
          <w:tcPr>
            <w:tcW w:w="0" w:type="dxa"/>
            <w:vAlign w:val="bottom"/>
          </w:tcPr>
          <w:p>
            <w:pPr>
              <w:spacing w:after="0"/>
              <w:rPr>
                <w:sz w:val="1"/>
                <w:szCs w:val="1"/>
                <w:color w:val="auto"/>
              </w:rPr>
            </w:pPr>
          </w:p>
        </w:tc>
      </w:tr>
      <w:tr>
        <w:trPr>
          <w:trHeight w:val="210"/>
        </w:trPr>
        <w:tc>
          <w:tcPr>
            <w:tcW w:w="750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7,584.4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8,974.1</w:t>
            </w:r>
          </w:p>
        </w:tc>
        <w:tc>
          <w:tcPr>
            <w:tcW w:w="0" w:type="dxa"/>
            <w:vAlign w:val="bottom"/>
          </w:tcPr>
          <w:p>
            <w:pPr>
              <w:spacing w:after="0"/>
              <w:rPr>
                <w:sz w:val="1"/>
                <w:szCs w:val="1"/>
                <w:color w:val="auto"/>
              </w:rPr>
            </w:pPr>
          </w:p>
        </w:tc>
      </w:tr>
      <w:tr>
        <w:trPr>
          <w:trHeight w:val="215"/>
        </w:trPr>
        <w:tc>
          <w:tcPr>
            <w:tcW w:w="7500" w:type="dxa"/>
            <w:vAlign w:val="bottom"/>
          </w:tcPr>
          <w:p>
            <w:pPr>
              <w:spacing w:after="0"/>
              <w:rPr>
                <w:sz w:val="20"/>
                <w:szCs w:val="20"/>
                <w:color w:val="auto"/>
              </w:rPr>
            </w:pPr>
            <w:r>
              <w:rPr>
                <w:rFonts w:ascii="Arial" w:cs="Arial" w:eastAsia="Arial" w:hAnsi="Arial"/>
                <w:sz w:val="16"/>
                <w:szCs w:val="16"/>
                <w:color w:val="auto"/>
              </w:rPr>
              <w:t>Marketable securities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431.9</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2,967.6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3,055.4</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Operating lease assets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176.1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Intangible assets, net</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13,379.9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9,178.5</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Goodwill</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6,992.6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6,491.1</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Deferred tax asset</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293.7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292.5</w:t>
            </w:r>
          </w:p>
        </w:tc>
        <w:tc>
          <w:tcPr>
            <w:tcW w:w="0" w:type="dxa"/>
            <w:vAlign w:val="bottom"/>
          </w:tcPr>
          <w:p>
            <w:pPr>
              <w:spacing w:after="0"/>
              <w:rPr>
                <w:sz w:val="1"/>
                <w:szCs w:val="1"/>
                <w:color w:val="auto"/>
              </w:rPr>
            </w:pPr>
          </w:p>
        </w:tc>
      </w:tr>
      <w:tr>
        <w:trPr>
          <w:trHeight w:val="217"/>
        </w:trPr>
        <w:tc>
          <w:tcPr>
            <w:tcW w:w="750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42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659.8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750.6</w:t>
            </w:r>
          </w:p>
        </w:tc>
        <w:tc>
          <w:tcPr>
            <w:tcW w:w="0" w:type="dxa"/>
            <w:vAlign w:val="bottom"/>
          </w:tcPr>
          <w:p>
            <w:pPr>
              <w:spacing w:after="0"/>
              <w:rPr>
                <w:sz w:val="1"/>
                <w:szCs w:val="1"/>
                <w:color w:val="auto"/>
              </w:rPr>
            </w:pPr>
          </w:p>
        </w:tc>
      </w:tr>
      <w:tr>
        <w:trPr>
          <w:trHeight w:val="230"/>
        </w:trPr>
        <w:tc>
          <w:tcPr>
            <w:tcW w:w="750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6"/>
                <w:szCs w:val="16"/>
                <w:color w:val="257ACB"/>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32,054.1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29,439.5</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4620"/>
              <w:spacing w:after="0"/>
              <w:rPr>
                <w:sz w:val="20"/>
                <w:szCs w:val="20"/>
                <w:color w:val="auto"/>
              </w:rPr>
            </w:pPr>
            <w:r>
              <w:rPr>
                <w:rFonts w:ascii="Arial" w:cs="Arial" w:eastAsia="Arial" w:hAnsi="Arial"/>
                <w:sz w:val="16"/>
                <w:szCs w:val="16"/>
                <w:b w:val="1"/>
                <w:bCs w:val="1"/>
                <w:color w:val="auto"/>
              </w:rPr>
              <w:t>LIABILITIES AND EQUITY</w:t>
            </w: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500" w:type="dxa"/>
            <w:vAlign w:val="bottom"/>
          </w:tcPr>
          <w:p>
            <w:pPr>
              <w:spacing w:after="0"/>
              <w:rPr>
                <w:sz w:val="20"/>
                <w:szCs w:val="20"/>
                <w:color w:val="auto"/>
              </w:rPr>
            </w:pPr>
            <w:r>
              <w:rPr>
                <w:rFonts w:ascii="Arial" w:cs="Arial" w:eastAsia="Arial" w:hAnsi="Arial"/>
                <w:sz w:val="16"/>
                <w:szCs w:val="16"/>
                <w:color w:val="auto"/>
              </w:rPr>
              <w:t>Current liabilities: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00" w:type="dxa"/>
            <w:vAlign w:val="bottom"/>
          </w:tcPr>
          <w:p>
            <w:pPr>
              <w:ind w:left="120"/>
              <w:spacing w:after="0"/>
              <w:rPr>
                <w:sz w:val="20"/>
                <w:szCs w:val="20"/>
                <w:color w:val="auto"/>
              </w:rPr>
            </w:pPr>
            <w:r>
              <w:rPr>
                <w:rFonts w:ascii="Arial" w:cs="Arial" w:eastAsia="Arial" w:hAnsi="Arial"/>
                <w:sz w:val="16"/>
                <w:szCs w:val="16"/>
                <w:color w:val="auto"/>
              </w:rPr>
              <w:t>Current portion of term loan</w:t>
            </w: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0070C0"/>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0070C0"/>
              </w:rPr>
              <w:t>400.0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430.3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432.0</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Arial" w:cs="Arial" w:eastAsia="Arial" w:hAnsi="Arial"/>
                <w:sz w:val="16"/>
                <w:szCs w:val="16"/>
                <w:color w:val="auto"/>
              </w:rPr>
              <w:t>Accrued expense and other</w:t>
            </w:r>
          </w:p>
        </w:tc>
        <w:tc>
          <w:tcPr>
            <w:tcW w:w="42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3,013.6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2,802.6</w:t>
            </w:r>
          </w:p>
        </w:tc>
        <w:tc>
          <w:tcPr>
            <w:tcW w:w="0" w:type="dxa"/>
            <w:vAlign w:val="bottom"/>
          </w:tcPr>
          <w:p>
            <w:pPr>
              <w:spacing w:after="0"/>
              <w:rPr>
                <w:sz w:val="1"/>
                <w:szCs w:val="1"/>
                <w:color w:val="auto"/>
              </w:rPr>
            </w:pPr>
          </w:p>
        </w:tc>
      </w:tr>
      <w:tr>
        <w:trPr>
          <w:trHeight w:val="210"/>
        </w:trPr>
        <w:tc>
          <w:tcPr>
            <w:tcW w:w="750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3,898.4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3,349.4</w:t>
            </w:r>
          </w:p>
        </w:tc>
        <w:tc>
          <w:tcPr>
            <w:tcW w:w="0" w:type="dxa"/>
            <w:vAlign w:val="bottom"/>
          </w:tcPr>
          <w:p>
            <w:pPr>
              <w:spacing w:after="0"/>
              <w:rPr>
                <w:sz w:val="1"/>
                <w:szCs w:val="1"/>
                <w:color w:val="auto"/>
              </w:rPr>
            </w:pPr>
          </w:p>
        </w:tc>
      </w:tr>
      <w:tr>
        <w:trPr>
          <w:trHeight w:val="215"/>
        </w:trPr>
        <w:tc>
          <w:tcPr>
            <w:tcW w:w="7500" w:type="dxa"/>
            <w:vAlign w:val="bottom"/>
          </w:tcPr>
          <w:p>
            <w:pPr>
              <w:spacing w:after="0"/>
              <w:rPr>
                <w:sz w:val="20"/>
                <w:szCs w:val="20"/>
                <w:color w:val="auto"/>
              </w:rPr>
            </w:pPr>
            <w:r>
              <w:rPr>
                <w:rFonts w:ascii="Arial" w:cs="Arial" w:eastAsia="Arial" w:hAnsi="Arial"/>
                <w:sz w:val="16"/>
                <w:szCs w:val="16"/>
                <w:color w:val="auto"/>
              </w:rPr>
              <w:t>Notes payable and term loan</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7,292.0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6,286.8</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Deferred tax liability</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1,163.9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109.3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42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668.4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748.5</w:t>
            </w:r>
          </w:p>
        </w:tc>
        <w:tc>
          <w:tcPr>
            <w:tcW w:w="0" w:type="dxa"/>
            <w:vAlign w:val="bottom"/>
          </w:tcPr>
          <w:p>
            <w:pPr>
              <w:spacing w:after="0"/>
              <w:rPr>
                <w:sz w:val="1"/>
                <w:szCs w:val="1"/>
                <w:color w:val="auto"/>
              </w:rPr>
            </w:pPr>
          </w:p>
        </w:tc>
      </w:tr>
      <w:tr>
        <w:trPr>
          <w:trHeight w:val="210"/>
        </w:trPr>
        <w:tc>
          <w:tcPr>
            <w:tcW w:w="750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13,132.0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11,182.7</w:t>
            </w:r>
          </w:p>
        </w:tc>
        <w:tc>
          <w:tcPr>
            <w:tcW w:w="0" w:type="dxa"/>
            <w:vAlign w:val="bottom"/>
          </w:tcPr>
          <w:p>
            <w:pPr>
              <w:spacing w:after="0"/>
              <w:rPr>
                <w:sz w:val="1"/>
                <w:szCs w:val="1"/>
                <w:color w:val="auto"/>
              </w:rPr>
            </w:pPr>
          </w:p>
        </w:tc>
      </w:tr>
      <w:tr>
        <w:trPr>
          <w:trHeight w:val="195"/>
        </w:trPr>
        <w:tc>
          <w:tcPr>
            <w:tcW w:w="7500" w:type="dxa"/>
            <w:vAlign w:val="bottom"/>
          </w:tcPr>
          <w:p>
            <w:pPr>
              <w:spacing w:after="0"/>
              <w:rPr>
                <w:sz w:val="20"/>
                <w:szCs w:val="20"/>
                <w:color w:val="auto"/>
              </w:rPr>
            </w:pPr>
            <w:r>
              <w:rPr>
                <w:rFonts w:ascii="Arial" w:cs="Arial" w:eastAsia="Arial" w:hAnsi="Arial"/>
                <w:sz w:val="16"/>
                <w:szCs w:val="16"/>
                <w:color w:val="auto"/>
              </w:rPr>
              <w:t>Commitments, contingencies and guarantees</w:t>
            </w:r>
          </w:p>
        </w:tc>
        <w:tc>
          <w:tcPr>
            <w:tcW w:w="420" w:type="dxa"/>
            <w:vAlign w:val="bottom"/>
            <w:shd w:val="clear" w:color="auto" w:fill="DBDBDB"/>
          </w:tcPr>
          <w:p>
            <w:pPr>
              <w:spacing w:after="0"/>
              <w:rPr>
                <w:sz w:val="16"/>
                <w:szCs w:val="16"/>
                <w:color w:val="auto"/>
              </w:rPr>
            </w:pPr>
          </w:p>
        </w:tc>
        <w:tc>
          <w:tcPr>
            <w:tcW w:w="13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Equity:</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Biogen Inc. shareholders’ equity:</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Arial" w:cs="Arial" w:eastAsia="Arial" w:hAnsi="Arial"/>
                <w:sz w:val="16"/>
                <w:szCs w:val="16"/>
                <w:color w:val="auto"/>
              </w:rPr>
              <w:t>Preferred stock, par value $0.001 per share</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Arial" w:cs="Arial" w:eastAsia="Arial" w:hAnsi="Arial"/>
                <w:sz w:val="16"/>
                <w:szCs w:val="16"/>
                <w:color w:val="auto"/>
              </w:rPr>
              <w:t>Common stock, par value $0.0005 per share</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1,070.3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863.1</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(120.3)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4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20,949.1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20,552.7</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Arial" w:cs="Arial" w:eastAsia="Arial" w:hAnsi="Arial"/>
                <w:sz w:val="16"/>
                <w:szCs w:val="16"/>
                <w:color w:val="auto"/>
              </w:rPr>
              <w:t>Treasury stock, at cost</w:t>
            </w:r>
          </w:p>
        </w:tc>
        <w:tc>
          <w:tcPr>
            <w:tcW w:w="42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(2,977.1)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(2,977.1)</w:t>
            </w:r>
          </w:p>
        </w:tc>
        <w:tc>
          <w:tcPr>
            <w:tcW w:w="0" w:type="dxa"/>
            <w:vAlign w:val="bottom"/>
          </w:tcPr>
          <w:p>
            <w:pPr>
              <w:spacing w:after="0"/>
              <w:rPr>
                <w:sz w:val="1"/>
                <w:szCs w:val="1"/>
                <w:color w:val="auto"/>
              </w:rPr>
            </w:pPr>
          </w:p>
        </w:tc>
      </w:tr>
      <w:tr>
        <w:trPr>
          <w:trHeight w:val="211"/>
        </w:trPr>
        <w:tc>
          <w:tcPr>
            <w:tcW w:w="7500" w:type="dxa"/>
            <w:vAlign w:val="bottom"/>
          </w:tcPr>
          <w:p>
            <w:pPr>
              <w:ind w:left="340"/>
              <w:spacing w:after="0"/>
              <w:rPr>
                <w:sz w:val="20"/>
                <w:szCs w:val="20"/>
                <w:color w:val="auto"/>
              </w:rPr>
            </w:pPr>
            <w:r>
              <w:rPr>
                <w:rFonts w:ascii="Arial" w:cs="Arial" w:eastAsia="Arial" w:hAnsi="Arial"/>
                <w:sz w:val="16"/>
                <w:szCs w:val="16"/>
                <w:color w:val="auto"/>
              </w:rPr>
              <w:t>Total equity</w:t>
            </w:r>
          </w:p>
        </w:tc>
        <w:tc>
          <w:tcPr>
            <w:tcW w:w="42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18,922.1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18,256.8</w:t>
            </w:r>
          </w:p>
        </w:tc>
        <w:tc>
          <w:tcPr>
            <w:tcW w:w="0" w:type="dxa"/>
            <w:vAlign w:val="bottom"/>
          </w:tcPr>
          <w:p>
            <w:pPr>
              <w:spacing w:after="0"/>
              <w:rPr>
                <w:sz w:val="1"/>
                <w:szCs w:val="1"/>
                <w:color w:val="auto"/>
              </w:rPr>
            </w:pPr>
          </w:p>
        </w:tc>
      </w:tr>
      <w:tr>
        <w:trPr>
          <w:trHeight w:val="230"/>
        </w:trPr>
        <w:tc>
          <w:tcPr>
            <w:tcW w:w="7500" w:type="dxa"/>
            <w:vAlign w:val="bottom"/>
          </w:tcPr>
          <w:p>
            <w:pPr>
              <w:ind w:left="340"/>
              <w:spacing w:after="0"/>
              <w:rPr>
                <w:sz w:val="20"/>
                <w:szCs w:val="20"/>
                <w:color w:val="auto"/>
              </w:rPr>
            </w:pPr>
            <w:r>
              <w:rPr>
                <w:rFonts w:ascii="Arial" w:cs="Arial" w:eastAsia="Arial" w:hAnsi="Arial"/>
                <w:sz w:val="16"/>
                <w:szCs w:val="16"/>
                <w:color w:val="auto"/>
              </w:rPr>
              <w:t>Total liabilities and equity</w:t>
            </w:r>
          </w:p>
        </w:tc>
        <w:tc>
          <w:tcPr>
            <w:tcW w:w="42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6"/>
                <w:szCs w:val="16"/>
                <w:color w:val="257ACB"/>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32,054.1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29,439.5</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ind w:left="620" w:right="2140"/>
        <w:spacing w:after="0" w:line="264" w:lineRule="auto"/>
        <w:rPr>
          <w:sz w:val="20"/>
          <w:szCs w:val="20"/>
          <w:color w:val="auto"/>
        </w:rPr>
      </w:pPr>
      <w:r>
        <w:rPr>
          <w:rFonts w:ascii="Arial" w:cs="Arial" w:eastAsia="Arial" w:hAnsi="Arial"/>
          <w:sz w:val="22"/>
          <w:szCs w:val="22"/>
          <w:b w:val="1"/>
          <w:bCs w:val="1"/>
          <w:color w:val="1C5A7D"/>
        </w:rPr>
        <w:t>BIOGEN INC. AND SUBSIDIARIES CONDENSED CONSOLIDATED STATEMENTS OF CASH FLOW (unaudited, in millions)</w:t>
      </w:r>
    </w:p>
    <w:p>
      <w:pPr>
        <w:spacing w:after="0" w:line="64" w:lineRule="exact"/>
        <w:rPr>
          <w:sz w:val="20"/>
          <w:szCs w:val="20"/>
          <w:color w:val="auto"/>
        </w:rPr>
      </w:pPr>
    </w:p>
    <w:p>
      <w:pPr>
        <w:jc w:val="center"/>
        <w:ind w:left="7560"/>
        <w:spacing w:after="0"/>
        <w:rPr>
          <w:sz w:val="20"/>
          <w:szCs w:val="20"/>
          <w:color w:val="auto"/>
        </w:rPr>
      </w:pPr>
      <w:r>
        <w:rPr>
          <w:rFonts w:ascii="Arial" w:cs="Arial" w:eastAsia="Arial" w:hAnsi="Arial"/>
          <w:sz w:val="15"/>
          <w:szCs w:val="15"/>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24130</wp:posOffset>
            </wp:positionV>
            <wp:extent cx="23228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22830" cy="137160"/>
                    </a:xfrm>
                    <a:prstGeom prst="rect">
                      <a:avLst/>
                    </a:prstGeom>
                    <a:noFill/>
                  </pic:spPr>
                </pic:pic>
              </a:graphicData>
            </a:graphic>
          </wp:anchor>
        </w:drawing>
      </w:r>
    </w:p>
    <w:p>
      <w:pPr>
        <w:spacing w:after="0" w:line="24" w:lineRule="exact"/>
        <w:rPr>
          <w:sz w:val="20"/>
          <w:szCs w:val="20"/>
          <w:color w:val="auto"/>
        </w:rPr>
      </w:pPr>
    </w:p>
    <w:p>
      <w:pPr>
        <w:ind w:left="8300"/>
        <w:spacing w:after="0"/>
        <w:tabs>
          <w:tab w:leader="none" w:pos="10160" w:val="left"/>
        </w:tabs>
        <w:rPr>
          <w:sz w:val="20"/>
          <w:szCs w:val="20"/>
          <w:color w:val="auto"/>
        </w:rPr>
      </w:pPr>
      <w:r>
        <w:rPr>
          <w:rFonts w:ascii="Arial" w:cs="Arial" w:eastAsia="Arial" w:hAnsi="Arial"/>
          <w:sz w:val="15"/>
          <w:szCs w:val="15"/>
          <w:b w:val="1"/>
          <w:bCs w:val="1"/>
          <w:color w:val="257ACB"/>
        </w:rPr>
        <w:t>2026</w:t>
      </w:r>
      <w:r>
        <w:rPr>
          <w:sz w:val="20"/>
          <w:szCs w:val="20"/>
          <w:color w:val="auto"/>
        </w:rPr>
        <w:tab/>
      </w:r>
      <w:r>
        <w:rPr>
          <w:rFonts w:ascii="Arial" w:cs="Arial" w:eastAsia="Arial" w:hAnsi="Arial"/>
          <w:sz w:val="15"/>
          <w:szCs w:val="15"/>
          <w:b w:val="1"/>
          <w:bCs w:val="1"/>
          <w:color w:val="auto"/>
        </w:rPr>
        <w:t>2025</w:t>
      </w:r>
    </w:p>
    <w:p>
      <w:pPr>
        <w:sectPr>
          <w:pgSz w:w="11900" w:h="16838" w:orient="portrait"/>
          <w:cols w:equalWidth="0" w:num="1">
            <w:col w:w="11240"/>
          </w:cols>
          <w:pgMar w:left="320" w:top="130"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flow from operating activities: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Net income</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Adjustments to reconcile net income to net cash flow from operating activities: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Depreciation and amortization</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Impairment of intangible assets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Excess and obsolescence charges related to inventory</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Amortization of acquired inventory step-up</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Acquired in-process research and development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Share-based compensation</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Contingent consideration</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Deferred income taxes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(Gain) loss on strategic investments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Other</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Changes in operating assets and liabilities, net of effects of business acquired:</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Accounts receivable</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Due from anti-CD20 therapeutic programs</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Inventory</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Accrued expense and other current liabilities</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Income tax assets and liabilities</w:t>
      </w:r>
    </w:p>
    <w:p>
      <w:pPr>
        <w:spacing w:after="0" w:line="30" w:lineRule="exact"/>
        <w:rPr>
          <w:sz w:val="20"/>
          <w:szCs w:val="20"/>
          <w:color w:val="auto"/>
        </w:rPr>
      </w:pPr>
    </w:p>
    <w:p>
      <w:pPr>
        <w:ind w:left="460" w:right="2660" w:hanging="121"/>
        <w:spacing w:after="0" w:line="291" w:lineRule="auto"/>
        <w:rPr>
          <w:sz w:val="20"/>
          <w:szCs w:val="20"/>
          <w:color w:val="auto"/>
        </w:rPr>
      </w:pPr>
      <w:r>
        <w:rPr>
          <w:rFonts w:ascii="Arial" w:cs="Arial" w:eastAsia="Arial" w:hAnsi="Arial"/>
          <w:sz w:val="15"/>
          <w:szCs w:val="15"/>
          <w:color w:val="auto"/>
        </w:rPr>
        <w:t>Other changes in operating assets and liabilities, net Net cash flow provided by (used in) operating activities</w:t>
      </w:r>
    </w:p>
    <w:p>
      <w:pPr>
        <w:ind w:left="20"/>
        <w:spacing w:after="0"/>
        <w:rPr>
          <w:sz w:val="20"/>
          <w:szCs w:val="20"/>
          <w:color w:val="auto"/>
        </w:rPr>
      </w:pPr>
      <w:r>
        <w:rPr>
          <w:rFonts w:ascii="Arial" w:cs="Arial" w:eastAsia="Arial" w:hAnsi="Arial"/>
          <w:sz w:val="15"/>
          <w:szCs w:val="15"/>
          <w:b w:val="1"/>
          <w:bCs w:val="1"/>
          <w:color w:val="auto"/>
        </w:rPr>
        <w:t>Cash flow from investing activities:</w:t>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Purchases of property, plant and equipment</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Proceeds from sales and maturities of marketable securities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Purchases of marketable securities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Acquisition of Apellis, net of cash acquired</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Acquired in-process research and development</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Acquisitions of intangible assets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Proceeds from sales of strategic investments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Other</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Net cash flow provided by (used in) investing activities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flow from financing activities:</w:t>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Payments related to issuance of stock for share-based compensation arrangements, net</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Proceeds from borrowings, net</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Repayments of borrowings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Cash paid for contingent consideration</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Other</w:t>
      </w:r>
    </w:p>
    <w:p>
      <w:pPr>
        <w:spacing w:after="0" w:line="42" w:lineRule="exact"/>
        <w:rPr>
          <w:sz w:val="20"/>
          <w:szCs w:val="20"/>
          <w:color w:val="auto"/>
        </w:rPr>
      </w:pPr>
    </w:p>
    <w:p>
      <w:pPr>
        <w:ind w:left="20" w:right="2800" w:firstLine="324"/>
        <w:spacing w:after="0" w:line="292" w:lineRule="auto"/>
        <w:rPr>
          <w:sz w:val="20"/>
          <w:szCs w:val="20"/>
          <w:color w:val="auto"/>
        </w:rPr>
      </w:pPr>
      <w:r>
        <w:rPr>
          <w:rFonts w:ascii="Arial" w:cs="Arial" w:eastAsia="Arial" w:hAnsi="Arial"/>
          <w:sz w:val="15"/>
          <w:szCs w:val="15"/>
          <w:color w:val="auto"/>
        </w:rPr>
        <w:t>Net cash flow provided by (used in) financing activities Net increase (decrease) in cash and cash equivalents</w:t>
      </w:r>
    </w:p>
    <w:p>
      <w:pPr>
        <w:ind w:left="20" w:right="2540"/>
        <w:spacing w:after="0" w:line="308" w:lineRule="auto"/>
        <w:rPr>
          <w:sz w:val="20"/>
          <w:szCs w:val="20"/>
          <w:color w:val="auto"/>
        </w:rPr>
      </w:pPr>
      <w:r>
        <w:rPr>
          <w:rFonts w:ascii="Arial" w:cs="Arial" w:eastAsia="Arial" w:hAnsi="Arial"/>
          <w:sz w:val="15"/>
          <w:szCs w:val="15"/>
          <w:color w:val="auto"/>
        </w:rPr>
        <w:t>Effect of exchange rate changes on cash and cash equivalents Cash and cash equivalents, beginning of the period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and cash equivalents, end of the period</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81"/>
        </w:trPr>
        <w:tc>
          <w:tcPr>
            <w:tcW w:w="620" w:type="dxa"/>
            <w:vAlign w:val="bottom"/>
            <w:tcBorders>
              <w:top w:val="single" w:sz="8" w:color="auto"/>
            </w:tcBorders>
            <w:shd w:val="clear" w:color="auto" w:fill="DBDBDB"/>
          </w:tcPr>
          <w:p>
            <w:pPr>
              <w:jc w:val="right"/>
              <w:ind w:right="443"/>
              <w:spacing w:after="0"/>
              <w:rPr>
                <w:sz w:val="20"/>
                <w:szCs w:val="20"/>
                <w:color w:val="auto"/>
              </w:rPr>
            </w:pPr>
            <w:r>
              <w:rPr>
                <w:rFonts w:ascii="Arial" w:cs="Arial" w:eastAsia="Arial" w:hAnsi="Arial"/>
                <w:sz w:val="15"/>
                <w:szCs w:val="15"/>
                <w:color w:val="257ACB"/>
                <w:w w:val="95"/>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396.4</w:t>
            </w:r>
          </w:p>
        </w:tc>
        <w:tc>
          <w:tcPr>
            <w:tcW w:w="100" w:type="dxa"/>
            <w:vAlign w:val="bottom"/>
          </w:tcPr>
          <w:p>
            <w:pPr>
              <w:spacing w:after="0"/>
              <w:rPr>
                <w:sz w:val="24"/>
                <w:szCs w:val="24"/>
                <w:color w:val="auto"/>
              </w:rPr>
            </w:pPr>
          </w:p>
        </w:tc>
        <w:tc>
          <w:tcPr>
            <w:tcW w:w="620" w:type="dxa"/>
            <w:vAlign w:val="bottom"/>
            <w:tcBorders>
              <w:top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1,341.8</w:t>
            </w:r>
          </w:p>
        </w:tc>
      </w:tr>
      <w:tr>
        <w:trPr>
          <w:trHeight w:val="405"/>
        </w:trPr>
        <w:tc>
          <w:tcPr>
            <w:tcW w:w="620" w:type="dxa"/>
            <w:vAlign w:val="bottom"/>
            <w:shd w:val="clear" w:color="auto" w:fill="DBDBDB"/>
          </w:tcPr>
          <w:p>
            <w:pPr>
              <w:spacing w:after="0"/>
              <w:rPr>
                <w:sz w:val="24"/>
                <w:szCs w:val="24"/>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681.6</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579.7</w:t>
            </w:r>
          </w:p>
        </w:tc>
      </w:tr>
      <w:tr>
        <w:trPr>
          <w:trHeight w:val="201"/>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19.2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13.9</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507.6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165.4</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325.0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242.9</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231.2</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23.4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28.4</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119.5</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194.7</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(28.4)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33.7</w:t>
            </w:r>
          </w:p>
        </w:tc>
      </w:tr>
      <w:tr>
        <w:trPr>
          <w:trHeight w:val="204"/>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104.2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49.3</w:t>
            </w:r>
          </w:p>
        </w:tc>
      </w:tr>
      <w:tr>
        <w:trPr>
          <w:trHeight w:val="405"/>
        </w:trPr>
        <w:tc>
          <w:tcPr>
            <w:tcW w:w="620" w:type="dxa"/>
            <w:vAlign w:val="bottom"/>
            <w:shd w:val="clear" w:color="auto" w:fill="DBDBDB"/>
          </w:tcPr>
          <w:p>
            <w:pPr>
              <w:spacing w:after="0"/>
              <w:rPr>
                <w:sz w:val="24"/>
                <w:szCs w:val="24"/>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(165.7)</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74.9</w:t>
            </w:r>
          </w:p>
        </w:tc>
      </w:tr>
      <w:tr>
        <w:trPr>
          <w:trHeight w:val="201"/>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26.6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(11.8)</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119.7</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(35.3)</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(27.0)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(32.7)</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(301.3)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(764.1)</w:t>
            </w:r>
          </w:p>
        </w:tc>
      </w:tr>
      <w:tr>
        <w:trPr>
          <w:trHeight w:val="206"/>
        </w:trPr>
        <w:tc>
          <w:tcPr>
            <w:tcW w:w="6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(308.5)</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(179.9)</w:t>
            </w:r>
          </w:p>
        </w:tc>
      </w:tr>
      <w:tr>
        <w:trPr>
          <w:trHeight w:val="198"/>
        </w:trPr>
        <w:tc>
          <w:tcPr>
            <w:tcW w:w="6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1,735.2</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1,692.7</w:t>
            </w:r>
          </w:p>
        </w:tc>
      </w:tr>
      <w:tr>
        <w:trPr>
          <w:trHeight w:val="381"/>
        </w:trPr>
        <w:tc>
          <w:tcPr>
            <w:tcW w:w="620" w:type="dxa"/>
            <w:vAlign w:val="bottom"/>
            <w:shd w:val="clear" w:color="auto" w:fill="DBDBDB"/>
          </w:tcPr>
          <w:p>
            <w:pPr>
              <w:spacing w:after="0"/>
              <w:rPr>
                <w:sz w:val="24"/>
                <w:szCs w:val="24"/>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(132.5)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(109.9)</w:t>
            </w:r>
          </w:p>
        </w:tc>
      </w:tr>
      <w:tr>
        <w:trPr>
          <w:trHeight w:val="201"/>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2,140.4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(896.6)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(91.0)</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0070C0"/>
              </w:rPr>
              <w:t>(5,071.1)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(360.0)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(15.3)</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55.5</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56.6</w:t>
            </w:r>
          </w:p>
        </w:tc>
      </w:tr>
      <w:tr>
        <w:trPr>
          <w:trHeight w:val="206"/>
        </w:trPr>
        <w:tc>
          <w:tcPr>
            <w:tcW w:w="6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(6.5)</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w:t>
            </w:r>
          </w:p>
        </w:tc>
      </w:tr>
      <w:tr>
        <w:trPr>
          <w:trHeight w:val="198"/>
        </w:trPr>
        <w:tc>
          <w:tcPr>
            <w:tcW w:w="6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(4,270.8)</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(139.4)</w:t>
            </w:r>
          </w:p>
        </w:tc>
      </w:tr>
      <w:tr>
        <w:trPr>
          <w:trHeight w:val="381"/>
        </w:trPr>
        <w:tc>
          <w:tcPr>
            <w:tcW w:w="620" w:type="dxa"/>
            <w:vAlign w:val="bottom"/>
            <w:shd w:val="clear" w:color="auto" w:fill="DBDBDB"/>
          </w:tcPr>
          <w:p>
            <w:pPr>
              <w:spacing w:after="0"/>
              <w:rPr>
                <w:sz w:val="24"/>
                <w:szCs w:val="24"/>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(45.9)</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(13.0)</w:t>
            </w:r>
          </w:p>
        </w:tc>
      </w:tr>
      <w:tr>
        <w:trPr>
          <w:trHeight w:val="201"/>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2,400.0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1,733.1</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(1,496.7)</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(1,750.0)</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(141.3)</w:t>
            </w:r>
          </w:p>
        </w:tc>
      </w:tr>
      <w:tr>
        <w:trPr>
          <w:trHeight w:val="206"/>
        </w:trPr>
        <w:tc>
          <w:tcPr>
            <w:tcW w:w="6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1.0</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r>
      <w:tr>
        <w:trPr>
          <w:trHeight w:val="198"/>
        </w:trPr>
        <w:tc>
          <w:tcPr>
            <w:tcW w:w="6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858.4</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(164.9)</w:t>
            </w:r>
          </w:p>
        </w:tc>
      </w:tr>
      <w:tr>
        <w:trPr>
          <w:trHeight w:val="190"/>
        </w:trPr>
        <w:tc>
          <w:tcPr>
            <w:tcW w:w="62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(1,677.2)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1,388.4</w:t>
            </w:r>
          </w:p>
        </w:tc>
      </w:tr>
      <w:tr>
        <w:trPr>
          <w:trHeight w:val="203"/>
        </w:trPr>
        <w:tc>
          <w:tcPr>
            <w:tcW w:w="6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(27.4)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99.4</w:t>
            </w:r>
          </w:p>
        </w:tc>
      </w:tr>
      <w:tr>
        <w:trPr>
          <w:trHeight w:val="206"/>
        </w:trPr>
        <w:tc>
          <w:tcPr>
            <w:tcW w:w="6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3,008.5</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2,375.0</w:t>
            </w:r>
          </w:p>
        </w:tc>
      </w:tr>
      <w:tr>
        <w:trPr>
          <w:trHeight w:val="218"/>
        </w:trPr>
        <w:tc>
          <w:tcPr>
            <w:tcW w:w="62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5"/>
                <w:szCs w:val="15"/>
                <w:color w:val="257ACB"/>
                <w:w w:val="95"/>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1,303.9</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3,862.8</w:t>
            </w:r>
          </w:p>
        </w:tc>
      </w:tr>
      <w:tr>
        <w:trPr>
          <w:trHeight w:val="20"/>
        </w:trPr>
        <w:tc>
          <w:tcPr>
            <w:tcW w:w="6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60" w:space="720"/>
            <w:col w:w="3660"/>
          </w:cols>
          <w:pgMar w:left="320" w:top="130" w:right="33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64" w:lineRule="auto"/>
        <w:rPr>
          <w:sz w:val="20"/>
          <w:szCs w:val="20"/>
          <w:color w:val="auto"/>
        </w:rPr>
      </w:pPr>
      <w:r>
        <w:rPr>
          <w:rFonts w:ascii="Arial" w:cs="Arial" w:eastAsia="Arial" w:hAnsi="Arial"/>
          <w:sz w:val="22"/>
          <w:szCs w:val="22"/>
          <w:b w:val="1"/>
          <w:bCs w:val="1"/>
          <w:color w:val="1C5A7D"/>
        </w:rPr>
        <w:t>BIOGEN INC. AND SUBSIDIARIES CONDENSED CONSOLIDATED STATEMENTS OF EQUITY (unaudited, in millions)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spacing w:after="0"/>
              <w:rPr>
                <w:sz w:val="17"/>
                <w:szCs w:val="17"/>
                <w:color w:val="auto"/>
              </w:rPr>
            </w:pP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3700" w:type="dxa"/>
            <w:vAlign w:val="bottom"/>
            <w:tcBorders>
              <w:bottom w:val="single" w:sz="8" w:color="auto"/>
            </w:tcBorders>
            <w:gridSpan w:val="11"/>
            <w:shd w:val="clear" w:color="auto" w:fill="DBDBDB"/>
          </w:tcPr>
          <w:p>
            <w:pPr>
              <w:jc w:val="right"/>
              <w:ind w:right="180"/>
              <w:spacing w:after="0"/>
              <w:rPr>
                <w:sz w:val="20"/>
                <w:szCs w:val="20"/>
                <w:color w:val="auto"/>
              </w:rPr>
            </w:pPr>
            <w:r>
              <w:rPr>
                <w:rFonts w:ascii="Arial" w:cs="Arial" w:eastAsia="Arial" w:hAnsi="Arial"/>
                <w:sz w:val="14"/>
                <w:szCs w:val="14"/>
                <w:b w:val="1"/>
                <w:bCs w:val="1"/>
                <w:color w:val="0070C0"/>
              </w:rPr>
              <w:t>For the Three Months Ended September 30, 2026</w:t>
            </w:r>
          </w:p>
        </w:tc>
        <w:tc>
          <w:tcPr>
            <w:tcW w:w="78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1600" w:type="dxa"/>
            <w:vAlign w:val="bottom"/>
            <w:gridSpan w:val="5"/>
          </w:tcPr>
          <w:p>
            <w:pPr>
              <w:ind w:left="300"/>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6"/>
          </w:tcPr>
          <w:p>
            <w:pPr>
              <w:ind w:left="3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ind w:left="32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3"/>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4"/>
                <w:szCs w:val="4"/>
                <w:color w:val="auto"/>
              </w:rPr>
            </w:pPr>
          </w:p>
        </w:tc>
        <w:tc>
          <w:tcPr>
            <w:tcW w:w="1080" w:type="dxa"/>
            <w:vAlign w:val="bottom"/>
            <w:gridSpan w:val="2"/>
            <w:vMerge w:val="restart"/>
          </w:tcPr>
          <w:p>
            <w:pPr>
              <w:jc w:val="center"/>
              <w:ind w:right="160"/>
              <w:spacing w:after="0" w:line="108" w:lineRule="exact"/>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4"/>
                <w:szCs w:val="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60" w:type="dxa"/>
            <w:vAlign w:val="bottom"/>
          </w:tcPr>
          <w:p>
            <w:pPr>
              <w:spacing w:after="0"/>
              <w:rPr>
                <w:sz w:val="12"/>
                <w:szCs w:val="12"/>
                <w:color w:val="auto"/>
              </w:rPr>
            </w:pPr>
          </w:p>
        </w:tc>
        <w:tc>
          <w:tcPr>
            <w:tcW w:w="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DBDBDB"/>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DBDBDB"/>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20"/>
                <w:szCs w:val="20"/>
                <w:color w:val="auto"/>
              </w:rPr>
            </w:pPr>
            <w:r>
              <w:rPr>
                <w:rFonts w:ascii="Arial" w:cs="Arial" w:eastAsia="Arial" w:hAnsi="Arial"/>
                <w:sz w:val="14"/>
                <w:szCs w:val="14"/>
                <w:b w:val="1"/>
                <w:bCs w:val="1"/>
                <w:color w:val="auto"/>
              </w:rPr>
              <w:t>Balance, June 30, 2026</w:t>
            </w:r>
          </w:p>
        </w:tc>
        <w:tc>
          <w:tcPr>
            <w:tcW w:w="740" w:type="dxa"/>
            <w:vAlign w:val="bottom"/>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22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640" w:type="dxa"/>
            <w:vAlign w:val="bottom"/>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6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2573BA"/>
              </w:rPr>
              <w:t>171.5</w:t>
            </w:r>
          </w:p>
        </w:tc>
        <w:tc>
          <w:tcPr>
            <w:tcW w:w="22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983.0</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ind w:left="20"/>
              <w:spacing w:after="0"/>
              <w:rPr>
                <w:sz w:val="20"/>
                <w:szCs w:val="20"/>
                <w:color w:val="auto"/>
              </w:rPr>
            </w:pPr>
            <w:r>
              <w:rPr>
                <w:rFonts w:ascii="Arial" w:cs="Arial" w:eastAsia="Arial" w:hAnsi="Arial"/>
                <w:sz w:val="13"/>
                <w:szCs w:val="13"/>
                <w:color w:val="2573BA"/>
                <w:w w:val="82"/>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(127.7)</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20,969.7</w:t>
            </w:r>
          </w:p>
        </w:tc>
        <w:tc>
          <w:tcPr>
            <w:tcW w:w="80" w:type="dxa"/>
            <w:vAlign w:val="bottom"/>
            <w:shd w:val="clear" w:color="auto" w:fill="DBDBDB"/>
          </w:tcPr>
          <w:p>
            <w:pPr>
              <w:spacing w:after="0"/>
              <w:rPr>
                <w:sz w:val="15"/>
                <w:szCs w:val="15"/>
                <w:color w:val="auto"/>
              </w:rPr>
            </w:pPr>
          </w:p>
        </w:tc>
        <w:tc>
          <w:tcPr>
            <w:tcW w:w="780" w:type="dxa"/>
            <w:vAlign w:val="bottom"/>
            <w:shd w:val="clear" w:color="auto" w:fill="DBDBDB"/>
          </w:tcPr>
          <w:p>
            <w:pPr>
              <w:ind w:left="400"/>
              <w:spacing w:after="0"/>
              <w:rPr>
                <w:sz w:val="20"/>
                <w:szCs w:val="20"/>
                <w:color w:val="auto"/>
              </w:rPr>
            </w:pPr>
            <w:r>
              <w:rPr>
                <w:rFonts w:ascii="Arial" w:cs="Arial" w:eastAsia="Arial" w:hAnsi="Arial"/>
                <w:sz w:val="13"/>
                <w:szCs w:val="13"/>
                <w:color w:val="2573BA"/>
              </w:rPr>
              <w:t>(23.8)</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700" w:type="dxa"/>
            <w:vAlign w:val="bottom"/>
            <w:shd w:val="clear" w:color="auto" w:fill="DBDBDB"/>
          </w:tcPr>
          <w:p>
            <w:pPr>
              <w:ind w:left="120"/>
              <w:spacing w:after="0"/>
              <w:rPr>
                <w:sz w:val="20"/>
                <w:szCs w:val="20"/>
                <w:color w:val="auto"/>
              </w:rPr>
            </w:pPr>
            <w:r>
              <w:rPr>
                <w:rFonts w:ascii="Arial" w:cs="Arial" w:eastAsia="Arial" w:hAnsi="Arial"/>
                <w:sz w:val="13"/>
                <w:szCs w:val="13"/>
                <w:color w:val="2573BA"/>
              </w:rPr>
              <w:t>(2,977.1)</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2573BA"/>
                <w:w w:val="82"/>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18,848.0</w:t>
            </w:r>
          </w:p>
        </w:tc>
        <w:tc>
          <w:tcPr>
            <w:tcW w:w="0" w:type="dxa"/>
            <w:vAlign w:val="bottom"/>
          </w:tcPr>
          <w:p>
            <w:pPr>
              <w:spacing w:after="0"/>
              <w:rPr>
                <w:sz w:val="1"/>
                <w:szCs w:val="1"/>
                <w:color w:val="auto"/>
              </w:rPr>
            </w:pPr>
          </w:p>
        </w:tc>
      </w:tr>
      <w:tr>
        <w:trPr>
          <w:trHeight w:val="197"/>
        </w:trPr>
        <w:tc>
          <w:tcPr>
            <w:tcW w:w="2160" w:type="dxa"/>
            <w:vAlign w:val="bottom"/>
          </w:tcPr>
          <w:p>
            <w:pPr>
              <w:spacing w:after="0"/>
              <w:rPr>
                <w:sz w:val="20"/>
                <w:szCs w:val="20"/>
                <w:color w:val="auto"/>
              </w:rPr>
            </w:pPr>
            <w:r>
              <w:rPr>
                <w:rFonts w:ascii="Arial" w:cs="Arial" w:eastAsia="Arial" w:hAnsi="Arial"/>
                <w:sz w:val="14"/>
                <w:szCs w:val="14"/>
                <w:color w:val="auto"/>
              </w:rPr>
              <w:t>Net loss</w:t>
            </w:r>
          </w:p>
        </w:tc>
        <w:tc>
          <w:tcPr>
            <w:tcW w:w="740" w:type="dxa"/>
            <w:vAlign w:val="bottom"/>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40" w:type="dxa"/>
            <w:vAlign w:val="bottom"/>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20" w:type="dxa"/>
            <w:vAlign w:val="bottom"/>
            <w:shd w:val="clear" w:color="auto" w:fill="DBDBDB"/>
          </w:tcPr>
          <w:p>
            <w:pPr>
              <w:spacing w:after="0"/>
              <w:rPr>
                <w:sz w:val="17"/>
                <w:szCs w:val="17"/>
                <w:color w:val="auto"/>
              </w:rPr>
            </w:pPr>
          </w:p>
        </w:tc>
        <w:tc>
          <w:tcPr>
            <w:tcW w:w="74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7"/>
                <w:szCs w:val="17"/>
                <w:color w:val="auto"/>
              </w:rPr>
            </w:pPr>
          </w:p>
        </w:tc>
        <w:tc>
          <w:tcPr>
            <w:tcW w:w="10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(20.6)</w:t>
            </w:r>
          </w:p>
        </w:tc>
        <w:tc>
          <w:tcPr>
            <w:tcW w:w="80" w:type="dxa"/>
            <w:vAlign w:val="bottom"/>
            <w:shd w:val="clear" w:color="auto" w:fill="DBDBDB"/>
          </w:tcPr>
          <w:p>
            <w:pPr>
              <w:spacing w:after="0"/>
              <w:rPr>
                <w:sz w:val="17"/>
                <w:szCs w:val="17"/>
                <w:color w:val="auto"/>
              </w:rPr>
            </w:pPr>
          </w:p>
        </w:tc>
        <w:tc>
          <w:tcPr>
            <w:tcW w:w="860" w:type="dxa"/>
            <w:vAlign w:val="bottom"/>
            <w:gridSpan w:val="2"/>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7"/>
                <w:szCs w:val="17"/>
                <w:color w:val="auto"/>
              </w:rPr>
            </w:pPr>
          </w:p>
        </w:tc>
        <w:tc>
          <w:tcPr>
            <w:tcW w:w="780" w:type="dxa"/>
            <w:vAlign w:val="bottom"/>
            <w:gridSpan w:val="2"/>
            <w:shd w:val="clear" w:color="auto" w:fill="DBDBDB"/>
          </w:tcPr>
          <w:p>
            <w:pPr>
              <w:ind w:left="500"/>
              <w:spacing w:after="0"/>
              <w:rPr>
                <w:sz w:val="20"/>
                <w:szCs w:val="20"/>
                <w:color w:val="auto"/>
              </w:rPr>
            </w:pPr>
            <w:r>
              <w:rPr>
                <w:rFonts w:ascii="Arial" w:cs="Arial" w:eastAsia="Arial" w:hAnsi="Arial"/>
                <w:sz w:val="13"/>
                <w:szCs w:val="13"/>
                <w:color w:val="2573BA"/>
              </w:rPr>
              <w:t>—</w:t>
            </w:r>
          </w:p>
        </w:tc>
        <w:tc>
          <w:tcPr>
            <w:tcW w:w="18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(20.6)</w:t>
            </w:r>
          </w:p>
        </w:tc>
        <w:tc>
          <w:tcPr>
            <w:tcW w:w="0" w:type="dxa"/>
            <w:vAlign w:val="bottom"/>
          </w:tcPr>
          <w:p>
            <w:pPr>
              <w:spacing w:after="0"/>
              <w:rPr>
                <w:sz w:val="1"/>
                <w:szCs w:val="1"/>
                <w:color w:val="auto"/>
              </w:rPr>
            </w:pPr>
          </w:p>
        </w:tc>
      </w:tr>
      <w:tr>
        <w:trPr>
          <w:trHeight w:val="157"/>
        </w:trPr>
        <w:tc>
          <w:tcPr>
            <w:tcW w:w="2160" w:type="dxa"/>
            <w:vAlign w:val="bottom"/>
          </w:tcPr>
          <w:p>
            <w:pPr>
              <w:spacing w:after="0" w:line="157" w:lineRule="exact"/>
              <w:rPr>
                <w:sz w:val="20"/>
                <w:szCs w:val="20"/>
                <w:color w:val="auto"/>
              </w:rPr>
            </w:pPr>
            <w:r>
              <w:rPr>
                <w:rFonts w:ascii="Arial" w:cs="Arial" w:eastAsia="Arial" w:hAnsi="Arial"/>
                <w:sz w:val="14"/>
                <w:szCs w:val="14"/>
                <w:color w:val="auto"/>
              </w:rPr>
              <w:t>Other comprehensive income</w:t>
            </w:r>
          </w:p>
        </w:tc>
        <w:tc>
          <w:tcPr>
            <w:tcW w:w="740" w:type="dxa"/>
            <w:vAlign w:val="bottom"/>
            <w:vMerge w:val="restart"/>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vMerge w:val="restart"/>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20" w:type="dxa"/>
            <w:vAlign w:val="bottom"/>
            <w:shd w:val="clear" w:color="auto" w:fill="DBDBDB"/>
          </w:tcPr>
          <w:p>
            <w:pPr>
              <w:spacing w:after="0"/>
              <w:rPr>
                <w:sz w:val="13"/>
                <w:szCs w:val="13"/>
                <w:color w:val="auto"/>
              </w:rPr>
            </w:pPr>
          </w:p>
        </w:tc>
        <w:tc>
          <w:tcPr>
            <w:tcW w:w="74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7.4</w:t>
            </w: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60" w:type="dxa"/>
            <w:vAlign w:val="bottom"/>
            <w:gridSpan w:val="2"/>
            <w:vMerge w:val="restart"/>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3"/>
                <w:szCs w:val="13"/>
                <w:color w:val="auto"/>
              </w:rPr>
            </w:pPr>
          </w:p>
        </w:tc>
        <w:tc>
          <w:tcPr>
            <w:tcW w:w="780" w:type="dxa"/>
            <w:vAlign w:val="bottom"/>
            <w:gridSpan w:val="2"/>
            <w:vMerge w:val="restart"/>
            <w:shd w:val="clear" w:color="auto" w:fill="DBDBDB"/>
          </w:tcPr>
          <w:p>
            <w:pPr>
              <w:ind w:left="500"/>
              <w:spacing w:after="0"/>
              <w:rPr>
                <w:sz w:val="20"/>
                <w:szCs w:val="20"/>
                <w:color w:val="auto"/>
              </w:rPr>
            </w:pPr>
            <w:r>
              <w:rPr>
                <w:rFonts w:ascii="Arial" w:cs="Arial" w:eastAsia="Arial" w:hAnsi="Arial"/>
                <w:sz w:val="13"/>
                <w:szCs w:val="13"/>
                <w:color w:val="2573BA"/>
              </w:rPr>
              <w:t>—</w:t>
            </w:r>
          </w:p>
        </w:tc>
        <w:tc>
          <w:tcPr>
            <w:tcW w:w="180" w:type="dxa"/>
            <w:vAlign w:val="bottom"/>
            <w:shd w:val="clear" w:color="auto" w:fill="DBDBDB"/>
          </w:tcPr>
          <w:p>
            <w:pPr>
              <w:spacing w:after="0"/>
              <w:rPr>
                <w:sz w:val="13"/>
                <w:szCs w:val="13"/>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7.4</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20"/>
                <w:szCs w:val="20"/>
                <w:color w:val="auto"/>
              </w:rPr>
            </w:pPr>
            <w:r>
              <w:rPr>
                <w:rFonts w:ascii="Arial" w:cs="Arial" w:eastAsia="Arial" w:hAnsi="Arial"/>
                <w:sz w:val="14"/>
                <w:szCs w:val="14"/>
                <w:color w:val="auto"/>
              </w:rPr>
              <w:t>(loss), net of tax</w:t>
            </w:r>
          </w:p>
        </w:tc>
        <w:tc>
          <w:tcPr>
            <w:tcW w:w="7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gridSpan w:val="2"/>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4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86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80" w:type="dxa"/>
            <w:vAlign w:val="bottom"/>
            <w:gridSpan w:val="2"/>
            <w:vMerge w:val="continue"/>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6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w:t>
            </w:r>
          </w:p>
        </w:tc>
        <w:tc>
          <w:tcPr>
            <w:tcW w:w="74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60" w:type="dxa"/>
            <w:vAlign w:val="bottom"/>
          </w:tcPr>
          <w:p>
            <w:pPr>
              <w:spacing w:after="0" w:line="139" w:lineRule="exact"/>
              <w:rPr>
                <w:sz w:val="20"/>
                <w:szCs w:val="20"/>
                <w:color w:val="auto"/>
              </w:rPr>
            </w:pPr>
            <w:r>
              <w:rPr>
                <w:rFonts w:ascii="Arial" w:cs="Arial" w:eastAsia="Arial" w:hAnsi="Arial"/>
                <w:sz w:val="14"/>
                <w:szCs w:val="14"/>
                <w:color w:val="auto"/>
              </w:rPr>
              <w:t>stock option and stock purchase</w:t>
            </w:r>
          </w:p>
        </w:tc>
        <w:tc>
          <w:tcPr>
            <w:tcW w:w="74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20"/>
                <w:szCs w:val="20"/>
                <w:color w:val="auto"/>
              </w:rPr>
            </w:pPr>
            <w:r>
              <w:rPr>
                <w:rFonts w:ascii="Arial" w:cs="Arial" w:eastAsia="Arial" w:hAnsi="Arial"/>
                <w:sz w:val="14"/>
                <w:szCs w:val="14"/>
                <w:color w:val="auto"/>
              </w:rPr>
              <w:t>plans</w:t>
            </w:r>
          </w:p>
        </w:tc>
        <w:tc>
          <w:tcPr>
            <w:tcW w:w="740" w:type="dxa"/>
            <w:vAlign w:val="bottom"/>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6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2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7.4</w:t>
            </w: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60" w:type="dxa"/>
            <w:vAlign w:val="bottom"/>
            <w:gridSpan w:val="2"/>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780" w:type="dxa"/>
            <w:vAlign w:val="bottom"/>
            <w:gridSpan w:val="2"/>
            <w:shd w:val="clear" w:color="auto" w:fill="DBDBDB"/>
          </w:tcPr>
          <w:p>
            <w:pPr>
              <w:ind w:left="500"/>
              <w:spacing w:after="0"/>
              <w:rPr>
                <w:sz w:val="20"/>
                <w:szCs w:val="20"/>
                <w:color w:val="auto"/>
              </w:rPr>
            </w:pPr>
            <w:r>
              <w:rPr>
                <w:rFonts w:ascii="Arial" w:cs="Arial" w:eastAsia="Arial" w:hAnsi="Arial"/>
                <w:sz w:val="13"/>
                <w:szCs w:val="13"/>
                <w:color w:val="2573BA"/>
              </w:rPr>
              <w:t>—</w:t>
            </w:r>
          </w:p>
        </w:tc>
        <w:tc>
          <w:tcPr>
            <w:tcW w:w="18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7.4</w:t>
            </w:r>
          </w:p>
        </w:tc>
        <w:tc>
          <w:tcPr>
            <w:tcW w:w="0" w:type="dxa"/>
            <w:vAlign w:val="bottom"/>
          </w:tcPr>
          <w:p>
            <w:pPr>
              <w:spacing w:after="0"/>
              <w:rPr>
                <w:sz w:val="1"/>
                <w:szCs w:val="1"/>
                <w:color w:val="auto"/>
              </w:rPr>
            </w:pPr>
          </w:p>
        </w:tc>
      </w:tr>
      <w:tr>
        <w:trPr>
          <w:trHeight w:val="157"/>
        </w:trPr>
        <w:tc>
          <w:tcPr>
            <w:tcW w:w="2160" w:type="dxa"/>
            <w:vAlign w:val="bottom"/>
          </w:tcPr>
          <w:p>
            <w:pPr>
              <w:spacing w:after="0" w:line="157" w:lineRule="exact"/>
              <w:rPr>
                <w:sz w:val="20"/>
                <w:szCs w:val="20"/>
                <w:color w:val="auto"/>
              </w:rPr>
            </w:pPr>
            <w:r>
              <w:rPr>
                <w:rFonts w:ascii="Arial" w:cs="Arial" w:eastAsia="Arial" w:hAnsi="Arial"/>
                <w:sz w:val="14"/>
                <w:szCs w:val="14"/>
                <w:color w:val="auto"/>
              </w:rPr>
              <w:t>Issuance of common stock under</w:t>
            </w:r>
          </w:p>
        </w:tc>
        <w:tc>
          <w:tcPr>
            <w:tcW w:w="740" w:type="dxa"/>
            <w:vAlign w:val="bottom"/>
            <w:vMerge w:val="restart"/>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vMerge w:val="restart"/>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20" w:type="dxa"/>
            <w:vAlign w:val="bottom"/>
            <w:shd w:val="clear" w:color="auto" w:fill="DBDBDB"/>
          </w:tcPr>
          <w:p>
            <w:pPr>
              <w:spacing w:after="0"/>
              <w:rPr>
                <w:sz w:val="13"/>
                <w:szCs w:val="13"/>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(4.3)</w:t>
            </w: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3"/>
                <w:szCs w:val="13"/>
                <w:color w:val="auto"/>
              </w:rPr>
            </w:pP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60" w:type="dxa"/>
            <w:vAlign w:val="bottom"/>
            <w:gridSpan w:val="2"/>
            <w:vMerge w:val="restart"/>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3"/>
                <w:szCs w:val="13"/>
                <w:color w:val="auto"/>
              </w:rPr>
            </w:pPr>
          </w:p>
        </w:tc>
        <w:tc>
          <w:tcPr>
            <w:tcW w:w="780" w:type="dxa"/>
            <w:vAlign w:val="bottom"/>
            <w:gridSpan w:val="2"/>
            <w:vMerge w:val="restart"/>
            <w:shd w:val="clear" w:color="auto" w:fill="DBDBDB"/>
          </w:tcPr>
          <w:p>
            <w:pPr>
              <w:ind w:left="500"/>
              <w:spacing w:after="0"/>
              <w:rPr>
                <w:sz w:val="20"/>
                <w:szCs w:val="20"/>
                <w:color w:val="auto"/>
              </w:rPr>
            </w:pPr>
            <w:r>
              <w:rPr>
                <w:rFonts w:ascii="Arial" w:cs="Arial" w:eastAsia="Arial" w:hAnsi="Arial"/>
                <w:sz w:val="13"/>
                <w:szCs w:val="13"/>
                <w:color w:val="2573BA"/>
              </w:rPr>
              <w:t>—</w:t>
            </w:r>
          </w:p>
        </w:tc>
        <w:tc>
          <w:tcPr>
            <w:tcW w:w="180" w:type="dxa"/>
            <w:vAlign w:val="bottom"/>
            <w:shd w:val="clear" w:color="auto" w:fill="DBDBDB"/>
          </w:tcPr>
          <w:p>
            <w:pPr>
              <w:spacing w:after="0"/>
              <w:rPr>
                <w:sz w:val="13"/>
                <w:szCs w:val="13"/>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(4.3)</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20"/>
                <w:szCs w:val="20"/>
                <w:color w:val="auto"/>
              </w:rPr>
            </w:pPr>
            <w:r>
              <w:rPr>
                <w:rFonts w:ascii="Arial" w:cs="Arial" w:eastAsia="Arial" w:hAnsi="Arial"/>
                <w:sz w:val="14"/>
                <w:szCs w:val="14"/>
                <w:color w:val="auto"/>
              </w:rPr>
              <w:t>stock award plan</w:t>
            </w:r>
          </w:p>
        </w:tc>
        <w:tc>
          <w:tcPr>
            <w:tcW w:w="7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gridSpan w:val="2"/>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6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8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86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80" w:type="dxa"/>
            <w:vAlign w:val="bottom"/>
            <w:gridSpan w:val="2"/>
            <w:vMerge w:val="continue"/>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6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rPr>
              <w:t>Compensation related to share-</w:t>
            </w:r>
          </w:p>
        </w:tc>
        <w:tc>
          <w:tcPr>
            <w:tcW w:w="740" w:type="dxa"/>
            <w:vAlign w:val="bottom"/>
            <w:vMerge w:val="restart"/>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vMerge w:val="restart"/>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20" w:type="dxa"/>
            <w:vAlign w:val="bottom"/>
            <w:shd w:val="clear" w:color="auto" w:fill="DBDBDB"/>
          </w:tcPr>
          <w:p>
            <w:pPr>
              <w:spacing w:after="0"/>
              <w:rPr>
                <w:sz w:val="12"/>
                <w:szCs w:val="12"/>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84.2</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60" w:type="dxa"/>
            <w:vAlign w:val="bottom"/>
            <w:gridSpan w:val="2"/>
            <w:vMerge w:val="restart"/>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780" w:type="dxa"/>
            <w:vAlign w:val="bottom"/>
            <w:gridSpan w:val="2"/>
            <w:vMerge w:val="restart"/>
            <w:shd w:val="clear" w:color="auto" w:fill="DBDBDB"/>
          </w:tcPr>
          <w:p>
            <w:pPr>
              <w:ind w:left="500"/>
              <w:spacing w:after="0"/>
              <w:rPr>
                <w:sz w:val="20"/>
                <w:szCs w:val="20"/>
                <w:color w:val="auto"/>
              </w:rPr>
            </w:pPr>
            <w:r>
              <w:rPr>
                <w:rFonts w:ascii="Arial" w:cs="Arial" w:eastAsia="Arial" w:hAnsi="Arial"/>
                <w:sz w:val="13"/>
                <w:szCs w:val="13"/>
                <w:color w:val="2573BA"/>
              </w:rPr>
              <w:t>—</w:t>
            </w:r>
          </w:p>
        </w:tc>
        <w:tc>
          <w:tcPr>
            <w:tcW w:w="180" w:type="dxa"/>
            <w:vAlign w:val="bottom"/>
            <w:shd w:val="clear" w:color="auto" w:fill="DBDBDB"/>
          </w:tcPr>
          <w:p>
            <w:pPr>
              <w:spacing w:after="0"/>
              <w:rPr>
                <w:sz w:val="12"/>
                <w:szCs w:val="12"/>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84.2</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20"/>
                <w:szCs w:val="20"/>
                <w:color w:val="auto"/>
              </w:rPr>
            </w:pPr>
            <w:r>
              <w:rPr>
                <w:rFonts w:ascii="Arial" w:cs="Arial" w:eastAsia="Arial" w:hAnsi="Arial"/>
                <w:sz w:val="14"/>
                <w:szCs w:val="14"/>
                <w:color w:val="auto"/>
              </w:rPr>
              <w:t>based payments</w:t>
            </w:r>
          </w:p>
        </w:tc>
        <w:tc>
          <w:tcPr>
            <w:tcW w:w="7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gridSpan w:val="2"/>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6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8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86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80" w:type="dxa"/>
            <w:vAlign w:val="bottom"/>
            <w:gridSpan w:val="2"/>
            <w:vMerge w:val="continue"/>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6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60" w:type="dxa"/>
            <w:vAlign w:val="bottom"/>
          </w:tcPr>
          <w:p>
            <w:pPr>
              <w:spacing w:after="0"/>
              <w:rPr>
                <w:sz w:val="20"/>
                <w:szCs w:val="20"/>
                <w:color w:val="auto"/>
              </w:rPr>
            </w:pPr>
            <w:r>
              <w:rPr>
                <w:rFonts w:ascii="Arial" w:cs="Arial" w:eastAsia="Arial" w:hAnsi="Arial"/>
                <w:sz w:val="14"/>
                <w:szCs w:val="14"/>
                <w:color w:val="auto"/>
              </w:rPr>
              <w:t>Other</w:t>
            </w:r>
          </w:p>
        </w:tc>
        <w:tc>
          <w:tcPr>
            <w:tcW w:w="740" w:type="dxa"/>
            <w:vAlign w:val="bottom"/>
            <w:tcBorders>
              <w:bottom w:val="single" w:sz="8" w:color="auto"/>
            </w:tcBorders>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ind w:left="500"/>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0" w:type="dxa"/>
            <w:vAlign w:val="bottom"/>
          </w:tcPr>
          <w:p>
            <w:pPr>
              <w:spacing w:after="0"/>
              <w:rPr>
                <w:sz w:val="1"/>
                <w:szCs w:val="1"/>
                <w:color w:val="auto"/>
              </w:rPr>
            </w:pPr>
          </w:p>
        </w:tc>
      </w:tr>
      <w:tr>
        <w:trPr>
          <w:trHeight w:val="207"/>
        </w:trPr>
        <w:tc>
          <w:tcPr>
            <w:tcW w:w="2160" w:type="dxa"/>
            <w:vAlign w:val="bottom"/>
          </w:tcPr>
          <w:p>
            <w:pPr>
              <w:spacing w:after="0"/>
              <w:rPr>
                <w:sz w:val="20"/>
                <w:szCs w:val="20"/>
                <w:color w:val="auto"/>
              </w:rPr>
            </w:pPr>
            <w:r>
              <w:rPr>
                <w:rFonts w:ascii="Arial" w:cs="Arial" w:eastAsia="Arial" w:hAnsi="Arial"/>
                <w:sz w:val="14"/>
                <w:szCs w:val="14"/>
                <w:b w:val="1"/>
                <w:bCs w:val="1"/>
                <w:color w:val="auto"/>
              </w:rPr>
              <w:t>Balance, September 30, 2026</w:t>
            </w:r>
          </w:p>
        </w:tc>
        <w:tc>
          <w:tcPr>
            <w:tcW w:w="740" w:type="dxa"/>
            <w:vAlign w:val="bottom"/>
            <w:tcBorders>
              <w:bottom w:val="single" w:sz="8" w:color="auto"/>
            </w:tcBorders>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64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171.6</w:t>
            </w:r>
          </w:p>
        </w:tc>
        <w:tc>
          <w:tcPr>
            <w:tcW w:w="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1,070.3</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3"/>
                <w:szCs w:val="13"/>
                <w:color w:val="2573BA"/>
                <w:w w:val="82"/>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(120.3)</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20,949.1</w:t>
            </w:r>
          </w:p>
        </w:tc>
        <w:tc>
          <w:tcPr>
            <w:tcW w:w="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ind w:left="400"/>
              <w:spacing w:after="0"/>
              <w:rPr>
                <w:sz w:val="20"/>
                <w:szCs w:val="20"/>
                <w:color w:val="auto"/>
              </w:rPr>
            </w:pPr>
            <w:r>
              <w:rPr>
                <w:rFonts w:ascii="Arial" w:cs="Arial" w:eastAsia="Arial" w:hAnsi="Arial"/>
                <w:sz w:val="13"/>
                <w:szCs w:val="13"/>
                <w:color w:val="2573BA"/>
              </w:rPr>
              <w:t>(23.8)</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70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3"/>
                <w:szCs w:val="13"/>
                <w:color w:val="2573BA"/>
              </w:rPr>
              <w:t>(2,977.1)</w:t>
            </w:r>
          </w:p>
        </w:tc>
        <w:tc>
          <w:tcPr>
            <w:tcW w:w="8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jc w:val="right"/>
              <w:ind w:right="33"/>
              <w:spacing w:after="0"/>
              <w:rPr>
                <w:sz w:val="20"/>
                <w:szCs w:val="20"/>
                <w:color w:val="auto"/>
              </w:rPr>
            </w:pPr>
            <w:r>
              <w:rPr>
                <w:rFonts w:ascii="Arial" w:cs="Arial" w:eastAsia="Arial" w:hAnsi="Arial"/>
                <w:sz w:val="13"/>
                <w:szCs w:val="13"/>
                <w:color w:val="2573BA"/>
                <w:w w:val="82"/>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18,922.1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1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spacing w:after="0"/>
              <w:rPr>
                <w:sz w:val="17"/>
                <w:szCs w:val="17"/>
                <w:color w:val="auto"/>
              </w:rPr>
            </w:pP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3700" w:type="dxa"/>
            <w:vAlign w:val="bottom"/>
            <w:tcBorders>
              <w:bottom w:val="single" w:sz="8" w:color="auto"/>
            </w:tcBorders>
            <w:gridSpan w:val="11"/>
            <w:shd w:val="clear" w:color="auto" w:fill="DBDBDB"/>
          </w:tcPr>
          <w:p>
            <w:pPr>
              <w:ind w:left="220"/>
              <w:spacing w:after="0"/>
              <w:rPr>
                <w:sz w:val="20"/>
                <w:szCs w:val="20"/>
                <w:color w:val="auto"/>
              </w:rPr>
            </w:pPr>
            <w:r>
              <w:rPr>
                <w:rFonts w:ascii="Arial" w:cs="Arial" w:eastAsia="Arial" w:hAnsi="Arial"/>
                <w:sz w:val="14"/>
                <w:szCs w:val="14"/>
                <w:b w:val="1"/>
                <w:bCs w:val="1"/>
                <w:color w:val="0070C0"/>
              </w:rPr>
              <w:t>For the Nine Months Ended September 30, 2026</w:t>
            </w:r>
          </w:p>
        </w:tc>
        <w:tc>
          <w:tcPr>
            <w:tcW w:w="78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160" w:type="dxa"/>
            <w:vAlign w:val="bottom"/>
          </w:tcPr>
          <w:p>
            <w:pPr>
              <w:spacing w:after="0"/>
              <w:rPr>
                <w:sz w:val="12"/>
                <w:szCs w:val="12"/>
                <w:color w:val="auto"/>
              </w:rPr>
            </w:pPr>
          </w:p>
        </w:tc>
        <w:tc>
          <w:tcPr>
            <w:tcW w:w="160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16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6"/>
            <w:vMerge w:val="continue"/>
          </w:tcPr>
          <w:p>
            <w:pPr>
              <w:spacing w:after="0"/>
              <w:rPr>
                <w:sz w:val="9"/>
                <w:szCs w:val="9"/>
                <w:color w:val="auto"/>
              </w:rPr>
            </w:pPr>
          </w:p>
        </w:tc>
        <w:tc>
          <w:tcPr>
            <w:tcW w:w="86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9"/>
                <w:szCs w:val="9"/>
                <w:color w:val="auto"/>
              </w:rPr>
            </w:pPr>
          </w:p>
        </w:tc>
        <w:tc>
          <w:tcPr>
            <w:tcW w:w="10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7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2160" w:type="dxa"/>
            <w:vAlign w:val="bottom"/>
          </w:tcPr>
          <w:p>
            <w:pPr>
              <w:spacing w:after="0"/>
              <w:rPr>
                <w:sz w:val="12"/>
                <w:szCs w:val="12"/>
                <w:color w:val="auto"/>
              </w:rPr>
            </w:pPr>
          </w:p>
        </w:tc>
        <w:tc>
          <w:tcPr>
            <w:tcW w:w="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DBDBDB"/>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DBDBDB"/>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20"/>
                <w:szCs w:val="20"/>
                <w:color w:val="auto"/>
              </w:rPr>
            </w:pPr>
            <w:r>
              <w:rPr>
                <w:rFonts w:ascii="Arial" w:cs="Arial" w:eastAsia="Arial" w:hAnsi="Arial"/>
                <w:sz w:val="14"/>
                <w:szCs w:val="14"/>
                <w:b w:val="1"/>
                <w:bCs w:val="1"/>
                <w:color w:val="auto"/>
              </w:rPr>
              <w:t>Balance, December 31, 2025</w:t>
            </w:r>
          </w:p>
        </w:tc>
        <w:tc>
          <w:tcPr>
            <w:tcW w:w="740" w:type="dxa"/>
            <w:vAlign w:val="bottom"/>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22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640" w:type="dxa"/>
            <w:vAlign w:val="bottom"/>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6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2573BA"/>
              </w:rPr>
              <w:t>170.5</w:t>
            </w:r>
          </w:p>
        </w:tc>
        <w:tc>
          <w:tcPr>
            <w:tcW w:w="22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863.1</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ind w:left="20"/>
              <w:spacing w:after="0"/>
              <w:rPr>
                <w:sz w:val="20"/>
                <w:szCs w:val="20"/>
                <w:color w:val="auto"/>
              </w:rPr>
            </w:pPr>
            <w:r>
              <w:rPr>
                <w:rFonts w:ascii="Arial" w:cs="Arial" w:eastAsia="Arial" w:hAnsi="Arial"/>
                <w:sz w:val="13"/>
                <w:szCs w:val="13"/>
                <w:color w:val="2573BA"/>
                <w:w w:val="82"/>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(182.0)</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20,552.7</w:t>
            </w:r>
          </w:p>
        </w:tc>
        <w:tc>
          <w:tcPr>
            <w:tcW w:w="80" w:type="dxa"/>
            <w:vAlign w:val="bottom"/>
            <w:shd w:val="clear" w:color="auto" w:fill="DBDBDB"/>
          </w:tcPr>
          <w:p>
            <w:pPr>
              <w:spacing w:after="0"/>
              <w:rPr>
                <w:sz w:val="15"/>
                <w:szCs w:val="15"/>
                <w:color w:val="auto"/>
              </w:rPr>
            </w:pPr>
          </w:p>
        </w:tc>
        <w:tc>
          <w:tcPr>
            <w:tcW w:w="780" w:type="dxa"/>
            <w:vAlign w:val="bottom"/>
            <w:shd w:val="clear" w:color="auto" w:fill="DBDBDB"/>
          </w:tcPr>
          <w:p>
            <w:pPr>
              <w:ind w:left="400"/>
              <w:spacing w:after="0"/>
              <w:rPr>
                <w:sz w:val="20"/>
                <w:szCs w:val="20"/>
                <w:color w:val="auto"/>
              </w:rPr>
            </w:pPr>
            <w:r>
              <w:rPr>
                <w:rFonts w:ascii="Arial" w:cs="Arial" w:eastAsia="Arial" w:hAnsi="Arial"/>
                <w:sz w:val="13"/>
                <w:szCs w:val="13"/>
                <w:color w:val="2573BA"/>
              </w:rPr>
              <w:t>(23.8)</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700" w:type="dxa"/>
            <w:vAlign w:val="bottom"/>
            <w:shd w:val="clear" w:color="auto" w:fill="DBDBDB"/>
          </w:tcPr>
          <w:p>
            <w:pPr>
              <w:ind w:left="120"/>
              <w:spacing w:after="0"/>
              <w:rPr>
                <w:sz w:val="20"/>
                <w:szCs w:val="20"/>
                <w:color w:val="auto"/>
              </w:rPr>
            </w:pPr>
            <w:r>
              <w:rPr>
                <w:rFonts w:ascii="Arial" w:cs="Arial" w:eastAsia="Arial" w:hAnsi="Arial"/>
                <w:sz w:val="13"/>
                <w:szCs w:val="13"/>
                <w:color w:val="2573BA"/>
              </w:rPr>
              <w:t>(2,977.1)</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2573BA"/>
                <w:w w:val="82"/>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18,256.8</w:t>
            </w:r>
          </w:p>
        </w:tc>
        <w:tc>
          <w:tcPr>
            <w:tcW w:w="0" w:type="dxa"/>
            <w:vAlign w:val="bottom"/>
          </w:tcPr>
          <w:p>
            <w:pPr>
              <w:spacing w:after="0"/>
              <w:rPr>
                <w:sz w:val="1"/>
                <w:szCs w:val="1"/>
                <w:color w:val="auto"/>
              </w:rPr>
            </w:pPr>
          </w:p>
        </w:tc>
      </w:tr>
      <w:tr>
        <w:trPr>
          <w:trHeight w:val="197"/>
        </w:trPr>
        <w:tc>
          <w:tcPr>
            <w:tcW w:w="2160" w:type="dxa"/>
            <w:vAlign w:val="bottom"/>
          </w:tcPr>
          <w:p>
            <w:pPr>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40" w:type="dxa"/>
            <w:vAlign w:val="bottom"/>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20" w:type="dxa"/>
            <w:vAlign w:val="bottom"/>
            <w:shd w:val="clear" w:color="auto" w:fill="DBDBDB"/>
          </w:tcPr>
          <w:p>
            <w:pPr>
              <w:spacing w:after="0"/>
              <w:rPr>
                <w:sz w:val="17"/>
                <w:szCs w:val="17"/>
                <w:color w:val="auto"/>
              </w:rPr>
            </w:pPr>
          </w:p>
        </w:tc>
        <w:tc>
          <w:tcPr>
            <w:tcW w:w="74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7"/>
                <w:szCs w:val="17"/>
                <w:color w:val="auto"/>
              </w:rPr>
            </w:pPr>
          </w:p>
        </w:tc>
        <w:tc>
          <w:tcPr>
            <w:tcW w:w="10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396.4</w:t>
            </w:r>
          </w:p>
        </w:tc>
        <w:tc>
          <w:tcPr>
            <w:tcW w:w="80" w:type="dxa"/>
            <w:vAlign w:val="bottom"/>
            <w:shd w:val="clear" w:color="auto" w:fill="DBDBDB"/>
          </w:tcPr>
          <w:p>
            <w:pPr>
              <w:spacing w:after="0"/>
              <w:rPr>
                <w:sz w:val="17"/>
                <w:szCs w:val="17"/>
                <w:color w:val="auto"/>
              </w:rPr>
            </w:pPr>
          </w:p>
        </w:tc>
        <w:tc>
          <w:tcPr>
            <w:tcW w:w="860" w:type="dxa"/>
            <w:vAlign w:val="bottom"/>
            <w:gridSpan w:val="2"/>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7"/>
                <w:szCs w:val="17"/>
                <w:color w:val="auto"/>
              </w:rPr>
            </w:pPr>
          </w:p>
        </w:tc>
        <w:tc>
          <w:tcPr>
            <w:tcW w:w="780" w:type="dxa"/>
            <w:vAlign w:val="bottom"/>
            <w:gridSpan w:val="2"/>
            <w:shd w:val="clear" w:color="auto" w:fill="DBDBDB"/>
          </w:tcPr>
          <w:p>
            <w:pPr>
              <w:ind w:left="500"/>
              <w:spacing w:after="0"/>
              <w:rPr>
                <w:sz w:val="20"/>
                <w:szCs w:val="20"/>
                <w:color w:val="auto"/>
              </w:rPr>
            </w:pPr>
            <w:r>
              <w:rPr>
                <w:rFonts w:ascii="Arial" w:cs="Arial" w:eastAsia="Arial" w:hAnsi="Arial"/>
                <w:sz w:val="13"/>
                <w:szCs w:val="13"/>
                <w:color w:val="2573BA"/>
              </w:rPr>
              <w:t>—</w:t>
            </w:r>
          </w:p>
        </w:tc>
        <w:tc>
          <w:tcPr>
            <w:tcW w:w="18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396.4</w:t>
            </w:r>
          </w:p>
        </w:tc>
        <w:tc>
          <w:tcPr>
            <w:tcW w:w="0" w:type="dxa"/>
            <w:vAlign w:val="bottom"/>
          </w:tcPr>
          <w:p>
            <w:pPr>
              <w:spacing w:after="0"/>
              <w:rPr>
                <w:sz w:val="1"/>
                <w:szCs w:val="1"/>
                <w:color w:val="auto"/>
              </w:rPr>
            </w:pPr>
          </w:p>
        </w:tc>
      </w:tr>
      <w:tr>
        <w:trPr>
          <w:trHeight w:val="157"/>
        </w:trPr>
        <w:tc>
          <w:tcPr>
            <w:tcW w:w="2160" w:type="dxa"/>
            <w:vAlign w:val="bottom"/>
          </w:tcPr>
          <w:p>
            <w:pPr>
              <w:spacing w:after="0" w:line="157" w:lineRule="exact"/>
              <w:rPr>
                <w:sz w:val="20"/>
                <w:szCs w:val="20"/>
                <w:color w:val="auto"/>
              </w:rPr>
            </w:pPr>
            <w:r>
              <w:rPr>
                <w:rFonts w:ascii="Arial" w:cs="Arial" w:eastAsia="Arial" w:hAnsi="Arial"/>
                <w:sz w:val="14"/>
                <w:szCs w:val="14"/>
                <w:color w:val="auto"/>
              </w:rPr>
              <w:t>Other comprehensive income</w:t>
            </w:r>
          </w:p>
        </w:tc>
        <w:tc>
          <w:tcPr>
            <w:tcW w:w="740" w:type="dxa"/>
            <w:vAlign w:val="bottom"/>
            <w:vMerge w:val="restart"/>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vMerge w:val="restart"/>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20" w:type="dxa"/>
            <w:vAlign w:val="bottom"/>
            <w:shd w:val="clear" w:color="auto" w:fill="DBDBDB"/>
          </w:tcPr>
          <w:p>
            <w:pPr>
              <w:spacing w:after="0"/>
              <w:rPr>
                <w:sz w:val="13"/>
                <w:szCs w:val="13"/>
                <w:color w:val="auto"/>
              </w:rPr>
            </w:pPr>
          </w:p>
        </w:tc>
        <w:tc>
          <w:tcPr>
            <w:tcW w:w="74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61.7</w:t>
            </w: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60" w:type="dxa"/>
            <w:vAlign w:val="bottom"/>
            <w:gridSpan w:val="2"/>
            <w:vMerge w:val="restart"/>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3"/>
                <w:szCs w:val="13"/>
                <w:color w:val="auto"/>
              </w:rPr>
            </w:pPr>
          </w:p>
        </w:tc>
        <w:tc>
          <w:tcPr>
            <w:tcW w:w="780" w:type="dxa"/>
            <w:vAlign w:val="bottom"/>
            <w:gridSpan w:val="2"/>
            <w:vMerge w:val="restart"/>
            <w:shd w:val="clear" w:color="auto" w:fill="DBDBDB"/>
          </w:tcPr>
          <w:p>
            <w:pPr>
              <w:ind w:left="500"/>
              <w:spacing w:after="0"/>
              <w:rPr>
                <w:sz w:val="20"/>
                <w:szCs w:val="20"/>
                <w:color w:val="auto"/>
              </w:rPr>
            </w:pPr>
            <w:r>
              <w:rPr>
                <w:rFonts w:ascii="Arial" w:cs="Arial" w:eastAsia="Arial" w:hAnsi="Arial"/>
                <w:sz w:val="13"/>
                <w:szCs w:val="13"/>
                <w:color w:val="2573BA"/>
              </w:rPr>
              <w:t>—</w:t>
            </w:r>
          </w:p>
        </w:tc>
        <w:tc>
          <w:tcPr>
            <w:tcW w:w="180" w:type="dxa"/>
            <w:vAlign w:val="bottom"/>
            <w:shd w:val="clear" w:color="auto" w:fill="DBDBDB"/>
          </w:tcPr>
          <w:p>
            <w:pPr>
              <w:spacing w:after="0"/>
              <w:rPr>
                <w:sz w:val="13"/>
                <w:szCs w:val="13"/>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61.7</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20"/>
                <w:szCs w:val="20"/>
                <w:color w:val="auto"/>
              </w:rPr>
            </w:pPr>
            <w:r>
              <w:rPr>
                <w:rFonts w:ascii="Arial" w:cs="Arial" w:eastAsia="Arial" w:hAnsi="Arial"/>
                <w:sz w:val="14"/>
                <w:szCs w:val="14"/>
                <w:color w:val="auto"/>
              </w:rPr>
              <w:t>(loss), net of tax</w:t>
            </w:r>
          </w:p>
        </w:tc>
        <w:tc>
          <w:tcPr>
            <w:tcW w:w="7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gridSpan w:val="2"/>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4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86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80" w:type="dxa"/>
            <w:vAlign w:val="bottom"/>
            <w:gridSpan w:val="2"/>
            <w:vMerge w:val="continue"/>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6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w:t>
            </w:r>
          </w:p>
        </w:tc>
        <w:tc>
          <w:tcPr>
            <w:tcW w:w="74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60" w:type="dxa"/>
            <w:vAlign w:val="bottom"/>
          </w:tcPr>
          <w:p>
            <w:pPr>
              <w:spacing w:after="0" w:line="139" w:lineRule="exact"/>
              <w:rPr>
                <w:sz w:val="20"/>
                <w:szCs w:val="20"/>
                <w:color w:val="auto"/>
              </w:rPr>
            </w:pPr>
            <w:r>
              <w:rPr>
                <w:rFonts w:ascii="Arial" w:cs="Arial" w:eastAsia="Arial" w:hAnsi="Arial"/>
                <w:sz w:val="14"/>
                <w:szCs w:val="14"/>
                <w:color w:val="auto"/>
              </w:rPr>
              <w:t>stock option and stock purchase</w:t>
            </w:r>
          </w:p>
        </w:tc>
        <w:tc>
          <w:tcPr>
            <w:tcW w:w="74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20"/>
                <w:szCs w:val="20"/>
                <w:color w:val="auto"/>
              </w:rPr>
            </w:pPr>
            <w:r>
              <w:rPr>
                <w:rFonts w:ascii="Arial" w:cs="Arial" w:eastAsia="Arial" w:hAnsi="Arial"/>
                <w:sz w:val="14"/>
                <w:szCs w:val="14"/>
                <w:color w:val="auto"/>
              </w:rPr>
              <w:t>plans</w:t>
            </w:r>
          </w:p>
        </w:tc>
        <w:tc>
          <w:tcPr>
            <w:tcW w:w="740" w:type="dxa"/>
            <w:vAlign w:val="bottom"/>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6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2573BA"/>
              </w:rPr>
              <w:t>0.2</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2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30.1</w:t>
            </w: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60" w:type="dxa"/>
            <w:vAlign w:val="bottom"/>
            <w:gridSpan w:val="2"/>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780" w:type="dxa"/>
            <w:vAlign w:val="bottom"/>
            <w:gridSpan w:val="2"/>
            <w:shd w:val="clear" w:color="auto" w:fill="DBDBDB"/>
          </w:tcPr>
          <w:p>
            <w:pPr>
              <w:ind w:left="500"/>
              <w:spacing w:after="0"/>
              <w:rPr>
                <w:sz w:val="20"/>
                <w:szCs w:val="20"/>
                <w:color w:val="auto"/>
              </w:rPr>
            </w:pPr>
            <w:r>
              <w:rPr>
                <w:rFonts w:ascii="Arial" w:cs="Arial" w:eastAsia="Arial" w:hAnsi="Arial"/>
                <w:sz w:val="13"/>
                <w:szCs w:val="13"/>
                <w:color w:val="2573BA"/>
              </w:rPr>
              <w:t>—</w:t>
            </w:r>
          </w:p>
        </w:tc>
        <w:tc>
          <w:tcPr>
            <w:tcW w:w="18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30.1</w:t>
            </w:r>
          </w:p>
        </w:tc>
        <w:tc>
          <w:tcPr>
            <w:tcW w:w="0" w:type="dxa"/>
            <w:vAlign w:val="bottom"/>
          </w:tcPr>
          <w:p>
            <w:pPr>
              <w:spacing w:after="0"/>
              <w:rPr>
                <w:sz w:val="1"/>
                <w:szCs w:val="1"/>
                <w:color w:val="auto"/>
              </w:rPr>
            </w:pPr>
          </w:p>
        </w:tc>
      </w:tr>
      <w:tr>
        <w:trPr>
          <w:trHeight w:val="157"/>
        </w:trPr>
        <w:tc>
          <w:tcPr>
            <w:tcW w:w="2160" w:type="dxa"/>
            <w:vAlign w:val="bottom"/>
          </w:tcPr>
          <w:p>
            <w:pPr>
              <w:spacing w:after="0" w:line="157" w:lineRule="exact"/>
              <w:rPr>
                <w:sz w:val="20"/>
                <w:szCs w:val="20"/>
                <w:color w:val="auto"/>
              </w:rPr>
            </w:pPr>
            <w:r>
              <w:rPr>
                <w:rFonts w:ascii="Arial" w:cs="Arial" w:eastAsia="Arial" w:hAnsi="Arial"/>
                <w:sz w:val="14"/>
                <w:szCs w:val="14"/>
                <w:color w:val="auto"/>
              </w:rPr>
              <w:t>Issuance of common stock under</w:t>
            </w:r>
          </w:p>
        </w:tc>
        <w:tc>
          <w:tcPr>
            <w:tcW w:w="740" w:type="dxa"/>
            <w:vAlign w:val="bottom"/>
            <w:vMerge w:val="restart"/>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vMerge w:val="restart"/>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3"/>
                <w:szCs w:val="13"/>
                <w:color w:val="auto"/>
              </w:rPr>
            </w:pPr>
          </w:p>
        </w:tc>
        <w:tc>
          <w:tcPr>
            <w:tcW w:w="82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2573BA"/>
              </w:rPr>
              <w:t>0.9</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20" w:type="dxa"/>
            <w:vAlign w:val="bottom"/>
            <w:shd w:val="clear" w:color="auto" w:fill="DBDBDB"/>
          </w:tcPr>
          <w:p>
            <w:pPr>
              <w:spacing w:after="0"/>
              <w:rPr>
                <w:sz w:val="13"/>
                <w:szCs w:val="13"/>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(76.1)</w:t>
            </w: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3"/>
                <w:szCs w:val="13"/>
                <w:color w:val="auto"/>
              </w:rPr>
            </w:pP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60" w:type="dxa"/>
            <w:vAlign w:val="bottom"/>
            <w:gridSpan w:val="2"/>
            <w:vMerge w:val="restart"/>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3"/>
                <w:szCs w:val="13"/>
                <w:color w:val="auto"/>
              </w:rPr>
            </w:pPr>
          </w:p>
        </w:tc>
        <w:tc>
          <w:tcPr>
            <w:tcW w:w="780" w:type="dxa"/>
            <w:vAlign w:val="bottom"/>
            <w:gridSpan w:val="2"/>
            <w:vMerge w:val="restart"/>
            <w:shd w:val="clear" w:color="auto" w:fill="DBDBDB"/>
          </w:tcPr>
          <w:p>
            <w:pPr>
              <w:ind w:left="500"/>
              <w:spacing w:after="0"/>
              <w:rPr>
                <w:sz w:val="20"/>
                <w:szCs w:val="20"/>
                <w:color w:val="auto"/>
              </w:rPr>
            </w:pPr>
            <w:r>
              <w:rPr>
                <w:rFonts w:ascii="Arial" w:cs="Arial" w:eastAsia="Arial" w:hAnsi="Arial"/>
                <w:sz w:val="13"/>
                <w:szCs w:val="13"/>
                <w:color w:val="2573BA"/>
              </w:rPr>
              <w:t>—</w:t>
            </w:r>
          </w:p>
        </w:tc>
        <w:tc>
          <w:tcPr>
            <w:tcW w:w="180" w:type="dxa"/>
            <w:vAlign w:val="bottom"/>
            <w:shd w:val="clear" w:color="auto" w:fill="DBDBDB"/>
          </w:tcPr>
          <w:p>
            <w:pPr>
              <w:spacing w:after="0"/>
              <w:rPr>
                <w:sz w:val="13"/>
                <w:szCs w:val="13"/>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(76.1)</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20"/>
                <w:szCs w:val="20"/>
                <w:color w:val="auto"/>
              </w:rPr>
            </w:pPr>
            <w:r>
              <w:rPr>
                <w:rFonts w:ascii="Arial" w:cs="Arial" w:eastAsia="Arial" w:hAnsi="Arial"/>
                <w:sz w:val="14"/>
                <w:szCs w:val="14"/>
                <w:color w:val="auto"/>
              </w:rPr>
              <w:t>stock award plan</w:t>
            </w:r>
          </w:p>
        </w:tc>
        <w:tc>
          <w:tcPr>
            <w:tcW w:w="7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20" w:type="dxa"/>
            <w:vAlign w:val="bottom"/>
            <w:gridSpan w:val="2"/>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gridSpan w:val="2"/>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6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8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86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80" w:type="dxa"/>
            <w:vAlign w:val="bottom"/>
            <w:gridSpan w:val="2"/>
            <w:vMerge w:val="continue"/>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6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Compensation related to share-</w:t>
            </w:r>
          </w:p>
        </w:tc>
        <w:tc>
          <w:tcPr>
            <w:tcW w:w="740" w:type="dxa"/>
            <w:vAlign w:val="bottom"/>
            <w:vMerge w:val="restart"/>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vMerge w:val="restart"/>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20" w:type="dxa"/>
            <w:vAlign w:val="bottom"/>
            <w:shd w:val="clear" w:color="auto" w:fill="DBDBDB"/>
          </w:tcPr>
          <w:p>
            <w:pPr>
              <w:spacing w:after="0"/>
              <w:rPr>
                <w:sz w:val="12"/>
                <w:szCs w:val="12"/>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252.7</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60" w:type="dxa"/>
            <w:vAlign w:val="bottom"/>
            <w:gridSpan w:val="2"/>
            <w:vMerge w:val="restart"/>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780" w:type="dxa"/>
            <w:vAlign w:val="bottom"/>
            <w:gridSpan w:val="2"/>
            <w:vMerge w:val="restart"/>
            <w:shd w:val="clear" w:color="auto" w:fill="DBDBDB"/>
          </w:tcPr>
          <w:p>
            <w:pPr>
              <w:ind w:left="500"/>
              <w:spacing w:after="0"/>
              <w:rPr>
                <w:sz w:val="20"/>
                <w:szCs w:val="20"/>
                <w:color w:val="auto"/>
              </w:rPr>
            </w:pPr>
            <w:r>
              <w:rPr>
                <w:rFonts w:ascii="Arial" w:cs="Arial" w:eastAsia="Arial" w:hAnsi="Arial"/>
                <w:sz w:val="13"/>
                <w:szCs w:val="13"/>
                <w:color w:val="2573BA"/>
              </w:rPr>
              <w:t>—</w:t>
            </w:r>
          </w:p>
        </w:tc>
        <w:tc>
          <w:tcPr>
            <w:tcW w:w="180" w:type="dxa"/>
            <w:vAlign w:val="bottom"/>
            <w:shd w:val="clear" w:color="auto" w:fill="DBDBDB"/>
          </w:tcPr>
          <w:p>
            <w:pPr>
              <w:spacing w:after="0"/>
              <w:rPr>
                <w:sz w:val="12"/>
                <w:szCs w:val="12"/>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252.7</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20"/>
                <w:szCs w:val="20"/>
                <w:color w:val="auto"/>
              </w:rPr>
            </w:pPr>
            <w:r>
              <w:rPr>
                <w:rFonts w:ascii="Arial" w:cs="Arial" w:eastAsia="Arial" w:hAnsi="Arial"/>
                <w:sz w:val="14"/>
                <w:szCs w:val="14"/>
                <w:color w:val="auto"/>
              </w:rPr>
              <w:t>based payments</w:t>
            </w:r>
          </w:p>
        </w:tc>
        <w:tc>
          <w:tcPr>
            <w:tcW w:w="7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gridSpan w:val="2"/>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6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8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86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80" w:type="dxa"/>
            <w:vAlign w:val="bottom"/>
            <w:gridSpan w:val="2"/>
            <w:vMerge w:val="continue"/>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6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160" w:type="dxa"/>
            <w:vAlign w:val="bottom"/>
          </w:tcPr>
          <w:p>
            <w:pPr>
              <w:spacing w:after="0"/>
              <w:rPr>
                <w:sz w:val="20"/>
                <w:szCs w:val="20"/>
                <w:color w:val="auto"/>
              </w:rPr>
            </w:pPr>
            <w:r>
              <w:rPr>
                <w:rFonts w:ascii="Arial" w:cs="Arial" w:eastAsia="Arial" w:hAnsi="Arial"/>
                <w:sz w:val="14"/>
                <w:szCs w:val="14"/>
                <w:color w:val="auto"/>
              </w:rPr>
              <w:t>Other</w:t>
            </w:r>
          </w:p>
        </w:tc>
        <w:tc>
          <w:tcPr>
            <w:tcW w:w="740" w:type="dxa"/>
            <w:vAlign w:val="bottom"/>
            <w:tcBorders>
              <w:bottom w:val="single" w:sz="8" w:color="auto"/>
            </w:tcBorders>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0.5</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ind w:left="500"/>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0.5</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20"/>
                <w:szCs w:val="20"/>
                <w:color w:val="auto"/>
              </w:rPr>
            </w:pPr>
            <w:r>
              <w:rPr>
                <w:rFonts w:ascii="Arial" w:cs="Arial" w:eastAsia="Arial" w:hAnsi="Arial"/>
                <w:sz w:val="14"/>
                <w:szCs w:val="14"/>
                <w:b w:val="1"/>
                <w:bCs w:val="1"/>
                <w:color w:val="auto"/>
              </w:rPr>
              <w:t>Balance, September 30, 2026</w:t>
            </w:r>
          </w:p>
        </w:tc>
        <w:tc>
          <w:tcPr>
            <w:tcW w:w="740" w:type="dxa"/>
            <w:vAlign w:val="bottom"/>
            <w:shd w:val="clear" w:color="auto" w:fill="DBDBDB"/>
          </w:tcPr>
          <w:p>
            <w:pPr>
              <w:ind w:left="5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640" w:type="dxa"/>
            <w:vAlign w:val="bottom"/>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171.6</w:t>
            </w:r>
          </w:p>
        </w:tc>
        <w:tc>
          <w:tcPr>
            <w:tcW w:w="22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1,070.3</w:t>
            </w: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ind w:left="20"/>
              <w:spacing w:after="0"/>
              <w:rPr>
                <w:sz w:val="20"/>
                <w:szCs w:val="20"/>
                <w:color w:val="auto"/>
              </w:rPr>
            </w:pPr>
            <w:r>
              <w:rPr>
                <w:rFonts w:ascii="Arial" w:cs="Arial" w:eastAsia="Arial" w:hAnsi="Arial"/>
                <w:sz w:val="13"/>
                <w:szCs w:val="13"/>
                <w:color w:val="2573BA"/>
                <w:w w:val="82"/>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(120.3)</w:t>
            </w: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20,949.1</w:t>
            </w:r>
          </w:p>
        </w:tc>
        <w:tc>
          <w:tcPr>
            <w:tcW w:w="80" w:type="dxa"/>
            <w:vAlign w:val="bottom"/>
            <w:shd w:val="clear" w:color="auto" w:fill="DBDBDB"/>
          </w:tcPr>
          <w:p>
            <w:pPr>
              <w:spacing w:after="0"/>
              <w:rPr>
                <w:sz w:val="17"/>
                <w:szCs w:val="17"/>
                <w:color w:val="auto"/>
              </w:rPr>
            </w:pPr>
          </w:p>
        </w:tc>
        <w:tc>
          <w:tcPr>
            <w:tcW w:w="780" w:type="dxa"/>
            <w:vAlign w:val="bottom"/>
            <w:shd w:val="clear" w:color="auto" w:fill="DBDBDB"/>
          </w:tcPr>
          <w:p>
            <w:pPr>
              <w:ind w:left="400"/>
              <w:spacing w:after="0"/>
              <w:rPr>
                <w:sz w:val="20"/>
                <w:szCs w:val="20"/>
                <w:color w:val="auto"/>
              </w:rPr>
            </w:pPr>
            <w:r>
              <w:rPr>
                <w:rFonts w:ascii="Arial" w:cs="Arial" w:eastAsia="Arial" w:hAnsi="Arial"/>
                <w:sz w:val="13"/>
                <w:szCs w:val="13"/>
                <w:color w:val="2573BA"/>
              </w:rPr>
              <w:t>(23.8)</w:t>
            </w: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700" w:type="dxa"/>
            <w:vAlign w:val="bottom"/>
            <w:shd w:val="clear" w:color="auto" w:fill="DBDBDB"/>
          </w:tcPr>
          <w:p>
            <w:pPr>
              <w:ind w:left="120"/>
              <w:spacing w:after="0"/>
              <w:rPr>
                <w:sz w:val="20"/>
                <w:szCs w:val="20"/>
                <w:color w:val="auto"/>
              </w:rPr>
            </w:pPr>
            <w:r>
              <w:rPr>
                <w:rFonts w:ascii="Arial" w:cs="Arial" w:eastAsia="Arial" w:hAnsi="Arial"/>
                <w:sz w:val="13"/>
                <w:szCs w:val="13"/>
                <w:color w:val="2573BA"/>
              </w:rPr>
              <w:t>(2,977.1)</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jc w:val="right"/>
              <w:ind w:right="33"/>
              <w:spacing w:after="0"/>
              <w:rPr>
                <w:sz w:val="20"/>
                <w:szCs w:val="20"/>
                <w:color w:val="auto"/>
              </w:rPr>
            </w:pPr>
            <w:r>
              <w:rPr>
                <w:rFonts w:ascii="Arial" w:cs="Arial" w:eastAsia="Arial" w:hAnsi="Arial"/>
                <w:sz w:val="13"/>
                <w:szCs w:val="13"/>
                <w:color w:val="2573BA"/>
                <w:w w:val="82"/>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18,922.1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CONDENSED CONSOLIDATED STATEMENTS OF EQUITY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(unaudited, in millions)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21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rPr>
              <w:t>For the Three Months Ended September 30, 2025</w:t>
            </w: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140" w:type="dxa"/>
            <w:vAlign w:val="bottom"/>
          </w:tcPr>
          <w:p>
            <w:pPr>
              <w:spacing w:after="0"/>
              <w:rPr>
                <w:sz w:val="12"/>
                <w:szCs w:val="1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Preferred stock</w:t>
            </w:r>
          </w:p>
        </w:tc>
        <w:tc>
          <w:tcPr>
            <w:tcW w:w="170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80"/>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140" w:type="dxa"/>
            <w:vAlign w:val="bottom"/>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88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9"/>
                <w:szCs w:val="9"/>
                <w:color w:val="auto"/>
              </w:rPr>
            </w:pPr>
          </w:p>
        </w:tc>
        <w:tc>
          <w:tcPr>
            <w:tcW w:w="9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7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2140" w:type="dxa"/>
            <w:vAlign w:val="bottom"/>
          </w:tcPr>
          <w:p>
            <w:pPr>
              <w:spacing w:after="0"/>
              <w:rPr>
                <w:sz w:val="12"/>
                <w:szCs w:val="12"/>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20"/>
                <w:szCs w:val="20"/>
                <w:color w:val="auto"/>
              </w:rPr>
            </w:pPr>
            <w:r>
              <w:rPr>
                <w:rFonts w:ascii="Arial" w:cs="Arial" w:eastAsia="Arial" w:hAnsi="Arial"/>
                <w:sz w:val="14"/>
                <w:szCs w:val="14"/>
                <w:b w:val="1"/>
                <w:bCs w:val="1"/>
                <w:color w:val="auto"/>
              </w:rPr>
              <w:t>Balance, June 30, 2025</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714.0</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(238.1)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20,135.1</w:t>
            </w:r>
          </w:p>
        </w:tc>
        <w:tc>
          <w:tcPr>
            <w:tcW w:w="8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ind w:left="100"/>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17,634.0</w:t>
            </w:r>
          </w:p>
        </w:tc>
        <w:tc>
          <w:tcPr>
            <w:tcW w:w="0" w:type="dxa"/>
            <w:vAlign w:val="bottom"/>
          </w:tcPr>
          <w:p>
            <w:pPr>
              <w:spacing w:after="0"/>
              <w:rPr>
                <w:sz w:val="1"/>
                <w:szCs w:val="1"/>
                <w:color w:val="auto"/>
              </w:rPr>
            </w:pPr>
          </w:p>
        </w:tc>
      </w:tr>
      <w:tr>
        <w:trPr>
          <w:trHeight w:val="197"/>
        </w:trPr>
        <w:tc>
          <w:tcPr>
            <w:tcW w:w="2140" w:type="dxa"/>
            <w:vAlign w:val="bottom"/>
          </w:tcPr>
          <w:p>
            <w:pPr>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466.5</w:t>
            </w:r>
          </w:p>
        </w:tc>
        <w:tc>
          <w:tcPr>
            <w:tcW w:w="8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466.5</w:t>
            </w:r>
          </w:p>
        </w:tc>
        <w:tc>
          <w:tcPr>
            <w:tcW w:w="0" w:type="dxa"/>
            <w:vAlign w:val="bottom"/>
          </w:tcPr>
          <w:p>
            <w:pPr>
              <w:spacing w:after="0"/>
              <w:rPr>
                <w:sz w:val="1"/>
                <w:szCs w:val="1"/>
                <w:color w:val="auto"/>
              </w:rPr>
            </w:pPr>
          </w:p>
        </w:tc>
      </w:tr>
      <w:tr>
        <w:trPr>
          <w:trHeight w:val="157"/>
        </w:trPr>
        <w:tc>
          <w:tcPr>
            <w:tcW w:w="2140" w:type="dxa"/>
            <w:vAlign w:val="bottom"/>
          </w:tcPr>
          <w:p>
            <w:pPr>
              <w:spacing w:after="0" w:line="157" w:lineRule="exact"/>
              <w:rPr>
                <w:sz w:val="20"/>
                <w:szCs w:val="20"/>
                <w:color w:val="auto"/>
              </w:rPr>
            </w:pPr>
            <w:r>
              <w:rPr>
                <w:rFonts w:ascii="Arial" w:cs="Arial" w:eastAsia="Arial" w:hAnsi="Arial"/>
                <w:sz w:val="14"/>
                <w:szCs w:val="14"/>
                <w:color w:val="auto"/>
              </w:rPr>
              <w:t>Other comprehensive income</w:t>
            </w:r>
          </w:p>
        </w:tc>
        <w:tc>
          <w:tcPr>
            <w:tcW w:w="84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Arial" w:cs="Arial" w:eastAsia="Arial" w:hAnsi="Arial"/>
                <w:sz w:val="14"/>
                <w:szCs w:val="14"/>
                <w:color w:val="auto"/>
              </w:rPr>
              <w:t>(loss), net of tax</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line="147" w:lineRule="exact"/>
              <w:rPr>
                <w:sz w:val="20"/>
                <w:szCs w:val="20"/>
                <w:color w:val="auto"/>
              </w:rPr>
            </w:pPr>
            <w:r>
              <w:rPr>
                <w:rFonts w:ascii="Arial" w:cs="Arial" w:eastAsia="Arial" w:hAnsi="Arial"/>
                <w:sz w:val="14"/>
                <w:szCs w:val="14"/>
                <w:color w:val="auto"/>
              </w:rPr>
              <w:t>Issuance of common stock under</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40" w:type="dxa"/>
            <w:vAlign w:val="bottom"/>
          </w:tcPr>
          <w:p>
            <w:pPr>
              <w:spacing w:after="0" w:line="139" w:lineRule="exact"/>
              <w:rPr>
                <w:sz w:val="20"/>
                <w:szCs w:val="20"/>
                <w:color w:val="auto"/>
              </w:rPr>
            </w:pPr>
            <w:r>
              <w:rPr>
                <w:rFonts w:ascii="Arial" w:cs="Arial" w:eastAsia="Arial" w:hAnsi="Arial"/>
                <w:sz w:val="14"/>
                <w:szCs w:val="14"/>
                <w:color w:val="auto"/>
              </w:rPr>
              <w:t>stock option and stock purchase</w:t>
            </w:r>
          </w:p>
        </w:tc>
        <w:tc>
          <w:tcPr>
            <w:tcW w:w="84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Arial" w:cs="Arial" w:eastAsia="Arial" w:hAnsi="Arial"/>
                <w:sz w:val="14"/>
                <w:szCs w:val="14"/>
                <w:color w:val="auto"/>
              </w:rPr>
              <w:t>plans</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40" w:type="dxa"/>
            <w:vAlign w:val="bottom"/>
          </w:tcPr>
          <w:p>
            <w:pPr>
              <w:spacing w:after="0" w:line="157" w:lineRule="exact"/>
              <w:rPr>
                <w:sz w:val="20"/>
                <w:szCs w:val="20"/>
                <w:color w:val="auto"/>
              </w:rPr>
            </w:pPr>
            <w:r>
              <w:rPr>
                <w:rFonts w:ascii="Arial" w:cs="Arial" w:eastAsia="Arial" w:hAnsi="Arial"/>
                <w:sz w:val="14"/>
                <w:szCs w:val="14"/>
                <w:color w:val="auto"/>
              </w:rPr>
              <w:t>Issuance of common stock under</w:t>
            </w:r>
          </w:p>
        </w:tc>
        <w:tc>
          <w:tcPr>
            <w:tcW w:w="84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Arial" w:cs="Arial" w:eastAsia="Arial" w:hAnsi="Arial"/>
                <w:sz w:val="14"/>
                <w:szCs w:val="14"/>
                <w:color w:val="auto"/>
              </w:rPr>
              <w:t>stock award plan</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line="147" w:lineRule="exact"/>
              <w:rPr>
                <w:sz w:val="20"/>
                <w:szCs w:val="20"/>
                <w:color w:val="auto"/>
              </w:rPr>
            </w:pPr>
            <w:r>
              <w:rPr>
                <w:rFonts w:ascii="Arial" w:cs="Arial" w:eastAsia="Arial" w:hAnsi="Arial"/>
                <w:sz w:val="14"/>
                <w:szCs w:val="14"/>
                <w:color w:val="auto"/>
              </w:rPr>
              <w:t>Compensation related to share-</w:t>
            </w:r>
          </w:p>
        </w:tc>
        <w:tc>
          <w:tcPr>
            <w:tcW w:w="84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78.4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Arial" w:cs="Arial" w:eastAsia="Arial" w:hAnsi="Arial"/>
                <w:sz w:val="14"/>
                <w:szCs w:val="14"/>
                <w:color w:val="auto"/>
              </w:rPr>
              <w:t>based payments</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40" w:type="dxa"/>
            <w:vAlign w:val="bottom"/>
          </w:tcPr>
          <w:p>
            <w:pPr>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20"/>
                <w:szCs w:val="20"/>
                <w:color w:val="auto"/>
              </w:rPr>
            </w:pPr>
            <w:r>
              <w:rPr>
                <w:rFonts w:ascii="Arial" w:cs="Arial" w:eastAsia="Arial" w:hAnsi="Arial"/>
                <w:sz w:val="14"/>
                <w:szCs w:val="14"/>
                <w:b w:val="1"/>
                <w:bCs w:val="1"/>
                <w:color w:val="auto"/>
              </w:rPr>
              <w:t>Balance, September 30, 2025</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797.7</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20,601.6</w:t>
            </w:r>
          </w:p>
        </w:tc>
        <w:tc>
          <w:tcPr>
            <w:tcW w:w="80" w:type="dxa"/>
            <w:vAlign w:val="bottom"/>
          </w:tcPr>
          <w:p>
            <w:pPr>
              <w:spacing w:after="0"/>
              <w:rPr>
                <w:sz w:val="17"/>
                <w:szCs w:val="17"/>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18,207.5</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4"/>
        </w:trPr>
        <w:tc>
          <w:tcPr>
            <w:tcW w:w="21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rPr>
              <w:t>For the Nine Months Ended September 30, 2025</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140" w:type="dxa"/>
            <w:vAlign w:val="bottom"/>
          </w:tcPr>
          <w:p>
            <w:pPr>
              <w:spacing w:after="0"/>
              <w:rPr>
                <w:sz w:val="12"/>
                <w:szCs w:val="1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Preferred stock</w:t>
            </w:r>
          </w:p>
        </w:tc>
        <w:tc>
          <w:tcPr>
            <w:tcW w:w="170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80"/>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2"/>
                <w:szCs w:val="12"/>
                <w:color w:val="auto"/>
              </w:rPr>
            </w:pPr>
          </w:p>
        </w:tc>
        <w:tc>
          <w:tcPr>
            <w:tcW w:w="8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6"/>
        </w:trPr>
        <w:tc>
          <w:tcPr>
            <w:tcW w:w="2140" w:type="dxa"/>
            <w:vAlign w:val="bottom"/>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88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9"/>
                <w:szCs w:val="9"/>
                <w:color w:val="auto"/>
              </w:rPr>
            </w:pPr>
          </w:p>
        </w:tc>
        <w:tc>
          <w:tcPr>
            <w:tcW w:w="9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center"/>
              <w:ind w:right="28"/>
              <w:spacing w:after="0" w:line="149" w:lineRule="exact"/>
              <w:rPr>
                <w:sz w:val="20"/>
                <w:szCs w:val="20"/>
                <w:color w:val="auto"/>
              </w:rPr>
            </w:pPr>
            <w:r>
              <w:rPr>
                <w:rFonts w:ascii="Arial" w:cs="Arial" w:eastAsia="Arial" w:hAnsi="Arial"/>
                <w:sz w:val="14"/>
                <w:szCs w:val="14"/>
                <w:b w:val="1"/>
                <w:bCs w:val="1"/>
                <w:color w:val="auto"/>
              </w:rPr>
              <w:t>Biogen Inc.</w:t>
            </w:r>
          </w:p>
        </w:tc>
        <w:tc>
          <w:tcPr>
            <w:tcW w:w="0" w:type="dxa"/>
            <w:vAlign w:val="bottom"/>
          </w:tcPr>
          <w:p>
            <w:pPr>
              <w:spacing w:after="0"/>
              <w:rPr>
                <w:sz w:val="1"/>
                <w:szCs w:val="1"/>
                <w:color w:val="auto"/>
              </w:rPr>
            </w:pPr>
          </w:p>
        </w:tc>
      </w:tr>
      <w:tr>
        <w:trPr>
          <w:trHeight w:val="23"/>
        </w:trPr>
        <w:tc>
          <w:tcPr>
            <w:tcW w:w="21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7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40" w:type="dxa"/>
            <w:vAlign w:val="bottom"/>
          </w:tcPr>
          <w:p>
            <w:pPr>
              <w:spacing w:after="0"/>
              <w:rPr>
                <w:sz w:val="12"/>
                <w:szCs w:val="12"/>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20"/>
                <w:szCs w:val="20"/>
                <w:color w:val="auto"/>
              </w:rPr>
            </w:pPr>
            <w:r>
              <w:rPr>
                <w:rFonts w:ascii="Arial" w:cs="Arial" w:eastAsia="Arial" w:hAnsi="Arial"/>
                <w:sz w:val="14"/>
                <w:szCs w:val="14"/>
                <w:b w:val="1"/>
                <w:bCs w:val="1"/>
                <w:color w:val="auto"/>
              </w:rPr>
              <w:t>Balance, December 31, 2024</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169.5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569.4</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(136.2)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19,259.8</w:t>
            </w:r>
          </w:p>
        </w:tc>
        <w:tc>
          <w:tcPr>
            <w:tcW w:w="8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ind w:left="100"/>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16,716.0</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1,341.8</w:t>
            </w:r>
          </w:p>
        </w:tc>
        <w:tc>
          <w:tcPr>
            <w:tcW w:w="8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1,341.8</w:t>
            </w:r>
          </w:p>
        </w:tc>
        <w:tc>
          <w:tcPr>
            <w:tcW w:w="0" w:type="dxa"/>
            <w:vAlign w:val="bottom"/>
          </w:tcPr>
          <w:p>
            <w:pPr>
              <w:spacing w:after="0"/>
              <w:rPr>
                <w:sz w:val="1"/>
                <w:szCs w:val="1"/>
                <w:color w:val="auto"/>
              </w:rPr>
            </w:pPr>
          </w:p>
        </w:tc>
      </w:tr>
      <w:tr>
        <w:trPr>
          <w:trHeight w:val="157"/>
        </w:trPr>
        <w:tc>
          <w:tcPr>
            <w:tcW w:w="2140" w:type="dxa"/>
            <w:vAlign w:val="bottom"/>
          </w:tcPr>
          <w:p>
            <w:pPr>
              <w:spacing w:after="0" w:line="157" w:lineRule="exact"/>
              <w:rPr>
                <w:sz w:val="20"/>
                <w:szCs w:val="20"/>
                <w:color w:val="auto"/>
              </w:rPr>
            </w:pPr>
            <w:r>
              <w:rPr>
                <w:rFonts w:ascii="Arial" w:cs="Arial" w:eastAsia="Arial" w:hAnsi="Arial"/>
                <w:sz w:val="14"/>
                <w:szCs w:val="14"/>
                <w:color w:val="auto"/>
              </w:rPr>
              <w:t>Other comprehensive income</w:t>
            </w:r>
          </w:p>
        </w:tc>
        <w:tc>
          <w:tcPr>
            <w:tcW w:w="84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(78.6)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Arial" w:cs="Arial" w:eastAsia="Arial" w:hAnsi="Arial"/>
                <w:sz w:val="14"/>
                <w:szCs w:val="14"/>
                <w:color w:val="auto"/>
              </w:rPr>
              <w:t>(loss), net of tax</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line="147" w:lineRule="exact"/>
              <w:rPr>
                <w:sz w:val="20"/>
                <w:szCs w:val="20"/>
                <w:color w:val="auto"/>
              </w:rPr>
            </w:pPr>
            <w:r>
              <w:rPr>
                <w:rFonts w:ascii="Arial" w:cs="Arial" w:eastAsia="Arial" w:hAnsi="Arial"/>
                <w:sz w:val="14"/>
                <w:szCs w:val="14"/>
                <w:color w:val="auto"/>
              </w:rPr>
              <w:t>Issuance of common stock under</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40" w:type="dxa"/>
            <w:vAlign w:val="bottom"/>
          </w:tcPr>
          <w:p>
            <w:pPr>
              <w:spacing w:after="0" w:line="139" w:lineRule="exact"/>
              <w:rPr>
                <w:sz w:val="20"/>
                <w:szCs w:val="20"/>
                <w:color w:val="auto"/>
              </w:rPr>
            </w:pPr>
            <w:r>
              <w:rPr>
                <w:rFonts w:ascii="Arial" w:cs="Arial" w:eastAsia="Arial" w:hAnsi="Arial"/>
                <w:sz w:val="14"/>
                <w:szCs w:val="14"/>
                <w:color w:val="auto"/>
              </w:rPr>
              <w:t>stock option and stock purchase</w:t>
            </w:r>
          </w:p>
        </w:tc>
        <w:tc>
          <w:tcPr>
            <w:tcW w:w="84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Arial" w:cs="Arial" w:eastAsia="Arial" w:hAnsi="Arial"/>
                <w:sz w:val="14"/>
                <w:szCs w:val="14"/>
                <w:color w:val="auto"/>
              </w:rPr>
              <w:t>plans</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40" w:type="dxa"/>
            <w:vAlign w:val="bottom"/>
          </w:tcPr>
          <w:p>
            <w:pPr>
              <w:spacing w:after="0" w:line="157" w:lineRule="exact"/>
              <w:rPr>
                <w:sz w:val="20"/>
                <w:szCs w:val="20"/>
                <w:color w:val="auto"/>
              </w:rPr>
            </w:pPr>
            <w:r>
              <w:rPr>
                <w:rFonts w:ascii="Arial" w:cs="Arial" w:eastAsia="Arial" w:hAnsi="Arial"/>
                <w:sz w:val="14"/>
                <w:szCs w:val="14"/>
                <w:color w:val="auto"/>
              </w:rPr>
              <w:t>Issuance of common stock under</w:t>
            </w:r>
          </w:p>
        </w:tc>
        <w:tc>
          <w:tcPr>
            <w:tcW w:w="84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(41.5)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Arial" w:cs="Arial" w:eastAsia="Arial" w:hAnsi="Arial"/>
                <w:sz w:val="14"/>
                <w:szCs w:val="14"/>
                <w:color w:val="auto"/>
              </w:rPr>
              <w:t>stock award plan</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line="147" w:lineRule="exact"/>
              <w:rPr>
                <w:sz w:val="20"/>
                <w:szCs w:val="20"/>
                <w:color w:val="auto"/>
              </w:rPr>
            </w:pPr>
            <w:r>
              <w:rPr>
                <w:rFonts w:ascii="Arial" w:cs="Arial" w:eastAsia="Arial" w:hAnsi="Arial"/>
                <w:sz w:val="14"/>
                <w:szCs w:val="14"/>
                <w:color w:val="auto"/>
              </w:rPr>
              <w:t>Compensation related to share-</w:t>
            </w:r>
          </w:p>
        </w:tc>
        <w:tc>
          <w:tcPr>
            <w:tcW w:w="84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240.6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240.6</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Arial" w:cs="Arial" w:eastAsia="Arial" w:hAnsi="Arial"/>
                <w:sz w:val="14"/>
                <w:szCs w:val="14"/>
                <w:color w:val="auto"/>
              </w:rPr>
              <w:t>based payments</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40" w:type="dxa"/>
            <w:vAlign w:val="bottom"/>
          </w:tcPr>
          <w:p>
            <w:pPr>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20"/>
                <w:szCs w:val="20"/>
                <w:color w:val="auto"/>
              </w:rPr>
            </w:pPr>
            <w:r>
              <w:rPr>
                <w:rFonts w:ascii="Arial" w:cs="Arial" w:eastAsia="Arial" w:hAnsi="Arial"/>
                <w:sz w:val="14"/>
                <w:szCs w:val="14"/>
                <w:b w:val="1"/>
                <w:bCs w:val="1"/>
                <w:color w:val="auto"/>
              </w:rPr>
              <w:t>Balance, September 30, 2025</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170.5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797.7</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(214.8)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20,601.6</w:t>
            </w:r>
          </w:p>
        </w:tc>
        <w:tc>
          <w:tcPr>
            <w:tcW w:w="80" w:type="dxa"/>
            <w:vAlign w:val="bottom"/>
          </w:tcPr>
          <w:p>
            <w:pPr>
              <w:spacing w:after="0"/>
              <w:rPr>
                <w:sz w:val="17"/>
                <w:szCs w:val="17"/>
                <w:color w:val="auto"/>
              </w:rPr>
            </w:pPr>
          </w:p>
        </w:tc>
        <w:tc>
          <w:tcPr>
            <w:tcW w:w="780" w:type="dxa"/>
            <w:vAlign w:val="bottom"/>
          </w:tcPr>
          <w:p>
            <w:pPr>
              <w:ind w:left="380"/>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ind w:left="100"/>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18,207.5</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96925"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w:t>
      </w:r>
      <w:r>
        <w:rPr>
          <w:sz w:val="20"/>
          <w:szCs w:val="20"/>
          <w:color w:val="auto"/>
        </w:rPr>
        <w:tab/>
      </w:r>
      <w:r>
        <w:rPr>
          <w:rFonts w:ascii="Arial" w:cs="Arial" w:eastAsia="Arial" w:hAnsi="Arial"/>
          <w:sz w:val="21"/>
          <w:szCs w:val="21"/>
          <w:b w:val="1"/>
          <w:bCs w:val="1"/>
          <w:color w:val="0070C0"/>
        </w:rPr>
        <w:t>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these notes to "Biogen," the "company," "we," "us" and "our" refer to Biogen Inc.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Business Overview</w:t>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We are focused on advancing our pipeline, including significant late stage programs, in neurology, specialized immunology and rare diseases across multiple modalities. Our drug discovery and development efforts are supported by internal research and development programs, external collaborations and acquisitions of businesses and assets.</w:t>
      </w:r>
    </w:p>
    <w:p>
      <w:pPr>
        <w:spacing w:after="0" w:line="6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marketed products include VUMERITY, TYSABRI, TECFIDERA, AVONEX and PLEGRIDY for the treatment of MS; SPINRAZA for the treatment of SMA; SKYCLARYS for the treatment of FA; QALSODY for the treatment of ALS; SYFOVRE for the treatment of GA; and EMPAVELI for the treatment of PNH, C3G and primary IC-MPGN.</w:t>
      </w:r>
    </w:p>
    <w:p>
      <w:pPr>
        <w:spacing w:after="0" w:line="49"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also have collaborations with Eisai on the commercialization of LEQEMBI for the treatment of Alzheimer's disease and Supernus on the commercialization of ZURZUVAE for the treatment of PPD. We have certain business and financial rights with current and other potential anti-CD20 therapies, pursuant to our collaboration arrangements with Genentech, a wholly owned member of the Roche Group. Under the collaboration arrangements, we currently recognize revenue from the following products: OCREVUS, GAZYVA, RITUXAN, RITUXAN HYCELA, LUNSUMIO and COLUMVI.</w:t>
      </w:r>
    </w:p>
    <w:p>
      <w:pPr>
        <w:spacing w:after="0" w:line="8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We commercialize a portfolio of biosimilars of advanced biologics including: BENEPALI, an etanercept biosimilar referencing ENBREL; IMRALDI, an adalimumab biosimilar referencing HUMIRA; and FLIXABI, an infliximab biosimilar referencing REMICADE.</w:t>
      </w:r>
    </w:p>
    <w:p>
      <w:pPr>
        <w:spacing w:after="0" w:line="45"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these unaudited condensed consolidated financial statements (condensed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Basis of Presentation</w:t>
      </w:r>
    </w:p>
    <w:p>
      <w:pPr>
        <w:spacing w:after="0" w:line="112"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 xml:space="preserve">In the opinion of management, our condensed consolidated financial statements include all adjustments, consisting of normal recurring accruals, necessary for a fair statement of our financial statements for interim periods in accordance with U.S. GAAP. The information included in this quarterly report on Form 10-Q should be read in conjunction with our audited consolidated financial statements and the accompanying notes included in our 2025 Form 10-K. Our accounting policies are described in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our 2025 Form 10-K and updated, as necessary, in this report. The year-end condensed consolidated balance sheet data</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for comparative purposes was derived from our audited financial statements, but does not include all disclosures required by U.S. GAAP. The results of operations for the three and nine months ended September 30, 2026, are not necessarily indicative of the operating results for the full year or for any other subsequent interim period.</w:t>
      </w:r>
    </w:p>
    <w:p>
      <w:pPr>
        <w:spacing w:after="0" w:line="7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operate as one operating segment, focused on discovering, developing and delivering innovative therapies for people living with serious and complex diseases.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Consolidation</w:t>
      </w:r>
    </w:p>
    <w:p>
      <w:pPr>
        <w:spacing w:after="0" w:line="12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Our condensed consolidated financial statements reflect our financial statements, those of our wholly owned subsidiaries and variable interest entities where we are the primary beneficiary. For consolidated entities where we own or are exposed to less than 100.0% of the economics, we record net income (loss) attributable to noncontrolling interests, net of tax in our condensed consolidated statements of income equal to the percentage of the economic or ownership interest retained in such entities by the respective noncontrolling parties. Intercompany balances and transactions are eliminated in consolidation.</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determining whether we are the primary beneficiary of a variable interest entity,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We continuously assess whether we are the primary beneficiary of a variable interest entity as changes to existing relationships or future transactions may result in us consolidating or deconsolidating one or more of our collaborators or partners.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Use of Estimates</w:t>
      </w:r>
    </w:p>
    <w:p>
      <w:pPr>
        <w:spacing w:after="0" w:line="12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preparation of our condensed consolidated financial statements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Significant Accounting Policies</w:t>
      </w:r>
    </w:p>
    <w:p>
      <w:pPr>
        <w:spacing w:after="0" w:line="11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 xml:space="preserve">There have been no material changes to our significant accounting policies disclosed in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to our audited consolidated financial statements included in our 2025 Form 10-K.</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New Accounting Pronouncements</w:t>
      </w:r>
    </w:p>
    <w:p>
      <w:pPr>
        <w:spacing w:after="0" w:line="12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we adopt as of the specified effective date. Unless otherwise discussed below, we do not believe that the adoption of recently issued standards have had, or may have, a material impact on our condensed consolidated financial statements or disclosures.</w:t>
      </w:r>
    </w:p>
    <w:p>
      <w:pPr>
        <w:sectPr>
          <w:pgSz w:w="11900" w:h="16838" w:orient="portrait"/>
          <w:cols w:equalWidth="0" w:num="1">
            <w:col w:w="11180"/>
          </w:cols>
          <w:pgMar w:left="320" w:top="130" w:right="399" w:bottom="1440" w:gutter="0" w:footer="0" w:header="0"/>
        </w:sectPr>
      </w:pPr>
    </w:p>
    <w:p>
      <w:pPr>
        <w:spacing w:after="0" w:line="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0070C0"/>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2687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040" w:val="left"/>
          <w:tab w:leader="none" w:pos="4880" w:val="left"/>
        </w:tabs>
        <w:rPr>
          <w:sz w:val="20"/>
          <w:szCs w:val="20"/>
          <w:color w:val="auto"/>
        </w:rPr>
      </w:pPr>
      <w:r>
        <w:rPr>
          <w:rFonts w:ascii="Arial" w:cs="Arial" w:eastAsia="Arial" w:hAnsi="Arial"/>
          <w:sz w:val="14"/>
          <w:szCs w:val="14"/>
          <w:b w:val="1"/>
          <w:bCs w:val="1"/>
          <w:color w:val="0070C0"/>
        </w:rPr>
        <w:t>Description</w:t>
      </w:r>
      <w:r>
        <w:rPr>
          <w:sz w:val="20"/>
          <w:szCs w:val="20"/>
          <w:color w:val="auto"/>
        </w:rPr>
        <w:tab/>
      </w:r>
      <w:r>
        <w:rPr>
          <w:rFonts w:ascii="Arial" w:cs="Arial" w:eastAsia="Arial" w:hAnsi="Arial"/>
          <w:sz w:val="14"/>
          <w:szCs w:val="14"/>
          <w:b w:val="1"/>
          <w:bCs w:val="1"/>
          <w:color w:val="0070C0"/>
        </w:rPr>
        <w:t>Effective Date</w:t>
      </w:r>
      <w:r>
        <w:rPr>
          <w:sz w:val="20"/>
          <w:szCs w:val="20"/>
          <w:color w:val="auto"/>
        </w:rPr>
        <w:tab/>
      </w:r>
      <w:r>
        <w:rPr>
          <w:rFonts w:ascii="Arial" w:cs="Arial" w:eastAsia="Arial" w:hAnsi="Arial"/>
          <w:sz w:val="14"/>
          <w:szCs w:val="14"/>
          <w:b w:val="1"/>
          <w:bCs w:val="1"/>
          <w:color w:val="0070C0"/>
        </w:rPr>
        <w:t>Effects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23495</wp:posOffset>
            </wp:positionV>
            <wp:extent cx="58032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3000" w:space="720"/>
            <w:col w:w="7460"/>
          </w:cols>
          <w:pgMar w:left="320" w:top="130" w:right="399" w:bottom="1440" w:gutter="0" w:footer="0" w:header="0"/>
          <w:type w:val="continuous"/>
        </w:sectPr>
      </w:pPr>
    </w:p>
    <w:p>
      <w:pPr>
        <w:ind w:left="20" w:right="20"/>
        <w:spacing w:after="0" w:line="251" w:lineRule="auto"/>
        <w:rPr>
          <w:sz w:val="20"/>
          <w:szCs w:val="20"/>
          <w:color w:val="auto"/>
        </w:rPr>
      </w:pPr>
      <w:r>
        <w:rPr>
          <w:rFonts w:ascii="Arial" w:cs="Arial" w:eastAsia="Arial" w:hAnsi="Arial"/>
          <w:sz w:val="14"/>
          <w:szCs w:val="14"/>
          <w:color w:val="auto"/>
        </w:rPr>
        <w:t xml:space="preserve">ASU No. 2024-03, </w:t>
      </w:r>
      <w:r>
        <w:rPr>
          <w:rFonts w:ascii="Arial" w:cs="Arial" w:eastAsia="Arial" w:hAnsi="Arial"/>
          <w:sz w:val="14"/>
          <w:szCs w:val="14"/>
          <w:i w:val="1"/>
          <w:iCs w:val="1"/>
          <w:color w:val="auto"/>
        </w:rPr>
        <w:t>Income</w:t>
      </w:r>
      <w:r>
        <w:rPr>
          <w:rFonts w:ascii="Arial" w:cs="Arial" w:eastAsia="Arial" w:hAnsi="Arial"/>
          <w:sz w:val="14"/>
          <w:szCs w:val="14"/>
          <w:color w:val="auto"/>
        </w:rPr>
        <w:t xml:space="preserve"> </w:t>
      </w:r>
      <w:r>
        <w:rPr>
          <w:rFonts w:ascii="Arial" w:cs="Arial" w:eastAsia="Arial" w:hAnsi="Arial"/>
          <w:sz w:val="14"/>
          <w:szCs w:val="14"/>
          <w:i w:val="1"/>
          <w:iCs w:val="1"/>
          <w:color w:val="auto"/>
        </w:rPr>
        <w:t>Statement (Subtopic 220-40):</w:t>
      </w:r>
    </w:p>
    <w:p>
      <w:pPr>
        <w:spacing w:after="0" w:line="1" w:lineRule="exact"/>
        <w:rPr>
          <w:sz w:val="20"/>
          <w:szCs w:val="20"/>
          <w:color w:val="auto"/>
        </w:rPr>
      </w:pPr>
    </w:p>
    <w:p>
      <w:pPr>
        <w:ind w:left="20" w:right="140"/>
        <w:spacing w:after="0" w:line="252" w:lineRule="auto"/>
        <w:rPr>
          <w:sz w:val="20"/>
          <w:szCs w:val="20"/>
          <w:color w:val="auto"/>
        </w:rPr>
      </w:pPr>
      <w:r>
        <w:rPr>
          <w:rFonts w:ascii="Arial" w:cs="Arial" w:eastAsia="Arial" w:hAnsi="Arial"/>
          <w:sz w:val="14"/>
          <w:szCs w:val="14"/>
          <w:i w:val="1"/>
          <w:iCs w:val="1"/>
          <w:color w:val="auto"/>
        </w:rPr>
        <w:t>Reporting Comprehensive Income - Expense Disaggregation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12687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line="246" w:lineRule="auto"/>
        <w:rPr>
          <w:sz w:val="20"/>
          <w:szCs w:val="20"/>
          <w:color w:val="auto"/>
        </w:rPr>
      </w:pPr>
      <w:r>
        <w:rPr>
          <w:rFonts w:ascii="Arial" w:cs="Arial" w:eastAsia="Arial" w:hAnsi="Arial"/>
          <w:sz w:val="14"/>
          <w:szCs w:val="14"/>
          <w:color w:val="auto"/>
        </w:rPr>
        <w:t>ASU No. 2025-06, Intangibles - Goodwill and Other - Internal-Use Software (Subtopic 350-40): Targeted</w:t>
      </w:r>
    </w:p>
    <w:p>
      <w:pPr>
        <w:spacing w:after="0" w:line="2" w:lineRule="exact"/>
        <w:rPr>
          <w:sz w:val="20"/>
          <w:szCs w:val="20"/>
          <w:color w:val="auto"/>
        </w:rPr>
      </w:pPr>
    </w:p>
    <w:p>
      <w:pPr>
        <w:ind w:left="20" w:right="160"/>
        <w:spacing w:after="0" w:line="231" w:lineRule="auto"/>
        <w:rPr>
          <w:sz w:val="20"/>
          <w:szCs w:val="20"/>
          <w:color w:val="auto"/>
        </w:rPr>
      </w:pPr>
      <w:r>
        <w:rPr>
          <w:rFonts w:ascii="Arial" w:cs="Arial" w:eastAsia="Arial" w:hAnsi="Arial"/>
          <w:sz w:val="14"/>
          <w:szCs w:val="14"/>
          <w:color w:val="auto"/>
        </w:rPr>
        <w:t>Improvements to the Accounting for Internal-Use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2687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46" w:lineRule="auto"/>
        <w:rPr>
          <w:sz w:val="20"/>
          <w:szCs w:val="20"/>
          <w:color w:val="auto"/>
        </w:rPr>
      </w:pPr>
      <w:r>
        <w:rPr>
          <w:rFonts w:ascii="Arial" w:cs="Arial" w:eastAsia="Arial" w:hAnsi="Arial"/>
          <w:sz w:val="14"/>
          <w:szCs w:val="14"/>
          <w:color w:val="auto"/>
        </w:rPr>
        <w:t>This standard requires disclosure in the notes to the financial statements, at each interim and annual reporting period, of specified information about certain costs and expense including purchases of inventory, employee compensation,</w:t>
      </w:r>
    </w:p>
    <w:p>
      <w:pPr>
        <w:spacing w:after="0" w:line="2"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depreciation and intangible asset amortization included in each relevant expense caption. This standard also requires a</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qualitative description of the amounts remaining in relevant expense captions that are not separately disaggregated, as well as disclosure of the total amount of selling expenses, and, in annual reporting periods, an entity’s definition of 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2571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5"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This standard modernizes the accounting for software costs, including updating guidance on the recognition and measurement of costs incurred in connection with development and implementation activities related to internal-use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215265</wp:posOffset>
            </wp:positionV>
            <wp:extent cx="25717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46" w:lineRule="auto"/>
        <w:rPr>
          <w:sz w:val="20"/>
          <w:szCs w:val="20"/>
          <w:color w:val="auto"/>
        </w:rPr>
      </w:pPr>
      <w:r>
        <w:rPr>
          <w:rFonts w:ascii="Arial" w:cs="Arial" w:eastAsia="Arial" w:hAnsi="Arial"/>
          <w:sz w:val="14"/>
          <w:szCs w:val="14"/>
          <w:color w:val="auto"/>
        </w:rPr>
        <w:t>Annual reporting for fiscal years beginning after December 15, 2026, and interim periods within fiscal</w:t>
      </w:r>
    </w:p>
    <w:p>
      <w:pPr>
        <w:spacing w:after="0" w:line="2"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years beginning after December 15, 2027. Early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434975</wp:posOffset>
            </wp:positionV>
            <wp:extent cx="12858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20"/>
        <w:spacing w:after="0" w:line="246" w:lineRule="auto"/>
        <w:rPr>
          <w:sz w:val="20"/>
          <w:szCs w:val="20"/>
          <w:color w:val="auto"/>
        </w:rPr>
      </w:pPr>
      <w:r>
        <w:rPr>
          <w:rFonts w:ascii="Arial" w:cs="Arial" w:eastAsia="Arial" w:hAnsi="Arial"/>
          <w:sz w:val="14"/>
          <w:szCs w:val="14"/>
          <w:color w:val="auto"/>
        </w:rPr>
        <w:t>Annual reporting for fiscal periods beginning after December 15, 2027, and interim periods within those</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annual reporting periods. Early 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12858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Arial" w:cs="Arial" w:eastAsia="Arial" w:hAnsi="Arial"/>
          <w:sz w:val="14"/>
          <w:szCs w:val="14"/>
          <w:color w:val="auto"/>
        </w:rPr>
        <w:t>We are currently evaluating the potential impact that this new standard will have on our consolidated financial statements and related disclosures, and expect to apply this standard prospectively upon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617855</wp:posOffset>
            </wp:positionV>
            <wp:extent cx="18256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We are currently evaluating the potential impact that this new standard will have on our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315595</wp:posOffset>
            </wp:positionV>
            <wp:extent cx="18256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646" w:lineRule="exact"/>
        <w:rPr>
          <w:sz w:val="20"/>
          <w:szCs w:val="20"/>
          <w:color w:val="auto"/>
        </w:rPr>
      </w:pPr>
    </w:p>
    <w:p>
      <w:pPr>
        <w:sectPr>
          <w:pgSz w:w="11900" w:h="16838" w:orient="portrait"/>
          <w:cols w:equalWidth="0" w:num="4">
            <w:col w:w="1920" w:space="200"/>
            <w:col w:w="4000" w:space="140"/>
            <w:col w:w="1960" w:space="160"/>
            <w:col w:w="2800"/>
          </w:cols>
          <w:pgMar w:left="320" w:top="130" w:right="39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96925"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2:</w:t>
      </w:r>
      <w:r>
        <w:rPr>
          <w:sz w:val="20"/>
          <w:szCs w:val="20"/>
          <w:color w:val="auto"/>
        </w:rPr>
        <w:tab/>
      </w:r>
      <w:r>
        <w:rPr>
          <w:rFonts w:ascii="Arial" w:cs="Arial" w:eastAsia="Arial" w:hAnsi="Arial"/>
          <w:sz w:val="21"/>
          <w:szCs w:val="21"/>
          <w:b w:val="1"/>
          <w:bCs w:val="1"/>
          <w:color w:val="0070C0"/>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29210</wp:posOffset>
            </wp:positionV>
            <wp:extent cx="60261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Apellis Pharmaceuticals, Inc.</w:t>
      </w:r>
    </w:p>
    <w:p>
      <w:pPr>
        <w:spacing w:after="0" w:line="12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May 14, 2026, we completed the acquisition of all of the issued and outstanding shares of Apellis, a commercial-stage biopharmaceutical company focused on the discovery, development and commercialization of novel therapeutic compounds to treat diseases with high unmet needs. As a result of this acquisition we acquired two FDA-approved products from Apellis: SYFOVRE (pegcetacoplan injection) for the treatment of GA, an immune -mediated retinal disease; and EMPAVELI (pegcetacoplan) for the treatment of PNH, a rare blood disorder, and C3G and primary IC-MPGN, rare immune-mediated kidney diseases. The addition of Apellis is expected to enhance our short- and long-term revenue growth profile by adding two commercialized, differentiated, specialized immunology products to our growth portfolio.</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terms of this acquisition, Apellis shareholders were entitled to $41.00 in cash for each issued and outstanding Apellis share, which totaled approximately $5.3 billion, and one contractual, non-transferable contingent value right per share representing the right to receive contingent cash payments of up to an aggregate of $4.00 per share in cash, subject to the achievement of specified annual global net sales thresholds for SYFOVRE. In addition, the total purchase price included approximately $70.7 million of future consideration attributable to pre-acquisition services.</w:t>
      </w:r>
    </w:p>
    <w:p>
      <w:pPr>
        <w:spacing w:after="0" w:line="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funded this acquisition of Apellis with available cash and marketable securities on hand, supplemented by the issuance of a $2.0 billion term loan under our 2026 Term Loan and a $400.0 million drawdown from our revolving credit facility.</w:t>
      </w:r>
    </w:p>
    <w:p>
      <w:pPr>
        <w:spacing w:after="0" w:line="45"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 xml:space="preserve">For additional information on our 2026 Term Loan,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these condensed consolidated financial statements.</w:t>
      </w:r>
    </w:p>
    <w:p>
      <w:pPr>
        <w:spacing w:after="0" w:line="4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We accounted for this acquisition as a business combination using the acquisition method of accounting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recorded assets acquired and liabilities assumed at their respective fair values as of the acquisition date.</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i w:val="1"/>
          <w:iCs w:val="1"/>
          <w:color w:val="2573BA"/>
        </w:rPr>
        <w:t>Purchase Price Consideration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consideration transferred for the acquisition of Apellis is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2320" w:type="dxa"/>
            <w:vAlign w:val="bottom"/>
            <w:tcBorders>
              <w:bottom w:val="single" w:sz="8" w:color="auto"/>
            </w:tcBorders>
            <w:shd w:val="clear" w:color="auto" w:fill="DBDBDB"/>
          </w:tcPr>
          <w:p>
            <w:pPr>
              <w:jc w:val="right"/>
              <w:ind w:right="688"/>
              <w:spacing w:after="0"/>
              <w:rPr>
                <w:sz w:val="20"/>
                <w:szCs w:val="20"/>
                <w:color w:val="auto"/>
              </w:rPr>
            </w:pPr>
            <w:r>
              <w:rPr>
                <w:rFonts w:ascii="Arial" w:cs="Arial" w:eastAsia="Arial" w:hAnsi="Arial"/>
                <w:sz w:val="14"/>
                <w:szCs w:val="14"/>
                <w:color w:val="0070C0"/>
              </w:rPr>
              <w:t>As of May 14, 2026</w:t>
            </w:r>
          </w:p>
        </w:tc>
      </w:tr>
      <w:tr>
        <w:trPr>
          <w:trHeight w:val="188"/>
        </w:trPr>
        <w:tc>
          <w:tcPr>
            <w:tcW w:w="8500" w:type="dxa"/>
            <w:vAlign w:val="bottom"/>
            <w:gridSpan w:val="4"/>
          </w:tcPr>
          <w:p>
            <w:pPr>
              <w:ind w:left="20"/>
              <w:spacing w:after="0"/>
              <w:rPr>
                <w:sz w:val="20"/>
                <w:szCs w:val="20"/>
                <w:color w:val="auto"/>
              </w:rPr>
            </w:pPr>
            <w:r>
              <w:rPr>
                <w:rFonts w:ascii="Arial" w:cs="Arial" w:eastAsia="Arial" w:hAnsi="Arial"/>
                <w:sz w:val="14"/>
                <w:szCs w:val="14"/>
                <w:color w:val="auto"/>
              </w:rPr>
              <w:t>Cash consideration paid/payable to Apellis shareholders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0070C0"/>
              </w:rPr>
              <w:t>$</w:t>
            </w:r>
          </w:p>
        </w:tc>
        <w:tc>
          <w:tcPr>
            <w:tcW w:w="23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5,406.0</w:t>
            </w:r>
          </w:p>
        </w:tc>
      </w:tr>
      <w:tr>
        <w:trPr>
          <w:trHeight w:val="211"/>
        </w:trPr>
        <w:tc>
          <w:tcPr>
            <w:tcW w:w="8500" w:type="dxa"/>
            <w:vAlign w:val="bottom"/>
            <w:gridSpan w:val="4"/>
          </w:tcPr>
          <w:p>
            <w:pPr>
              <w:ind w:left="20"/>
              <w:spacing w:after="0"/>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p>
        </w:tc>
        <w:tc>
          <w:tcPr>
            <w:tcW w:w="420" w:type="dxa"/>
            <w:vAlign w:val="bottom"/>
            <w:tcBorders>
              <w:bottom w:val="single" w:sz="8" w:color="auto"/>
            </w:tcBorders>
            <w:shd w:val="clear" w:color="auto" w:fill="DBDBDB"/>
          </w:tcPr>
          <w:p>
            <w:pPr>
              <w:spacing w:after="0"/>
              <w:rPr>
                <w:sz w:val="18"/>
                <w:szCs w:val="18"/>
                <w:color w:val="auto"/>
              </w:rPr>
            </w:pPr>
          </w:p>
        </w:tc>
        <w:tc>
          <w:tcPr>
            <w:tcW w:w="2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4.1</w:t>
            </w:r>
          </w:p>
        </w:tc>
      </w:tr>
      <w:tr>
        <w:trPr>
          <w:trHeight w:val="221"/>
        </w:trPr>
        <w:tc>
          <w:tcPr>
            <w:tcW w:w="40" w:type="dxa"/>
            <w:vAlign w:val="bottom"/>
          </w:tcPr>
          <w:p>
            <w:pPr>
              <w:spacing w:after="0"/>
              <w:rPr>
                <w:sz w:val="18"/>
                <w:szCs w:val="18"/>
                <w:color w:val="auto"/>
              </w:rPr>
            </w:pPr>
          </w:p>
        </w:tc>
        <w:tc>
          <w:tcPr>
            <w:tcW w:w="8460" w:type="dxa"/>
            <w:vAlign w:val="bottom"/>
            <w:gridSpan w:val="3"/>
          </w:tcPr>
          <w:p>
            <w:pPr>
              <w:ind w:left="200"/>
              <w:spacing w:after="0"/>
              <w:rPr>
                <w:sz w:val="20"/>
                <w:szCs w:val="20"/>
                <w:color w:val="auto"/>
              </w:rPr>
            </w:pPr>
            <w:r>
              <w:rPr>
                <w:rFonts w:ascii="Arial" w:cs="Arial" w:eastAsia="Arial" w:hAnsi="Arial"/>
                <w:sz w:val="14"/>
                <w:szCs w:val="14"/>
                <w:color w:val="auto"/>
              </w:rPr>
              <w:t>Total consideration</w:t>
            </w:r>
          </w:p>
        </w:tc>
        <w:tc>
          <w:tcPr>
            <w:tcW w:w="420" w:type="dxa"/>
            <w:vAlign w:val="bottom"/>
            <w:tcBorders>
              <w:bottom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color w:val="0070C0"/>
              </w:rPr>
              <w:t>$</w:t>
            </w:r>
          </w:p>
        </w:tc>
        <w:tc>
          <w:tcPr>
            <w:tcW w:w="2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5,410.1</w:t>
            </w: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2320" w:type="dxa"/>
            <w:vAlign w:val="bottom"/>
            <w:tcBorders>
              <w:top w:val="single" w:sz="8" w:color="DBDBDB"/>
              <w:bottom w:val="single" w:sz="8" w:color="auto"/>
            </w:tcBorders>
          </w:tcPr>
          <w:p>
            <w:pPr>
              <w:spacing w:after="0" w:line="20" w:lineRule="exact"/>
              <w:rPr>
                <w:sz w:val="1"/>
                <w:szCs w:val="1"/>
                <w:color w:val="auto"/>
              </w:rPr>
            </w:pPr>
          </w:p>
        </w:tc>
      </w:tr>
      <w:tr>
        <w:trPr>
          <w:trHeight w:val="136"/>
        </w:trPr>
        <w:tc>
          <w:tcPr>
            <w:tcW w:w="40" w:type="dxa"/>
            <w:vAlign w:val="bottom"/>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320" w:type="dxa"/>
            <w:vAlign w:val="bottom"/>
          </w:tcPr>
          <w:p>
            <w:pPr>
              <w:spacing w:after="0"/>
              <w:rPr>
                <w:sz w:val="11"/>
                <w:szCs w:val="11"/>
                <w:color w:val="auto"/>
              </w:rPr>
            </w:pPr>
          </w:p>
        </w:tc>
      </w:tr>
    </w:tbl>
    <w:p>
      <w:pPr>
        <w:spacing w:after="0" w:line="82"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Contingent consideration represents the fair value of CVRs that are subject to the achievement of specified annual global net sales thresholds for SYFOVRE.</w:t>
      </w:r>
    </w:p>
    <w:p>
      <w:pPr>
        <w:spacing w:after="0" w:line="8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0070C0"/>
        </w:rPr>
        <w:t xml:space="preserve">Apellis Compensation Expense: </w:t>
      </w:r>
      <w:r>
        <w:rPr>
          <w:rFonts w:ascii="Arial" w:cs="Arial" w:eastAsia="Arial" w:hAnsi="Arial"/>
          <w:sz w:val="18"/>
          <w:szCs w:val="18"/>
          <w:color w:val="000000"/>
        </w:rPr>
        <w:t>In connection with our acquisition, we converted Apellis's outstanding unvested equity awards into cash</w:t>
      </w:r>
      <w:r>
        <w:rPr>
          <w:rFonts w:ascii="Arial" w:cs="Arial" w:eastAsia="Arial" w:hAnsi="Arial"/>
          <w:sz w:val="18"/>
          <w:szCs w:val="18"/>
          <w:color w:val="0070C0"/>
        </w:rPr>
        <w:t xml:space="preserve"> </w:t>
      </w:r>
      <w:r>
        <w:rPr>
          <w:rFonts w:ascii="Arial" w:cs="Arial" w:eastAsia="Arial" w:hAnsi="Arial"/>
          <w:sz w:val="18"/>
          <w:szCs w:val="18"/>
          <w:color w:val="000000"/>
        </w:rPr>
        <w:t>awards totaling $416.3 million. These awards will vest over the remaining requisite service periods of the original awards and are payable only if the applicable service conditions are satisfied, unless accelerated under specified termination provisions.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Of the total $416.3 million, approximately $70.7 million was attributable to pre-acquisition services and is therefore reflected as a component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of total purchase price paid. The remaining $345.6 million is attributable to the post-acquisition service period, of which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$116.0 million was recognized at transaction close for employees who were immediately terminated upon the acquisition close date.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remaining cash awards will be recognized over the employees' remaining service vesting period; if any of these employees are terminated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acquisition date and prior to the estimated service vesting period, all compensation expense not previously recognized 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accelerated due to a double-trigger provision, resulting in immediate recognition.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i w:val="1"/>
          <w:iCs w:val="1"/>
          <w:color w:val="2573BA"/>
        </w:rPr>
        <w:t>Preliminary Purchase Price Allocation</w:t>
      </w:r>
    </w:p>
    <w:p>
      <w:pPr>
        <w:spacing w:after="0" w:line="124"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The following table summarizes the preliminary purchase price allocation of the separately identifiable assets acquired and liabilities assumed as of May 14, 2026:</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60" w:type="dxa"/>
            <w:vAlign w:val="bottom"/>
            <w:vMerge w:val="restart"/>
            <w:shd w:val="clear" w:color="auto" w:fill="DBDBDB"/>
          </w:tcPr>
          <w:p>
            <w:pPr>
              <w:jc w:val="center"/>
              <w:ind w:right="28"/>
              <w:spacing w:after="0"/>
              <w:rPr>
                <w:sz w:val="20"/>
                <w:szCs w:val="20"/>
                <w:color w:val="auto"/>
              </w:rPr>
            </w:pPr>
            <w:r>
              <w:rPr>
                <w:rFonts w:ascii="Arial" w:cs="Arial" w:eastAsia="Arial" w:hAnsi="Arial"/>
                <w:sz w:val="14"/>
                <w:szCs w:val="14"/>
                <w:color w:val="0070C0"/>
              </w:rPr>
              <w:t>Amounts Recognized as of</w:t>
            </w:r>
          </w:p>
        </w:tc>
        <w:tc>
          <w:tcPr>
            <w:tcW w:w="100" w:type="dxa"/>
            <w:vAlign w:val="bottom"/>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1760" w:type="dxa"/>
            <w:vAlign w:val="bottom"/>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860" w:type="dxa"/>
            <w:vAlign w:val="bottom"/>
            <w:shd w:val="clear" w:color="auto" w:fill="DBDBDB"/>
          </w:tcPr>
          <w:p>
            <w:pPr>
              <w:jc w:val="center"/>
              <w:ind w:right="68"/>
              <w:spacing w:after="0"/>
              <w:rPr>
                <w:sz w:val="20"/>
                <w:szCs w:val="20"/>
                <w:color w:val="auto"/>
              </w:rPr>
            </w:pPr>
            <w:r>
              <w:rPr>
                <w:rFonts w:ascii="Arial" w:cs="Arial" w:eastAsia="Arial" w:hAnsi="Arial"/>
                <w:sz w:val="14"/>
                <w:szCs w:val="14"/>
                <w:color w:val="0070C0"/>
              </w:rPr>
              <w:t>Amounts Recognized as of</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860" w:type="dxa"/>
            <w:vAlign w:val="bottom"/>
            <w:vMerge w:val="continue"/>
            <w:shd w:val="clear" w:color="auto" w:fill="DBDBDB"/>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760" w:type="dxa"/>
            <w:vAlign w:val="bottom"/>
            <w:vMerge w:val="restart"/>
            <w:shd w:val="clear" w:color="auto" w:fill="DBDBDB"/>
          </w:tcPr>
          <w:p>
            <w:pPr>
              <w:jc w:val="right"/>
              <w:ind w:right="228"/>
              <w:spacing w:after="0"/>
              <w:rPr>
                <w:sz w:val="20"/>
                <w:szCs w:val="20"/>
                <w:color w:val="auto"/>
              </w:rPr>
            </w:pPr>
            <w:r>
              <w:rPr>
                <w:rFonts w:ascii="Arial" w:cs="Arial" w:eastAsia="Arial" w:hAnsi="Arial"/>
                <w:sz w:val="14"/>
                <w:szCs w:val="14"/>
                <w:color w:val="0070C0"/>
              </w:rPr>
              <w:t>Measurement Period</w:t>
            </w:r>
          </w:p>
        </w:tc>
        <w:tc>
          <w:tcPr>
            <w:tcW w:w="100" w:type="dxa"/>
            <w:vAlign w:val="bottom"/>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860" w:type="dxa"/>
            <w:vAlign w:val="bottom"/>
            <w:shd w:val="clear" w:color="auto" w:fill="DBDBDB"/>
          </w:tcPr>
          <w:p>
            <w:pPr>
              <w:jc w:val="center"/>
              <w:ind w:right="68"/>
              <w:spacing w:after="0" w:line="149" w:lineRule="exact"/>
              <w:rPr>
                <w:sz w:val="20"/>
                <w:szCs w:val="20"/>
                <w:color w:val="auto"/>
              </w:rPr>
            </w:pPr>
            <w:r>
              <w:rPr>
                <w:rFonts w:ascii="Arial" w:cs="Arial" w:eastAsia="Arial" w:hAnsi="Arial"/>
                <w:sz w:val="14"/>
                <w:szCs w:val="14"/>
                <w:color w:val="0070C0"/>
              </w:rPr>
              <w:t>Acquisition Date</w:t>
            </w:r>
          </w:p>
        </w:tc>
        <w:tc>
          <w:tcPr>
            <w:tcW w:w="0" w:type="dxa"/>
            <w:vAlign w:val="bottom"/>
          </w:tcPr>
          <w:p>
            <w:pPr>
              <w:spacing w:after="0"/>
              <w:rPr>
                <w:sz w:val="1"/>
                <w:szCs w:val="1"/>
                <w:color w:val="auto"/>
              </w:rPr>
            </w:pPr>
          </w:p>
        </w:tc>
      </w:tr>
      <w:tr>
        <w:trPr>
          <w:trHeight w:val="148"/>
        </w:trPr>
        <w:tc>
          <w:tcPr>
            <w:tcW w:w="46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vMerge w:val="restart"/>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860" w:type="dxa"/>
            <w:vAlign w:val="bottom"/>
            <w:shd w:val="clear" w:color="auto" w:fill="DBDBDB"/>
          </w:tcPr>
          <w:p>
            <w:pPr>
              <w:jc w:val="center"/>
              <w:ind w:right="28"/>
              <w:spacing w:after="0" w:line="149" w:lineRule="exact"/>
              <w:rPr>
                <w:sz w:val="20"/>
                <w:szCs w:val="20"/>
                <w:color w:val="auto"/>
              </w:rPr>
            </w:pPr>
            <w:r>
              <w:rPr>
                <w:rFonts w:ascii="Arial" w:cs="Arial" w:eastAsia="Arial" w:hAnsi="Arial"/>
                <w:sz w:val="14"/>
                <w:szCs w:val="14"/>
                <w:color w:val="0070C0"/>
              </w:rPr>
              <w:t>Acquisition Date</w:t>
            </w:r>
          </w:p>
        </w:tc>
        <w:tc>
          <w:tcPr>
            <w:tcW w:w="100" w:type="dxa"/>
            <w:vAlign w:val="bottom"/>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760" w:type="dxa"/>
            <w:vAlign w:val="bottom"/>
            <w:vMerge w:val="continue"/>
            <w:shd w:val="clear" w:color="auto" w:fill="DBDBDB"/>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860" w:type="dxa"/>
            <w:vAlign w:val="bottom"/>
            <w:shd w:val="clear" w:color="auto" w:fill="DBDBDB"/>
          </w:tcPr>
          <w:p>
            <w:pPr>
              <w:jc w:val="center"/>
              <w:ind w:right="48"/>
              <w:spacing w:after="0" w:line="149" w:lineRule="exact"/>
              <w:rPr>
                <w:sz w:val="20"/>
                <w:szCs w:val="20"/>
                <w:color w:val="auto"/>
              </w:rPr>
            </w:pPr>
            <w:r>
              <w:rPr>
                <w:rFonts w:ascii="Arial" w:cs="Arial" w:eastAsia="Arial" w:hAnsi="Arial"/>
                <w:sz w:val="14"/>
                <w:szCs w:val="14"/>
                <w:color w:val="0070C0"/>
              </w:rPr>
              <w:t>(as adjusted)</w:t>
            </w:r>
          </w:p>
        </w:tc>
        <w:tc>
          <w:tcPr>
            <w:tcW w:w="0" w:type="dxa"/>
            <w:vAlign w:val="bottom"/>
          </w:tcPr>
          <w:p>
            <w:pPr>
              <w:spacing w:after="0"/>
              <w:rPr>
                <w:sz w:val="1"/>
                <w:szCs w:val="1"/>
                <w:color w:val="auto"/>
              </w:rPr>
            </w:pPr>
          </w:p>
        </w:tc>
      </w:tr>
      <w:tr>
        <w:trPr>
          <w:trHeight w:val="189"/>
        </w:trPr>
        <w:tc>
          <w:tcPr>
            <w:tcW w:w="4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860" w:type="dxa"/>
            <w:vAlign w:val="bottom"/>
            <w:tcBorders>
              <w:bottom w:val="single" w:sz="8" w:color="auto"/>
            </w:tcBorders>
            <w:shd w:val="clear" w:color="auto" w:fill="DBDBDB"/>
          </w:tcPr>
          <w:p>
            <w:pPr>
              <w:jc w:val="center"/>
              <w:ind w:right="28"/>
              <w:spacing w:after="0"/>
              <w:rPr>
                <w:sz w:val="20"/>
                <w:szCs w:val="20"/>
                <w:color w:val="auto"/>
              </w:rPr>
            </w:pPr>
            <w:r>
              <w:rPr>
                <w:rFonts w:ascii="Arial" w:cs="Arial" w:eastAsia="Arial" w:hAnsi="Arial"/>
                <w:sz w:val="14"/>
                <w:szCs w:val="14"/>
                <w:color w:val="0070C0"/>
              </w:rPr>
              <w:t>May 14, 2026</w:t>
            </w:r>
          </w:p>
        </w:tc>
        <w:tc>
          <w:tcPr>
            <w:tcW w:w="100" w:type="dxa"/>
            <w:vAlign w:val="bottom"/>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760" w:type="dxa"/>
            <w:vAlign w:val="bottom"/>
            <w:tcBorders>
              <w:bottom w:val="single" w:sz="8" w:color="auto"/>
            </w:tcBorders>
            <w:shd w:val="clear" w:color="auto" w:fill="DBDBDB"/>
          </w:tcPr>
          <w:p>
            <w:pPr>
              <w:jc w:val="right"/>
              <w:ind w:right="508"/>
              <w:spacing w:after="0"/>
              <w:rPr>
                <w:sz w:val="20"/>
                <w:szCs w:val="20"/>
                <w:color w:val="auto"/>
              </w:rPr>
            </w:pPr>
            <w:r>
              <w:rPr>
                <w:rFonts w:ascii="Arial" w:cs="Arial" w:eastAsia="Arial" w:hAnsi="Arial"/>
                <w:sz w:val="14"/>
                <w:szCs w:val="14"/>
                <w:color w:val="0070C0"/>
              </w:rPr>
              <w:t>Adjustments</w:t>
            </w:r>
          </w:p>
        </w:tc>
        <w:tc>
          <w:tcPr>
            <w:tcW w:w="100" w:type="dxa"/>
            <w:vAlign w:val="bottom"/>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860" w:type="dxa"/>
            <w:vAlign w:val="bottom"/>
            <w:tcBorders>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color w:val="0070C0"/>
              </w:rPr>
              <w:t>May 14, 2026</w:t>
            </w:r>
          </w:p>
        </w:tc>
        <w:tc>
          <w:tcPr>
            <w:tcW w:w="0" w:type="dxa"/>
            <w:vAlign w:val="bottom"/>
          </w:tcPr>
          <w:p>
            <w:pPr>
              <w:spacing w:after="0"/>
              <w:rPr>
                <w:sz w:val="1"/>
                <w:szCs w:val="1"/>
                <w:color w:val="auto"/>
              </w:rPr>
            </w:pPr>
          </w:p>
        </w:tc>
      </w:tr>
      <w:tr>
        <w:trPr>
          <w:trHeight w:val="188"/>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310.7</w:t>
            </w:r>
          </w:p>
        </w:tc>
        <w:tc>
          <w:tcPr>
            <w:tcW w:w="10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310.7</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Accounts receivable</w:t>
            </w:r>
          </w:p>
        </w:tc>
        <w:tc>
          <w:tcPr>
            <w:tcW w:w="10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384.4</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384.4</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Inventory*</w:t>
            </w:r>
          </w:p>
        </w:tc>
        <w:tc>
          <w:tcPr>
            <w:tcW w:w="10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712.0</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(31.0)</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681.0</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46.1</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46.1</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Intangible assets (Completed technology)</w:t>
            </w:r>
          </w:p>
        </w:tc>
        <w:tc>
          <w:tcPr>
            <w:tcW w:w="10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4,630.0</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4,630.0</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Intangible assets (In-process research and development)*</w:t>
            </w:r>
          </w:p>
        </w:tc>
        <w:tc>
          <w:tcPr>
            <w:tcW w:w="10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31.3</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32.3</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Operating lease assets</w:t>
            </w:r>
          </w:p>
        </w:tc>
        <w:tc>
          <w:tcPr>
            <w:tcW w:w="10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12.5</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12.5</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(32.9)</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(32.9)</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10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(117.4)</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(118.4)</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Senior secured term loan</w:t>
            </w:r>
          </w:p>
        </w:tc>
        <w:tc>
          <w:tcPr>
            <w:tcW w:w="10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(395.2)</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(395.2)</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Convertible note</w:t>
            </w:r>
          </w:p>
        </w:tc>
        <w:tc>
          <w:tcPr>
            <w:tcW w:w="10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(101.5)</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(101.5)</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Operating lease liabilities</w:t>
            </w:r>
          </w:p>
        </w:tc>
        <w:tc>
          <w:tcPr>
            <w:tcW w:w="10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(18.1)</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(18.1)</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Deferred tax liability*</w:t>
            </w:r>
          </w:p>
        </w:tc>
        <w:tc>
          <w:tcPr>
            <w:tcW w:w="10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(522.1)</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(1.3)</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(523.4)</w:t>
            </w:r>
          </w:p>
        </w:tc>
        <w:tc>
          <w:tcPr>
            <w:tcW w:w="0" w:type="dxa"/>
            <w:vAlign w:val="bottom"/>
          </w:tcPr>
          <w:p>
            <w:pPr>
              <w:spacing w:after="0"/>
              <w:rPr>
                <w:sz w:val="1"/>
                <w:szCs w:val="1"/>
                <w:color w:val="auto"/>
              </w:rPr>
            </w:pPr>
          </w:p>
        </w:tc>
      </w:tr>
      <w:tr>
        <w:trPr>
          <w:trHeight w:val="204"/>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100" w:type="dxa"/>
            <w:vAlign w:val="bottom"/>
            <w:tcBorders>
              <w:bottom w:val="single" w:sz="8" w:color="auto"/>
            </w:tcBorders>
            <w:shd w:val="clear" w:color="auto" w:fill="DBDBDB"/>
          </w:tcPr>
          <w:p>
            <w:pPr>
              <w:spacing w:after="0"/>
              <w:rPr>
                <w:sz w:val="17"/>
                <w:szCs w:val="17"/>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(0.9)</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(0.9)</w:t>
            </w:r>
          </w:p>
        </w:tc>
        <w:tc>
          <w:tcPr>
            <w:tcW w:w="0" w:type="dxa"/>
            <w:vAlign w:val="bottom"/>
          </w:tcPr>
          <w:p>
            <w:pPr>
              <w:spacing w:after="0"/>
              <w:rPr>
                <w:sz w:val="1"/>
                <w:szCs w:val="1"/>
                <w:color w:val="auto"/>
              </w:rPr>
            </w:pPr>
          </w:p>
        </w:tc>
      </w:tr>
      <w:tr>
        <w:trPr>
          <w:trHeight w:val="194"/>
        </w:trPr>
        <w:tc>
          <w:tcPr>
            <w:tcW w:w="4700" w:type="dxa"/>
            <w:vAlign w:val="bottom"/>
            <w:gridSpan w:val="2"/>
          </w:tcPr>
          <w:p>
            <w:pPr>
              <w:ind w:left="240"/>
              <w:spacing w:after="0"/>
              <w:rPr>
                <w:sz w:val="20"/>
                <w:szCs w:val="20"/>
                <w:color w:val="auto"/>
              </w:rPr>
            </w:pPr>
            <w:r>
              <w:rPr>
                <w:rFonts w:ascii="Arial" w:cs="Arial" w:eastAsia="Arial" w:hAnsi="Arial"/>
                <w:sz w:val="14"/>
                <w:szCs w:val="14"/>
                <w:color w:val="auto"/>
              </w:rPr>
              <w:t>Total identifiable net assets</w:t>
            </w:r>
          </w:p>
        </w:tc>
        <w:tc>
          <w:tcPr>
            <w:tcW w:w="100" w:type="dxa"/>
            <w:vAlign w:val="bottom"/>
            <w:shd w:val="clear" w:color="auto" w:fill="DBDBDB"/>
          </w:tcPr>
          <w:p>
            <w:pPr>
              <w:spacing w:after="0"/>
              <w:rPr>
                <w:sz w:val="16"/>
                <w:szCs w:val="16"/>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4,908.6</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(2.0)</w:t>
            </w:r>
          </w:p>
        </w:tc>
        <w:tc>
          <w:tcPr>
            <w:tcW w:w="10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4,906.6</w:t>
            </w:r>
          </w:p>
        </w:tc>
        <w:tc>
          <w:tcPr>
            <w:tcW w:w="0" w:type="dxa"/>
            <w:vAlign w:val="bottom"/>
          </w:tcPr>
          <w:p>
            <w:pPr>
              <w:spacing w:after="0"/>
              <w:rPr>
                <w:sz w:val="1"/>
                <w:szCs w:val="1"/>
                <w:color w:val="auto"/>
              </w:rPr>
            </w:pPr>
          </w:p>
        </w:tc>
      </w:tr>
      <w:tr>
        <w:trPr>
          <w:trHeight w:val="207"/>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Borders>
              <w:bottom w:val="single" w:sz="8" w:color="auto"/>
            </w:tcBorders>
            <w:shd w:val="clear" w:color="auto" w:fill="DBDBDB"/>
          </w:tcPr>
          <w:p>
            <w:pPr>
              <w:spacing w:after="0"/>
              <w:rPr>
                <w:sz w:val="17"/>
                <w:szCs w:val="17"/>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501.5</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2.0</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8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503.5</w:t>
            </w:r>
          </w:p>
        </w:tc>
        <w:tc>
          <w:tcPr>
            <w:tcW w:w="0" w:type="dxa"/>
            <w:vAlign w:val="bottom"/>
          </w:tcPr>
          <w:p>
            <w:pPr>
              <w:spacing w:after="0"/>
              <w:rPr>
                <w:sz w:val="1"/>
                <w:szCs w:val="1"/>
                <w:color w:val="auto"/>
              </w:rPr>
            </w:pPr>
          </w:p>
        </w:tc>
      </w:tr>
      <w:tr>
        <w:trPr>
          <w:trHeight w:val="225"/>
        </w:trPr>
        <w:tc>
          <w:tcPr>
            <w:tcW w:w="4700" w:type="dxa"/>
            <w:vAlign w:val="bottom"/>
            <w:gridSpan w:val="2"/>
          </w:tcPr>
          <w:p>
            <w:pPr>
              <w:ind w:left="240"/>
              <w:spacing w:after="0"/>
              <w:rPr>
                <w:sz w:val="20"/>
                <w:szCs w:val="20"/>
                <w:color w:val="auto"/>
              </w:rPr>
            </w:pPr>
            <w:r>
              <w:rPr>
                <w:rFonts w:ascii="Arial" w:cs="Arial" w:eastAsia="Arial" w:hAnsi="Arial"/>
                <w:sz w:val="14"/>
                <w:szCs w:val="14"/>
                <w:color w:val="auto"/>
              </w:rPr>
              <w:t>Total assets acquired and liabilities assumed</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5,410.1</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8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5,410.1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540"/>
        <w:spacing w:after="0" w:line="305" w:lineRule="auto"/>
        <w:rPr>
          <w:sz w:val="20"/>
          <w:szCs w:val="20"/>
          <w:color w:val="auto"/>
        </w:rPr>
      </w:pPr>
      <w:r>
        <w:rPr>
          <w:rFonts w:ascii="Arial" w:cs="Arial" w:eastAsia="Arial" w:hAnsi="Arial"/>
          <w:sz w:val="14"/>
          <w:szCs w:val="14"/>
          <w:color w:val="auto"/>
        </w:rPr>
        <w:t>*Measurement period adjustments since the transaction close date reflect updates to our estimated valuation of inventory, intangible assets, accrued expense and other, deferred tax liability, and goodwill.</w:t>
      </w:r>
    </w:p>
    <w:p>
      <w:pPr>
        <w:spacing w:after="0" w:line="4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2573BA"/>
        </w:rPr>
        <w:t xml:space="preserve">Inventory: </w:t>
      </w:r>
      <w:r>
        <w:rPr>
          <w:rFonts w:ascii="Arial" w:cs="Arial" w:eastAsia="Arial" w:hAnsi="Arial"/>
          <w:sz w:val="18"/>
          <w:szCs w:val="18"/>
          <w:color w:val="000000"/>
        </w:rPr>
        <w:t>Total inventory acquired was approximately $681.0 million, which reflects a step-up in the fair value of finished goods and work-in-process inventory for SYFOVRE and EMPAVELI. The fair value was determined based on the estimated selling price of the inventory, less the remaining manufacturing and selling costs and a normal profit margin on those manufacturing and selling efforts. The fair value step-up adjustment will be amortized to cost of sales within our condensed consolidated statements of income when the inventory is sold, which is expected to be within approximately 3 years from the acquisition date.</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2573BA"/>
        </w:rPr>
        <w:t xml:space="preserve">Intangible assets: </w:t>
      </w:r>
      <w:r>
        <w:rPr>
          <w:rFonts w:ascii="Arial" w:cs="Arial" w:eastAsia="Arial" w:hAnsi="Arial"/>
          <w:sz w:val="18"/>
          <w:szCs w:val="18"/>
          <w:color w:val="000000"/>
        </w:rPr>
        <w:t>Intangible assets are comprised of $2.4 billion related to EMPAVELI commercialization rights in the U.S., $1.9 billion</w:t>
      </w:r>
      <w:r>
        <w:rPr>
          <w:rFonts w:ascii="Arial" w:cs="Arial" w:eastAsia="Arial" w:hAnsi="Arial"/>
          <w:sz w:val="18"/>
          <w:szCs w:val="18"/>
          <w:b w:val="1"/>
          <w:bCs w:val="1"/>
          <w:color w:val="2573BA"/>
        </w:rPr>
        <w:t xml:space="preserve"> </w:t>
      </w:r>
      <w:r>
        <w:rPr>
          <w:rFonts w:ascii="Arial" w:cs="Arial" w:eastAsia="Arial" w:hAnsi="Arial"/>
          <w:sz w:val="18"/>
          <w:szCs w:val="18"/>
          <w:color w:val="000000"/>
        </w:rPr>
        <w:t>related to SYFOVRE commercialization rights and $380.0 million related to royalty rights associated with Sobi sales of EMPAVELI outside the U.S. under the brand name ASPAVELI, and other in-process research and development assets of $32.3 million. The estimated fair values of the completed technology intangible assets were determined using the multi-period excess earnings method and discounted cash flow method, forms of the income approach, and a discount rate of 13.25%. These fair value measurements were based on significant inputs that are not observable in the market and thus represent Level 3 fair value measurements.</w:t>
      </w:r>
    </w:p>
    <w:p>
      <w:pPr>
        <w:spacing w:after="0" w:line="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more significant assumptions utilized in our asset valuations related to commercialization rights included the estimated net cash flows for each year for each asset, including total revenue, cost of sales, research and development and other operating expense, the potential regulatory and commercial success risks, as well as other factors.</w:t>
      </w:r>
    </w:p>
    <w:p>
      <w:pPr>
        <w:spacing w:after="0" w:line="63"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The more significant assumptions utilized in our asset valuation related to royalty rights included our estimated timing and volume of ASPAVELI sales by Sobi outside the U.S.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2573BA"/>
        </w:rPr>
        <w:t xml:space="preserve">Senior secured term loan: </w:t>
      </w:r>
      <w:r>
        <w:rPr>
          <w:rFonts w:ascii="Arial" w:cs="Arial" w:eastAsia="Arial" w:hAnsi="Arial"/>
          <w:sz w:val="18"/>
          <w:szCs w:val="18"/>
          <w:color w:val="000000"/>
        </w:rPr>
        <w:t>In connection with our acquisition of Apellis we assumed responsibility for a senior secured term loan facility with</w:t>
      </w:r>
      <w:r>
        <w:rPr>
          <w:rFonts w:ascii="Arial" w:cs="Arial" w:eastAsia="Arial" w:hAnsi="Arial"/>
          <w:sz w:val="18"/>
          <w:szCs w:val="18"/>
          <w:b w:val="1"/>
          <w:bCs w:val="1"/>
          <w:color w:val="2573BA"/>
        </w:rPr>
        <w:t xml:space="preserve"> </w:t>
      </w:r>
      <w:r>
        <w:rPr>
          <w:rFonts w:ascii="Arial" w:cs="Arial" w:eastAsia="Arial" w:hAnsi="Arial"/>
          <w:sz w:val="18"/>
          <w:szCs w:val="18"/>
          <w:color w:val="000000"/>
        </w:rPr>
        <w:t>Sixth Street Lending Partners of approximately $395.2 million, relating to the outstanding principal balance as of the acquisition date, accrued interest and prepayment fees incurred as a result of settling the term loan prior to its contractual maturity. We funded a post-close repayment of the senior secured term loan facility prior to its contractual maturity. The senior secured term loan was paid in full in the second quarter of 2026.</w:t>
      </w:r>
    </w:p>
    <w:p>
      <w:pPr>
        <w:spacing w:after="0" w:line="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2573BA"/>
        </w:rPr>
        <w:t xml:space="preserve">Convertible notes: </w:t>
      </w:r>
      <w:r>
        <w:rPr>
          <w:rFonts w:ascii="Arial" w:cs="Arial" w:eastAsia="Arial" w:hAnsi="Arial"/>
          <w:sz w:val="18"/>
          <w:szCs w:val="18"/>
          <w:color w:val="000000"/>
        </w:rPr>
        <w:t>In connection with our acquisition of Apellis we assumed the obligation for outstanding convertible notes of</w:t>
      </w:r>
      <w:r>
        <w:rPr>
          <w:rFonts w:ascii="Arial" w:cs="Arial" w:eastAsia="Arial" w:hAnsi="Arial"/>
          <w:sz w:val="18"/>
          <w:szCs w:val="18"/>
          <w:b w:val="1"/>
          <w:bCs w:val="1"/>
          <w:color w:val="2573BA"/>
        </w:rPr>
        <w:t xml:space="preserve"> </w:t>
      </w:r>
      <w:r>
        <w:rPr>
          <w:rFonts w:ascii="Arial" w:cs="Arial" w:eastAsia="Arial" w:hAnsi="Arial"/>
          <w:sz w:val="18"/>
          <w:szCs w:val="18"/>
          <w:color w:val="000000"/>
        </w:rPr>
        <w:t>approximately $101.5 million, that upon the close of the acquisition would allow holders the option to convert notes into cash consideration. As of September 30, 2026, the outstanding convertible notes were paid in full. Our subsequent repayment represented a post-acquisition debt extinguishment.</w:t>
      </w:r>
    </w:p>
    <w:p>
      <w:pPr>
        <w:spacing w:after="0" w:line="68"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2573BA"/>
        </w:rPr>
        <w:t xml:space="preserve">Goodwill: </w:t>
      </w:r>
      <w:r>
        <w:rPr>
          <w:rFonts w:ascii="Arial" w:cs="Arial" w:eastAsia="Arial" w:hAnsi="Arial"/>
          <w:sz w:val="18"/>
          <w:szCs w:val="18"/>
          <w:color w:val="000000"/>
        </w:rPr>
        <w:t>Goodwill was calculated as the excess of the consideration transferred over the net assets recognized and represents the future</w:t>
      </w:r>
      <w:r>
        <w:rPr>
          <w:rFonts w:ascii="Arial" w:cs="Arial" w:eastAsia="Arial" w:hAnsi="Arial"/>
          <w:sz w:val="18"/>
          <w:szCs w:val="18"/>
          <w:b w:val="1"/>
          <w:bCs w:val="1"/>
          <w:color w:val="2573BA"/>
        </w:rPr>
        <w:t xml:space="preserve"> </w:t>
      </w:r>
      <w:r>
        <w:rPr>
          <w:rFonts w:ascii="Arial" w:cs="Arial" w:eastAsia="Arial" w:hAnsi="Arial"/>
          <w:sz w:val="18"/>
          <w:szCs w:val="18"/>
          <w:color w:val="000000"/>
        </w:rPr>
        <w:t>economic benefits arising from the other assets acquired that could not be individually identified and separately recognized. We recognized goodwill of approximately $503.5 million, which is not deductible for tax purposes. The goodwill recognized from our acquisition of Apellis is primarily the result of the deferred tax consequences from the transaction recorded for financial statement purposes.</w:t>
      </w:r>
    </w:p>
    <w:p>
      <w:pPr>
        <w:spacing w:after="0" w:line="68"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b w:val="1"/>
          <w:bCs w:val="1"/>
          <w:color w:val="2573BA"/>
        </w:rPr>
        <w:t xml:space="preserve">Acquisition-related expense: </w:t>
      </w:r>
      <w:r>
        <w:rPr>
          <w:rFonts w:ascii="Arial" w:cs="Arial" w:eastAsia="Arial" w:hAnsi="Arial"/>
          <w:sz w:val="18"/>
          <w:szCs w:val="18"/>
          <w:color w:val="000000"/>
        </w:rPr>
        <w:t>Acquisition-related expense, which was comprised primarily of regulatory, advisory and legal fees, and other</w:t>
      </w:r>
      <w:r>
        <w:rPr>
          <w:rFonts w:ascii="Arial" w:cs="Arial" w:eastAsia="Arial" w:hAnsi="Arial"/>
          <w:sz w:val="18"/>
          <w:szCs w:val="18"/>
          <w:b w:val="1"/>
          <w:bCs w:val="1"/>
          <w:color w:val="2573BA"/>
        </w:rPr>
        <w:t xml:space="preserve"> </w:t>
      </w:r>
      <w:r>
        <w:rPr>
          <w:rFonts w:ascii="Arial" w:cs="Arial" w:eastAsia="Arial" w:hAnsi="Arial"/>
          <w:sz w:val="18"/>
          <w:szCs w:val="18"/>
          <w:color w:val="000000"/>
        </w:rPr>
        <w:t>transaction costs, totaled approximately $0.1 million and $30.9 million for the three and nine months ended September 30, 2026, respectively, and are included in selling, general and administrative expense within our condensed consolidated statements of income</w:t>
      </w:r>
      <w:r>
        <w:rPr>
          <w:rFonts w:ascii="Arial" w:cs="Arial" w:eastAsia="Arial" w:hAnsi="Arial"/>
          <w:sz w:val="18"/>
          <w:szCs w:val="18"/>
          <w:b w:val="1"/>
          <w:bCs w:val="1"/>
          <w:color w:val="000000"/>
        </w:rPr>
        <w: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573BA"/>
        </w:rPr>
        <w:t>Assumptions in the Allocations of Purchase Price</w:t>
      </w:r>
    </w:p>
    <w:p>
      <w:pPr>
        <w:spacing w:after="0" w:line="12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results of operations of Apellis, along with the estimated fair values of the assets acquired and liabilities assumed in the Apellis acquisition, have been included in our condensed consolidated financial statements since the closing of the Apellis acquisition on May 14, 2026.</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Apellis operations had an immaterial impact to our results of operations for the three and nine months ended September 30, 2026. Due to the immateriality of Apellis' revenues and expenses, additional pro forma information combining the results of operations of Biogen and Apellis have not been included.</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preliminary estimate of the fair value of the specifically identifiable assets acquired and liabilities assumed as of the date of acquisition is subject to the finalization of management's analysis related to certain matters, including finalizing our assessment of the intangible assets, inventory, R&amp;D programs, goodwill, leases, contingencies, and income taxes. The final determination of these fair values will be completed as additional information becomes available but no later than one year from the acquisition date. The final determination may result in asset and liability fair values that are different from the preliminary estimates.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RayThera Inc.</w:t>
      </w:r>
    </w:p>
    <w:p>
      <w:pPr>
        <w:spacing w:after="0" w:line="1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August 6, 2026, we completed the acquisition of all of the issued and outstanding shares of RayThera Inc., a private biotechnology company focused on discovering and developing small molecule therapies in immunology. RayThera's portfolio includes a lead program which entered Phase 1 development during the third quarter of 2026 that could potentially treat immune-mediated conditions across a range of indications.</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made an upfront cash payment of $225.0 million, which was recorded in acquired in-process research and development, upfront and milestone expense within our condensed consolidated statements of income for the three and nine months ended September 30, 2026. We accounted for this acquisition as an asset acquisition as substantially all of the value being acquired relates to the lead program.</w:t>
      </w:r>
    </w:p>
    <w:p>
      <w:pPr>
        <w:spacing w:after="0" w:line="63"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We may pay additional development and regulatory milestones to the former shareholders of RayThera of up to $275.0 million and $500.0 million, respectively.</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This acquisition excluded certain preclinical assets, which were divested from RayThera into a newly formed independent company prior to the closing of this acquisition.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TJ Biopharma (Hangzhou) Co., Ltd.</w:t>
      </w:r>
    </w:p>
    <w:p>
      <w:pPr>
        <w:spacing w:after="0" w:line="12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 April 2026 we entered into an asset purchase agreement with TJ Biopharma (Hangzhou) Co., Ltd. to acquire TJ Bio's exclusive rights to felzartamab in the greater China region. With this agreement, we own exclusive worldwide rights to felzartamab.</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Under the terms of this agreement we made an upfront payment of $100.0 million to TJ Bio, which was recorded in acquired in-process research and development, upfront and milestone expense within our condensed consolidated statements of income for the nine months ended September 30, 2026.</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TJ Bio will also be eligible to receive potential commercial and sales milestone payments of up to $20.0 million and $730.0 million, respectively, if all specified milestones set forth in this collaboration are achieved. In addition, we may pay TJ Bio tiered royalties on potential net sales of felzartamab in the greater China region in the mid-single digit to low-double digit percentages.</w:t>
      </w:r>
    </w:p>
    <w:p>
      <w:pPr>
        <w:spacing w:after="0" w:line="63"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Additionally, we assumed regulatory and sales milestone obligations under a pre-existing agreement between TJ Bio and MorphoSys (a wholly-owned subsidiary of Novartis) and may pay MorphoSys tiered royalties on potential net sales of felzartamab in the greater China region.</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Alcyone Therapeutics, Inc.</w:t>
      </w:r>
    </w:p>
    <w:p>
      <w:pPr>
        <w:spacing w:after="0" w:line="12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November 2025 we completed the acquisition of all of the issued and outstanding shares of Alcyone Therapeutics, Inc., a clinical-stage biotechnology company focused on pediatric care through precision CNS therapeutics and dosing platforms. The lead asset acquired is ThecaFlex DRx, an implantable subcutaneous port and catheter device being investigated for the intrathecal delivery of ASOs, including SPINRAZA.</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Total consideration for this transaction of approximately $85.0 million was recorded in acquired in-process research and development, upfront and milestone expense within our consolidated statements of income for the year ended December 31, 2025, and included a $ 35.0 million payment that was considered probable as of December 31, 2025, and made upon FDA approval of a supplemental application in January 2026.</w:t>
      </w:r>
    </w:p>
    <w:p>
      <w:pPr>
        <w:spacing w:after="0" w:line="6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We may pay additional development and regulatory milestone payments to the former shareholders of Alcyone of up to a total of $75.0 million if approval is received for ThecaFlex DRx administration of SPINRAZA or other additional pipeline products.</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accounted for this transaction as an asset acquisition as the value being acquired primarily relates to a single asset. Under the terms of this acquisition, we will oversee the end-to-end development, manufacturing and commercialization of ThecaFlex DRx.</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Alcyone's remaining therapeutic assets were divested from Alcyone into Neela Therapeutics, Inc., a newly formed independent company, prior to the closing of this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96925" cy="342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53"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3:</w:t>
      </w:r>
      <w:r>
        <w:rPr>
          <w:sz w:val="20"/>
          <w:szCs w:val="20"/>
          <w:color w:val="auto"/>
        </w:rPr>
        <w:tab/>
      </w:r>
      <w:r>
        <w:rPr>
          <w:rFonts w:ascii="Arial" w:cs="Arial" w:eastAsia="Arial" w:hAnsi="Arial"/>
          <w:sz w:val="21"/>
          <w:szCs w:val="21"/>
          <w:b w:val="1"/>
          <w:bCs w:val="1"/>
          <w:color w:val="0070C0"/>
        </w:rPr>
        <w:t>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29210</wp:posOffset>
            </wp:positionV>
            <wp:extent cx="6026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Sale of TOFIDENCE</w:t>
      </w:r>
    </w:p>
    <w:p>
      <w:pPr>
        <w:spacing w:after="0" w:line="11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March 2025 we completed the sale of our regulatory and commercial rights in the U.S. for TOFIDENCE, a tocilizumab biosimilar referencing ACTEMRA, to Organon. Under the terms of this transaction, we received a payment of approximately $51.0 million in July 2025 and recognized a de minimis loss within our condensed consolidated statements of income 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96925"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70"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4:</w:t>
      </w:r>
      <w:r>
        <w:rPr>
          <w:sz w:val="20"/>
          <w:szCs w:val="20"/>
          <w:color w:val="auto"/>
        </w:rPr>
        <w:tab/>
      </w:r>
      <w:r>
        <w:rPr>
          <w:rFonts w:ascii="Arial" w:cs="Arial" w:eastAsia="Arial" w:hAnsi="Arial"/>
          <w:sz w:val="21"/>
          <w:szCs w:val="21"/>
          <w:b w:val="1"/>
          <w:bCs w:val="1"/>
          <w:color w:val="0070C0"/>
        </w:rPr>
        <w:t>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29210</wp:posOffset>
            </wp:positionV>
            <wp:extent cx="6026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Restructuring Programs</w:t>
      </w:r>
    </w:p>
    <w:p>
      <w:pPr>
        <w:spacing w:after="0" w:line="12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have undertaken a number of initiatives, including Fit for Growth and our integration of Apellis, which are designed to reduce operating costs, improve synergies, efficiency and effectiveness and integrate the operations of Apellis.</w:t>
      </w:r>
    </w:p>
    <w:p>
      <w:pPr>
        <w:spacing w:after="0" w:line="4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Fit for Growth program generated approximately $1.0 billion in gross operating expense savings by the end of 2025, some of which has been reinvested in various initiatives. The Fit for Growth program included net headcount reductions of approximately 1,400 employees and we incurred total restructuring charges of approximately $320.0 million by the end of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Following the closing of the Apellis acquisition, we implemented an integration plan designed to realize operating synergies through cost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savings and avoidance. For the three and nine months ended September 30, 2026, we recognized approximately $41.5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$194.7 million, respectively, of net pre-tax restructuring charges, primarily consisting of employee severance costs and the acceleration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bonus payments for Apellis employees that were subject to a double-trigger provision. We have also undertaken targeted initiatives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generate efficiencies consistent with our change in our product profile and need to invest resources in our product launches.</w:t>
      </w:r>
    </w:p>
    <w:p>
      <w:pPr>
        <w:spacing w:after="0" w:line="9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three and nine months ended September 30, 2026, we recognized $66.5 million and $ 239.8 million, respectively, in restructuring charges primarily consisting of employee severance costs and the acceleration of bonus payments for Apellis employees that were subject to a double-trigger provision within restructuring charges in our condensed consolidated statements of income, compared to $7.4 million and $42.0 million in the comparable periods in 2025.</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Restructuring Reserve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Charges and spending related to workforce reductions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Workforce Reductions</w:t>
            </w:r>
          </w:p>
        </w:tc>
        <w:tc>
          <w:tcPr>
            <w:tcW w:w="1040" w:type="dxa"/>
            <w:vAlign w:val="bottom"/>
            <w:tcBorders>
              <w:bottom w:val="single" w:sz="8" w:color="auto"/>
            </w:tcBorders>
          </w:tcPr>
          <w:p>
            <w:pPr>
              <w:spacing w:after="0"/>
              <w:rPr>
                <w:sz w:val="17"/>
                <w:szCs w:val="17"/>
                <w:color w:val="auto"/>
              </w:rPr>
            </w:pP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648"/>
              <w:spacing w:after="0"/>
              <w:rPr>
                <w:sz w:val="20"/>
                <w:szCs w:val="20"/>
                <w:color w:val="auto"/>
              </w:rPr>
            </w:pPr>
            <w:r>
              <w:rPr>
                <w:rFonts w:ascii="Arial" w:cs="Arial" w:eastAsia="Arial" w:hAnsi="Arial"/>
                <w:sz w:val="14"/>
                <w:szCs w:val="14"/>
                <w:b w:val="1"/>
                <w:bCs w:val="1"/>
                <w:color w:val="0070C0"/>
              </w:rPr>
              <w:t>2026</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w w:val="96"/>
              </w:rPr>
              <w:t>2025</w:t>
            </w: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Restructuring reserve as of January 1</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26DCE"/>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15.8</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203"/>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Expense</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7.9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35.3</w:t>
            </w:r>
          </w:p>
        </w:tc>
      </w:tr>
      <w:tr>
        <w:trPr>
          <w:trHeight w:val="203"/>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Payment</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(10.3)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204"/>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Foreign currency and other adjustments</w:t>
            </w: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0.2</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94"/>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Restructuring reserve as of March 31</w:t>
            </w:r>
          </w:p>
        </w:tc>
        <w:tc>
          <w:tcPr>
            <w:tcW w:w="4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13.6</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40.4</w:t>
            </w:r>
          </w:p>
        </w:tc>
      </w:tr>
      <w:tr>
        <w:trPr>
          <w:trHeight w:val="203"/>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Expense</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165.4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03"/>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Payment</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(143.2)</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04"/>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Foreign currency and other adjustments</w:t>
            </w: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0.1</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94"/>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Restructuring reserve as of June 30</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70C0"/>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35.9</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03"/>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Expense</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66.5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03"/>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Payment</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(35.8)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206"/>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Foreign currency and other adjustments</w:t>
            </w: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0.2</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Restructuring reserve as of September 30</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70C0"/>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66.8</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5:</w:t>
      </w:r>
      <w:r>
        <w:rPr>
          <w:sz w:val="20"/>
          <w:szCs w:val="20"/>
          <w:color w:val="auto"/>
        </w:rPr>
        <w:tab/>
      </w:r>
      <w:r>
        <w:rPr>
          <w:rFonts w:ascii="Arial" w:cs="Arial" w:eastAsia="Arial" w:hAnsi="Arial"/>
          <w:sz w:val="21"/>
          <w:szCs w:val="21"/>
          <w:b w:val="1"/>
          <w:bCs w:val="1"/>
          <w:color w:val="0070C0"/>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Product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10"/>
          </w:tcPr>
          <w:p>
            <w:pPr>
              <w:jc w:val="right"/>
              <w:ind w:right="8"/>
              <w:spacing w:after="0"/>
              <w:rPr>
                <w:sz w:val="20"/>
                <w:szCs w:val="20"/>
                <w:color w:val="auto"/>
              </w:rPr>
            </w:pPr>
            <w:r>
              <w:rPr>
                <w:rFonts w:ascii="Arial" w:cs="Arial" w:eastAsia="Arial" w:hAnsi="Arial"/>
                <w:sz w:val="14"/>
                <w:szCs w:val="14"/>
                <w:b w:val="1"/>
                <w:bCs w:val="1"/>
                <w:color w:val="auto"/>
              </w:rPr>
              <w:t>For the Three Months Ended September 30,</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DDDDDD"/>
          </w:tcPr>
          <w:p>
            <w:pPr>
              <w:spacing w:after="0"/>
              <w:rPr>
                <w:sz w:val="17"/>
                <w:szCs w:val="17"/>
                <w:color w:val="auto"/>
              </w:rPr>
            </w:pPr>
          </w:p>
        </w:tc>
        <w:tc>
          <w:tcPr>
            <w:tcW w:w="96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00" w:type="dxa"/>
            <w:vAlign w:val="bottom"/>
            <w:tcBorders>
              <w:bottom w:val="single" w:sz="8" w:color="auto"/>
            </w:tcBorders>
            <w:shd w:val="clear" w:color="auto" w:fill="DDDDDD"/>
          </w:tcPr>
          <w:p>
            <w:pPr>
              <w:jc w:val="center"/>
              <w:ind w:right="108"/>
              <w:spacing w:after="0"/>
              <w:rPr>
                <w:sz w:val="20"/>
                <w:szCs w:val="20"/>
                <w:color w:val="auto"/>
              </w:rPr>
            </w:pPr>
            <w:r>
              <w:rPr>
                <w:rFonts w:ascii="Arial" w:cs="Arial" w:eastAsia="Arial" w:hAnsi="Arial"/>
                <w:sz w:val="14"/>
                <w:szCs w:val="14"/>
                <w:b w:val="1"/>
                <w:bCs w:val="1"/>
                <w:color w:val="257ACB"/>
              </w:rPr>
              <w:t>2026</w:t>
            </w: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92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7" w:lineRule="exact"/>
              <w:rPr>
                <w:sz w:val="20"/>
                <w:szCs w:val="20"/>
                <w:color w:val="auto"/>
              </w:rPr>
            </w:pPr>
            <w:r>
              <w:rPr>
                <w:rFonts w:ascii="Arial" w:cs="Arial" w:eastAsia="Arial" w:hAnsi="Arial"/>
                <w:sz w:val="14"/>
                <w:szCs w:val="14"/>
                <w:b w:val="1"/>
                <w:bCs w:val="1"/>
                <w:color w:val="auto"/>
              </w:rPr>
              <w:t>United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08"/>
              <w:spacing w:after="0" w:line="147"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United</w:t>
            </w:r>
          </w:p>
        </w:tc>
        <w:tc>
          <w:tcPr>
            <w:tcW w:w="240" w:type="dxa"/>
            <w:vAlign w:val="bottom"/>
          </w:tcPr>
          <w:p>
            <w:pPr>
              <w:spacing w:after="0"/>
              <w:rPr>
                <w:sz w:val="12"/>
                <w:szCs w:val="12"/>
                <w:color w:val="auto"/>
              </w:rPr>
            </w:pPr>
          </w:p>
        </w:tc>
        <w:tc>
          <w:tcPr>
            <w:tcW w:w="10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Rest of</w:t>
            </w: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5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States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Multiple Sclerosis:</w:t>
            </w:r>
          </w:p>
        </w:tc>
        <w:tc>
          <w:tcPr>
            <w:tcW w:w="18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TECFIDERA</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31.2</w:t>
            </w:r>
          </w:p>
        </w:tc>
        <w:tc>
          <w:tcPr>
            <w:tcW w:w="360" w:type="dxa"/>
            <w:vAlign w:val="bottom"/>
            <w:gridSpan w:val="3"/>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50.8</w:t>
            </w:r>
          </w:p>
        </w:tc>
        <w:tc>
          <w:tcPr>
            <w:tcW w:w="400" w:type="dxa"/>
            <w:vAlign w:val="bottom"/>
            <w:gridSpan w:val="3"/>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82.0</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168.2</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VUMERITY</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166.7</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25.3</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20" w:type="dxa"/>
            <w:vAlign w:val="bottom"/>
            <w:gridSpan w:val="2"/>
          </w:tcPr>
          <w:p>
            <w:pPr>
              <w:ind w:left="220"/>
              <w:spacing w:after="0"/>
              <w:rPr>
                <w:sz w:val="20"/>
                <w:szCs w:val="20"/>
                <w:color w:val="auto"/>
              </w:rPr>
            </w:pPr>
            <w:r>
              <w:rPr>
                <w:rFonts w:ascii="Arial" w:cs="Arial" w:eastAsia="Arial" w:hAnsi="Arial"/>
                <w:sz w:val="14"/>
                <w:szCs w:val="14"/>
                <w:color w:val="auto"/>
              </w:rPr>
              <w:t>Total Fumarate</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197.9</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76.1</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274.0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382.8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AVONEX</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110.0</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46.6</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133.4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188.5</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PLEGRIDY</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23.2</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28.4</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51.6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20" w:type="dxa"/>
            <w:vAlign w:val="bottom"/>
            <w:gridSpan w:val="2"/>
          </w:tcPr>
          <w:p>
            <w:pPr>
              <w:ind w:left="220"/>
              <w:spacing w:after="0"/>
              <w:rPr>
                <w:sz w:val="20"/>
                <w:szCs w:val="20"/>
                <w:color w:val="auto"/>
              </w:rPr>
            </w:pPr>
            <w:r>
              <w:rPr>
                <w:rFonts w:ascii="Arial" w:cs="Arial" w:eastAsia="Arial" w:hAnsi="Arial"/>
                <w:sz w:val="14"/>
                <w:szCs w:val="14"/>
                <w:color w:val="auto"/>
              </w:rPr>
              <w:t>Total Interferon</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133.2</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75.0</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246.9</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TYSABRI</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253.3</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183.8</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437.1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184.3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431.8</w:t>
            </w:r>
          </w:p>
        </w:tc>
        <w:tc>
          <w:tcPr>
            <w:tcW w:w="0" w:type="dxa"/>
            <w:vAlign w:val="bottom"/>
          </w:tcPr>
          <w:p>
            <w:pPr>
              <w:spacing w:after="0"/>
              <w:rPr>
                <w:sz w:val="1"/>
                <w:szCs w:val="1"/>
                <w:color w:val="auto"/>
              </w:rPr>
            </w:pPr>
          </w:p>
        </w:tc>
      </w:tr>
      <w:tr>
        <w:trPr>
          <w:trHeight w:val="196"/>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Multiple Sclerosis</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584.4</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334.9</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919.3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1,061.5</w:t>
            </w:r>
          </w:p>
        </w:tc>
        <w:tc>
          <w:tcPr>
            <w:tcW w:w="0" w:type="dxa"/>
            <w:vAlign w:val="bottom"/>
          </w:tcPr>
          <w:p>
            <w:pPr>
              <w:spacing w:after="0"/>
              <w:rPr>
                <w:sz w:val="1"/>
                <w:szCs w:val="1"/>
                <w:color w:val="auto"/>
              </w:rPr>
            </w:pPr>
          </w:p>
        </w:tc>
      </w:tr>
      <w:tr>
        <w:trPr>
          <w:trHeight w:val="235"/>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Rare Disease:</w:t>
            </w: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SPINRAZA</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246.4</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214.2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460.6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153.2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374.0</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SKYCLARYS</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97.2</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81.0</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132.9</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QALSODY</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10.8</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26.7</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37.5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96"/>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Rare Disease</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354.4</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321.9</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676.3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298.2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533.3</w:t>
            </w:r>
          </w:p>
        </w:tc>
        <w:tc>
          <w:tcPr>
            <w:tcW w:w="0" w:type="dxa"/>
            <w:vAlign w:val="bottom"/>
          </w:tcPr>
          <w:p>
            <w:pPr>
              <w:spacing w:after="0"/>
              <w:rPr>
                <w:sz w:val="1"/>
                <w:szCs w:val="1"/>
                <w:color w:val="auto"/>
              </w:rPr>
            </w:pPr>
          </w:p>
        </w:tc>
      </w:tr>
      <w:tr>
        <w:trPr>
          <w:trHeight w:val="235"/>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Specialized Immunology:</w:t>
            </w: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SYFOVRE</w:t>
            </w:r>
            <w:r>
              <w:rPr>
                <w:rFonts w:ascii="Arial" w:cs="Arial" w:eastAsia="Arial" w:hAnsi="Arial"/>
                <w:sz w:val="9"/>
                <w:szCs w:val="9"/>
                <w:color w:val="auto"/>
              </w:rPr>
              <w:t>(1)</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191.3</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191.3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EMPAVELI</w:t>
            </w:r>
            <w:r>
              <w:rPr>
                <w:rFonts w:ascii="Arial" w:cs="Arial" w:eastAsia="Arial" w:hAnsi="Arial"/>
                <w:sz w:val="9"/>
                <w:szCs w:val="9"/>
                <w:color w:val="auto"/>
              </w:rPr>
              <w:t>(1)</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51.5</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51.5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Specialized Immunology</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242.8</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180" w:type="dxa"/>
            <w:vAlign w:val="bottom"/>
            <w:tcBorders>
              <w:top w:val="single" w:sz="8" w:color="auto"/>
            </w:tcBorders>
            <w:shd w:val="clear" w:color="auto" w:fill="DBDBDB"/>
          </w:tcPr>
          <w:p>
            <w:pPr>
              <w:spacing w:after="0"/>
              <w:rPr>
                <w:sz w:val="20"/>
                <w:szCs w:val="20"/>
                <w:color w:val="auto"/>
              </w:rPr>
            </w:pPr>
          </w:p>
        </w:tc>
        <w:tc>
          <w:tcPr>
            <w:tcW w:w="960" w:type="dxa"/>
            <w:vAlign w:val="bottom"/>
            <w:tcBorders>
              <w:top w:val="single" w:sz="8" w:color="auto"/>
            </w:tcBorders>
            <w:shd w:val="clear" w:color="auto" w:fill="DBDBDB"/>
          </w:tcPr>
          <w:p>
            <w:pPr>
              <w:spacing w:after="0"/>
              <w:rPr>
                <w:sz w:val="20"/>
                <w:szCs w:val="20"/>
                <w:color w:val="auto"/>
              </w:rPr>
            </w:pPr>
          </w:p>
        </w:tc>
        <w:tc>
          <w:tcPr>
            <w:tcW w:w="20" w:type="dxa"/>
            <w:vAlign w:val="bottom"/>
            <w:tcBorders>
              <w:top w:val="single" w:sz="8" w:color="auto"/>
            </w:tcBorders>
            <w:shd w:val="clear" w:color="auto" w:fill="DBDBDB"/>
          </w:tcPr>
          <w:p>
            <w:pPr>
              <w:spacing w:after="0"/>
              <w:rPr>
                <w:sz w:val="20"/>
                <w:szCs w:val="20"/>
                <w:color w:val="auto"/>
              </w:rPr>
            </w:pPr>
          </w:p>
        </w:tc>
        <w:tc>
          <w:tcPr>
            <w:tcW w:w="120" w:type="dxa"/>
            <w:vAlign w:val="bottom"/>
            <w:tcBorders>
              <w:top w:val="single" w:sz="8" w:color="DBDBDB"/>
            </w:tcBorders>
            <w:shd w:val="clear" w:color="auto" w:fill="DBDBDB"/>
          </w:tcPr>
          <w:p>
            <w:pPr>
              <w:spacing w:after="0"/>
              <w:rPr>
                <w:sz w:val="20"/>
                <w:szCs w:val="20"/>
                <w:color w:val="auto"/>
              </w:rPr>
            </w:pPr>
          </w:p>
        </w:tc>
        <w:tc>
          <w:tcPr>
            <w:tcW w:w="220" w:type="dxa"/>
            <w:vAlign w:val="bottom"/>
            <w:tcBorders>
              <w:top w:val="single" w:sz="8" w:color="auto"/>
            </w:tcBorders>
            <w:shd w:val="clear" w:color="auto" w:fill="DBDBDB"/>
          </w:tcPr>
          <w:p>
            <w:pPr>
              <w:spacing w:after="0"/>
              <w:rPr>
                <w:sz w:val="20"/>
                <w:szCs w:val="20"/>
                <w:color w:val="auto"/>
              </w:rPr>
            </w:pPr>
          </w:p>
        </w:tc>
        <w:tc>
          <w:tcPr>
            <w:tcW w:w="900" w:type="dxa"/>
            <w:vAlign w:val="bottom"/>
            <w:tcBorders>
              <w:top w:val="single" w:sz="8" w:color="auto"/>
            </w:tcBorders>
            <w:shd w:val="clear" w:color="auto" w:fill="DBDBDB"/>
          </w:tcPr>
          <w:p>
            <w:pPr>
              <w:spacing w:after="0"/>
              <w:rPr>
                <w:sz w:val="20"/>
                <w:szCs w:val="20"/>
                <w:color w:val="auto"/>
              </w:rPr>
            </w:pPr>
          </w:p>
        </w:tc>
        <w:tc>
          <w:tcPr>
            <w:tcW w:w="40" w:type="dxa"/>
            <w:vAlign w:val="bottom"/>
            <w:tcBorders>
              <w:top w:val="single" w:sz="8" w:color="auto"/>
            </w:tcBorders>
            <w:shd w:val="clear" w:color="auto" w:fill="DBDBDB"/>
          </w:tcPr>
          <w:p>
            <w:pPr>
              <w:spacing w:after="0"/>
              <w:rPr>
                <w:sz w:val="20"/>
                <w:szCs w:val="20"/>
                <w:color w:val="auto"/>
              </w:rPr>
            </w:pPr>
          </w:p>
        </w:tc>
        <w:tc>
          <w:tcPr>
            <w:tcW w:w="100" w:type="dxa"/>
            <w:vAlign w:val="bottom"/>
            <w:tcBorders>
              <w:top w:val="single" w:sz="8" w:color="DBDBDB"/>
            </w:tcBorders>
            <w:shd w:val="clear" w:color="auto" w:fill="DBDBDB"/>
          </w:tcPr>
          <w:p>
            <w:pPr>
              <w:spacing w:after="0"/>
              <w:rPr>
                <w:sz w:val="20"/>
                <w:szCs w:val="20"/>
                <w:color w:val="auto"/>
              </w:rPr>
            </w:pPr>
          </w:p>
        </w:tc>
        <w:tc>
          <w:tcPr>
            <w:tcW w:w="260" w:type="dxa"/>
            <w:vAlign w:val="bottom"/>
            <w:tcBorders>
              <w:top w:val="single" w:sz="8" w:color="auto"/>
            </w:tcBorders>
            <w:shd w:val="clear" w:color="auto" w:fill="DBDBDB"/>
          </w:tcPr>
          <w:p>
            <w:pPr>
              <w:spacing w:after="0"/>
              <w:rPr>
                <w:sz w:val="20"/>
                <w:szCs w:val="20"/>
                <w:color w:val="auto"/>
              </w:rPr>
            </w:pPr>
          </w:p>
        </w:tc>
        <w:tc>
          <w:tcPr>
            <w:tcW w:w="920" w:type="dxa"/>
            <w:vAlign w:val="bottom"/>
            <w:tcBorders>
              <w:top w:val="single" w:sz="8" w:color="auto"/>
            </w:tcBorders>
            <w:shd w:val="clear" w:color="auto" w:fill="DBDBDB"/>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BENEPALI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117.3</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IMRALDI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42.0</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FLIXABI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6.4</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BYOOVIZ</w:t>
            </w:r>
            <w:r>
              <w:rPr>
                <w:rFonts w:ascii="Arial" w:cs="Arial" w:eastAsia="Arial" w:hAnsi="Arial"/>
                <w:sz w:val="9"/>
                <w:szCs w:val="9"/>
                <w:color w:val="auto"/>
              </w:rPr>
              <w:t>(2)</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6"/>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Biosimilars</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165.9</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165.9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235"/>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ZURZUVAE</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83.4</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84.4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98"/>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Other</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83.4</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84.4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20" w:type="dxa"/>
            <w:vAlign w:val="bottom"/>
            <w:gridSpan w:val="2"/>
          </w:tcPr>
          <w:p>
            <w:pPr>
              <w:ind w:left="180"/>
              <w:spacing w:after="0"/>
              <w:rPr>
                <w:sz w:val="20"/>
                <w:szCs w:val="20"/>
                <w:color w:val="auto"/>
              </w:rPr>
            </w:pPr>
            <w:r>
              <w:rPr>
                <w:rFonts w:ascii="Arial" w:cs="Arial" w:eastAsia="Arial" w:hAnsi="Arial"/>
                <w:sz w:val="14"/>
                <w:szCs w:val="14"/>
                <w:color w:val="auto"/>
              </w:rPr>
              <w:t>Total product revenue, net</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1,265.0</w:t>
            </w: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823.7</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2,088.7</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935.3</w:t>
            </w:r>
          </w:p>
        </w:tc>
        <w:tc>
          <w:tcPr>
            <w:tcW w:w="12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911.6</w:t>
            </w:r>
          </w:p>
        </w:tc>
        <w:tc>
          <w:tcPr>
            <w:tcW w:w="10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1,846.9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EMPAVELI and SYFOVRE were obtained as part of our acquisition of Apellis in May 2026</w:t>
      </w:r>
    </w:p>
    <w:p>
      <w:pPr>
        <w:spacing w:after="0" w:line="19" w:lineRule="exact"/>
        <w:rPr>
          <w:rFonts w:ascii="Arial" w:cs="Arial" w:eastAsia="Arial" w:hAnsi="Arial"/>
          <w:sz w:val="16"/>
          <w:szCs w:val="16"/>
          <w:color w:val="auto"/>
          <w:vertAlign w:val="superscript"/>
        </w:rPr>
      </w:pPr>
    </w:p>
    <w:p>
      <w:pPr>
        <w:ind w:left="160" w:hanging="152"/>
        <w:spacing w:after="0" w:line="204"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 the fourth quarter of 2025 we completed the sale of our rights to BYOOVIZ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10"/>
          </w:tcPr>
          <w:p>
            <w:pPr>
              <w:jc w:val="right"/>
              <w:ind w:right="28"/>
              <w:spacing w:after="0"/>
              <w:rPr>
                <w:sz w:val="20"/>
                <w:szCs w:val="20"/>
                <w:color w:val="auto"/>
              </w:rPr>
            </w:pPr>
            <w:r>
              <w:rPr>
                <w:rFonts w:ascii="Arial" w:cs="Arial" w:eastAsia="Arial" w:hAnsi="Arial"/>
                <w:sz w:val="14"/>
                <w:szCs w:val="14"/>
                <w:b w:val="1"/>
                <w:bCs w:val="1"/>
                <w:color w:val="auto"/>
              </w:rPr>
              <w:t>For the Nine Months Ended September 30,</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DDDDDD"/>
          </w:tcPr>
          <w:p>
            <w:pPr>
              <w:spacing w:after="0"/>
              <w:rPr>
                <w:sz w:val="17"/>
                <w:szCs w:val="17"/>
                <w:color w:val="auto"/>
              </w:rPr>
            </w:pPr>
          </w:p>
        </w:tc>
        <w:tc>
          <w:tcPr>
            <w:tcW w:w="96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00" w:type="dxa"/>
            <w:vAlign w:val="bottom"/>
            <w:tcBorders>
              <w:bottom w:val="single" w:sz="8" w:color="auto"/>
            </w:tcBorders>
            <w:shd w:val="clear" w:color="auto" w:fill="DDDDDD"/>
          </w:tcPr>
          <w:p>
            <w:pPr>
              <w:jc w:val="center"/>
              <w:ind w:right="108"/>
              <w:spacing w:after="0"/>
              <w:rPr>
                <w:sz w:val="20"/>
                <w:szCs w:val="20"/>
                <w:color w:val="auto"/>
              </w:rPr>
            </w:pPr>
            <w:r>
              <w:rPr>
                <w:rFonts w:ascii="Arial" w:cs="Arial" w:eastAsia="Arial" w:hAnsi="Arial"/>
                <w:sz w:val="14"/>
                <w:szCs w:val="14"/>
                <w:b w:val="1"/>
                <w:bCs w:val="1"/>
                <w:color w:val="257ACB"/>
              </w:rPr>
              <w:t>2026</w:t>
            </w: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92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7" w:lineRule="exact"/>
              <w:rPr>
                <w:sz w:val="20"/>
                <w:szCs w:val="20"/>
                <w:color w:val="auto"/>
              </w:rPr>
            </w:pPr>
            <w:r>
              <w:rPr>
                <w:rFonts w:ascii="Arial" w:cs="Arial" w:eastAsia="Arial" w:hAnsi="Arial"/>
                <w:sz w:val="14"/>
                <w:szCs w:val="14"/>
                <w:b w:val="1"/>
                <w:bCs w:val="1"/>
                <w:color w:val="auto"/>
              </w:rPr>
              <w:t>United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08"/>
              <w:spacing w:after="0" w:line="147"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United</w:t>
            </w: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Rest of</w:t>
            </w: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5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States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Multiple Sclerosis:</w:t>
            </w:r>
          </w:p>
        </w:tc>
        <w:tc>
          <w:tcPr>
            <w:tcW w:w="18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TECFIDERA</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95.0</w:t>
            </w:r>
          </w:p>
        </w:tc>
        <w:tc>
          <w:tcPr>
            <w:tcW w:w="360" w:type="dxa"/>
            <w:vAlign w:val="bottom"/>
            <w:gridSpan w:val="3"/>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187.4</w:t>
            </w:r>
          </w:p>
        </w:tc>
        <w:tc>
          <w:tcPr>
            <w:tcW w:w="400" w:type="dxa"/>
            <w:vAlign w:val="bottom"/>
            <w:gridSpan w:val="3"/>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282.4</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131.6</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436.3</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567.9</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VUMERITY</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492.1</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75.4</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567.5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494.7</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565.7</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20" w:type="dxa"/>
            <w:vAlign w:val="bottom"/>
            <w:gridSpan w:val="2"/>
          </w:tcPr>
          <w:p>
            <w:pPr>
              <w:ind w:left="220"/>
              <w:spacing w:after="0"/>
              <w:rPr>
                <w:sz w:val="20"/>
                <w:szCs w:val="20"/>
                <w:color w:val="auto"/>
              </w:rPr>
            </w:pPr>
            <w:r>
              <w:rPr>
                <w:rFonts w:ascii="Arial" w:cs="Arial" w:eastAsia="Arial" w:hAnsi="Arial"/>
                <w:sz w:val="14"/>
                <w:szCs w:val="14"/>
                <w:color w:val="auto"/>
              </w:rPr>
              <w:t>Total Fumarate</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587.1</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262.8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849.9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626.3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507.3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1,133.6</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AVONEX</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339.4</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150.4</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489.8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363.7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169.3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533.0</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PLEGRIDY</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72.7</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98.3</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171.0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20" w:type="dxa"/>
            <w:vAlign w:val="bottom"/>
            <w:gridSpan w:val="2"/>
          </w:tcPr>
          <w:p>
            <w:pPr>
              <w:ind w:left="220"/>
              <w:spacing w:after="0"/>
              <w:rPr>
                <w:sz w:val="20"/>
                <w:szCs w:val="20"/>
                <w:color w:val="auto"/>
              </w:rPr>
            </w:pPr>
            <w:r>
              <w:rPr>
                <w:rFonts w:ascii="Arial" w:cs="Arial" w:eastAsia="Arial" w:hAnsi="Arial"/>
                <w:sz w:val="14"/>
                <w:szCs w:val="14"/>
                <w:color w:val="auto"/>
              </w:rPr>
              <w:t>Total Interferon</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412.1</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248.7</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660.8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276.0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719.9</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TYSABRI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765.6</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563.8</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1,329.4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547.4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1,267.9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FAMPYRA</w:t>
            </w:r>
            <w:r>
              <w:rPr>
                <w:rFonts w:ascii="Arial" w:cs="Arial" w:eastAsia="Arial" w:hAnsi="Arial"/>
                <w:sz w:val="18"/>
                <w:szCs w:val="18"/>
                <w:color w:val="auto"/>
                <w:vertAlign w:val="superscript"/>
              </w:rPr>
              <w:t>(1)</w:t>
            </w:r>
          </w:p>
        </w:tc>
        <w:tc>
          <w:tcPr>
            <w:tcW w:w="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Multiple Sclerosis</w:t>
            </w: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1,764.8</w:t>
            </w:r>
          </w:p>
        </w:tc>
        <w:tc>
          <w:tcPr>
            <w:tcW w:w="20" w:type="dxa"/>
            <w:vAlign w:val="bottom"/>
            <w:tcBorders>
              <w:top w:val="single" w:sz="8" w:color="auto"/>
              <w:bottom w:val="single" w:sz="8" w:color="auto"/>
            </w:tcBorders>
            <w:shd w:val="clear" w:color="auto" w:fill="DBDBDB"/>
          </w:tcPr>
          <w:p>
            <w:pPr>
              <w:spacing w:after="0"/>
              <w:rPr>
                <w:sz w:val="16"/>
                <w:szCs w:val="16"/>
                <w:color w:val="auto"/>
              </w:rPr>
            </w:pPr>
          </w:p>
        </w:tc>
        <w:tc>
          <w:tcPr>
            <w:tcW w:w="120" w:type="dxa"/>
            <w:vAlign w:val="bottom"/>
            <w:tcBorders>
              <w:top w:val="single" w:sz="8" w:color="DBDBDB"/>
              <w:bottom w:val="single" w:sz="8" w:color="DBDBDB"/>
            </w:tcBorders>
            <w:shd w:val="clear" w:color="auto" w:fill="DBDBDB"/>
          </w:tcPr>
          <w:p>
            <w:pPr>
              <w:spacing w:after="0"/>
              <w:rPr>
                <w:sz w:val="16"/>
                <w:szCs w:val="16"/>
                <w:color w:val="auto"/>
              </w:rPr>
            </w:pPr>
          </w:p>
        </w:tc>
        <w:tc>
          <w:tcPr>
            <w:tcW w:w="220" w:type="dxa"/>
            <w:vAlign w:val="bottom"/>
            <w:tcBorders>
              <w:top w:val="single" w:sz="8" w:color="auto"/>
              <w:bottom w:val="single" w:sz="8" w:color="auto"/>
            </w:tcBorders>
            <w:shd w:val="clear" w:color="auto" w:fill="DBDBDB"/>
          </w:tcPr>
          <w:p>
            <w:pPr>
              <w:spacing w:after="0"/>
              <w:rPr>
                <w:sz w:val="16"/>
                <w:szCs w:val="16"/>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1,075.3</w:t>
            </w:r>
          </w:p>
        </w:tc>
        <w:tc>
          <w:tcPr>
            <w:tcW w:w="40" w:type="dxa"/>
            <w:vAlign w:val="bottom"/>
            <w:tcBorders>
              <w:top w:val="single" w:sz="8" w:color="auto"/>
              <w:bottom w:val="single" w:sz="8" w:color="auto"/>
            </w:tcBorders>
            <w:shd w:val="clear" w:color="auto" w:fill="DBDBDB"/>
          </w:tcPr>
          <w:p>
            <w:pPr>
              <w:spacing w:after="0"/>
              <w:rPr>
                <w:sz w:val="16"/>
                <w:szCs w:val="16"/>
                <w:color w:val="auto"/>
              </w:rPr>
            </w:pPr>
          </w:p>
        </w:tc>
        <w:tc>
          <w:tcPr>
            <w:tcW w:w="100" w:type="dxa"/>
            <w:vAlign w:val="bottom"/>
            <w:tcBorders>
              <w:top w:val="single" w:sz="8" w:color="DBDBDB"/>
              <w:bottom w:val="single" w:sz="8" w:color="DBDBDB"/>
            </w:tcBorders>
            <w:shd w:val="clear" w:color="auto" w:fill="DBDBDB"/>
          </w:tcPr>
          <w:p>
            <w:pPr>
              <w:spacing w:after="0"/>
              <w:rPr>
                <w:sz w:val="16"/>
                <w:szCs w:val="16"/>
                <w:color w:val="auto"/>
              </w:rPr>
            </w:pPr>
          </w:p>
        </w:tc>
        <w:tc>
          <w:tcPr>
            <w:tcW w:w="260" w:type="dxa"/>
            <w:vAlign w:val="bottom"/>
            <w:tcBorders>
              <w:top w:val="single" w:sz="8" w:color="auto"/>
              <w:bottom w:val="single" w:sz="8" w:color="auto"/>
            </w:tcBorders>
            <w:shd w:val="clear" w:color="auto" w:fill="DBDBDB"/>
          </w:tcPr>
          <w:p>
            <w:pPr>
              <w:spacing w:after="0"/>
              <w:rPr>
                <w:sz w:val="16"/>
                <w:szCs w:val="16"/>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2,840.1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1,790.7</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1,331.0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3,121.7</w:t>
            </w:r>
          </w:p>
        </w:tc>
        <w:tc>
          <w:tcPr>
            <w:tcW w:w="0" w:type="dxa"/>
            <w:vAlign w:val="bottom"/>
          </w:tcPr>
          <w:p>
            <w:pPr>
              <w:spacing w:after="0"/>
              <w:rPr>
                <w:sz w:val="1"/>
                <w:szCs w:val="1"/>
                <w:color w:val="auto"/>
              </w:rPr>
            </w:pPr>
          </w:p>
        </w:tc>
      </w:tr>
      <w:tr>
        <w:trPr>
          <w:trHeight w:val="235"/>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Rare Disease:</w:t>
            </w: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SPINRAZA</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592.9</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643.6</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1,236.5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456.9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733.7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1,190.6</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SKYCLARYS</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251.3</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245.5</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165.4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387.1</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QALSODY</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29.6</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72.3</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96"/>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Rare Disease</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873.8</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961.4</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1,835.2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938.7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1,639.6</w:t>
            </w:r>
          </w:p>
        </w:tc>
        <w:tc>
          <w:tcPr>
            <w:tcW w:w="0" w:type="dxa"/>
            <w:vAlign w:val="bottom"/>
          </w:tcPr>
          <w:p>
            <w:pPr>
              <w:spacing w:after="0"/>
              <w:rPr>
                <w:sz w:val="1"/>
                <w:szCs w:val="1"/>
                <w:color w:val="auto"/>
              </w:rPr>
            </w:pPr>
          </w:p>
        </w:tc>
      </w:tr>
      <w:tr>
        <w:trPr>
          <w:trHeight w:val="235"/>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Specialized Immunology:</w:t>
            </w: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SYFOVRE</w:t>
            </w:r>
            <w:r>
              <w:rPr>
                <w:rFonts w:ascii="Arial" w:cs="Arial" w:eastAsia="Arial" w:hAnsi="Arial"/>
                <w:sz w:val="18"/>
                <w:szCs w:val="18"/>
                <w:color w:val="auto"/>
                <w:vertAlign w:val="superscript"/>
              </w:rPr>
              <w:t>(2)</w:t>
            </w:r>
          </w:p>
        </w:tc>
        <w:tc>
          <w:tcPr>
            <w:tcW w:w="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288.7</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288.7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line="202" w:lineRule="exact"/>
              <w:rPr>
                <w:sz w:val="20"/>
                <w:szCs w:val="20"/>
                <w:color w:val="auto"/>
              </w:rPr>
            </w:pPr>
            <w:r>
              <w:rPr>
                <w:rFonts w:ascii="Arial" w:cs="Arial" w:eastAsia="Arial" w:hAnsi="Arial"/>
                <w:sz w:val="14"/>
                <w:szCs w:val="14"/>
                <w:color w:val="auto"/>
              </w:rPr>
              <w:t>EMPAVELI</w:t>
            </w:r>
            <w:r>
              <w:rPr>
                <w:rFonts w:ascii="Arial" w:cs="Arial" w:eastAsia="Arial" w:hAnsi="Arial"/>
                <w:sz w:val="18"/>
                <w:szCs w:val="18"/>
                <w:color w:val="auto"/>
                <w:vertAlign w:val="superscript"/>
              </w:rPr>
              <w:t>(2)</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81.9</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81.9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Specialized Immunology</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370.6</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370.6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180" w:type="dxa"/>
            <w:vAlign w:val="bottom"/>
            <w:tcBorders>
              <w:top w:val="single" w:sz="8" w:color="auto"/>
            </w:tcBorders>
            <w:shd w:val="clear" w:color="auto" w:fill="DBDBDB"/>
          </w:tcPr>
          <w:p>
            <w:pPr>
              <w:spacing w:after="0"/>
              <w:rPr>
                <w:sz w:val="20"/>
                <w:szCs w:val="20"/>
                <w:color w:val="auto"/>
              </w:rPr>
            </w:pPr>
          </w:p>
        </w:tc>
        <w:tc>
          <w:tcPr>
            <w:tcW w:w="960" w:type="dxa"/>
            <w:vAlign w:val="bottom"/>
            <w:tcBorders>
              <w:top w:val="single" w:sz="8" w:color="auto"/>
            </w:tcBorders>
            <w:shd w:val="clear" w:color="auto" w:fill="DBDBDB"/>
          </w:tcPr>
          <w:p>
            <w:pPr>
              <w:spacing w:after="0"/>
              <w:rPr>
                <w:sz w:val="20"/>
                <w:szCs w:val="20"/>
                <w:color w:val="auto"/>
              </w:rPr>
            </w:pPr>
          </w:p>
        </w:tc>
        <w:tc>
          <w:tcPr>
            <w:tcW w:w="20" w:type="dxa"/>
            <w:vAlign w:val="bottom"/>
            <w:tcBorders>
              <w:top w:val="single" w:sz="8" w:color="auto"/>
            </w:tcBorders>
            <w:shd w:val="clear" w:color="auto" w:fill="DBDBDB"/>
          </w:tcPr>
          <w:p>
            <w:pPr>
              <w:spacing w:after="0"/>
              <w:rPr>
                <w:sz w:val="20"/>
                <w:szCs w:val="20"/>
                <w:color w:val="auto"/>
              </w:rPr>
            </w:pPr>
          </w:p>
        </w:tc>
        <w:tc>
          <w:tcPr>
            <w:tcW w:w="120" w:type="dxa"/>
            <w:vAlign w:val="bottom"/>
            <w:tcBorders>
              <w:top w:val="single" w:sz="8" w:color="DBDBDB"/>
            </w:tcBorders>
            <w:shd w:val="clear" w:color="auto" w:fill="DBDBDB"/>
          </w:tcPr>
          <w:p>
            <w:pPr>
              <w:spacing w:after="0"/>
              <w:rPr>
                <w:sz w:val="20"/>
                <w:szCs w:val="20"/>
                <w:color w:val="auto"/>
              </w:rPr>
            </w:pPr>
          </w:p>
        </w:tc>
        <w:tc>
          <w:tcPr>
            <w:tcW w:w="220" w:type="dxa"/>
            <w:vAlign w:val="bottom"/>
            <w:tcBorders>
              <w:top w:val="single" w:sz="8" w:color="auto"/>
            </w:tcBorders>
            <w:shd w:val="clear" w:color="auto" w:fill="DBDBDB"/>
          </w:tcPr>
          <w:p>
            <w:pPr>
              <w:spacing w:after="0"/>
              <w:rPr>
                <w:sz w:val="20"/>
                <w:szCs w:val="20"/>
                <w:color w:val="auto"/>
              </w:rPr>
            </w:pPr>
          </w:p>
        </w:tc>
        <w:tc>
          <w:tcPr>
            <w:tcW w:w="900" w:type="dxa"/>
            <w:vAlign w:val="bottom"/>
            <w:tcBorders>
              <w:top w:val="single" w:sz="8" w:color="auto"/>
            </w:tcBorders>
            <w:shd w:val="clear" w:color="auto" w:fill="DBDBDB"/>
          </w:tcPr>
          <w:p>
            <w:pPr>
              <w:spacing w:after="0"/>
              <w:rPr>
                <w:sz w:val="20"/>
                <w:szCs w:val="20"/>
                <w:color w:val="auto"/>
              </w:rPr>
            </w:pPr>
          </w:p>
        </w:tc>
        <w:tc>
          <w:tcPr>
            <w:tcW w:w="40" w:type="dxa"/>
            <w:vAlign w:val="bottom"/>
            <w:tcBorders>
              <w:top w:val="single" w:sz="8" w:color="auto"/>
            </w:tcBorders>
            <w:shd w:val="clear" w:color="auto" w:fill="DBDBDB"/>
          </w:tcPr>
          <w:p>
            <w:pPr>
              <w:spacing w:after="0"/>
              <w:rPr>
                <w:sz w:val="20"/>
                <w:szCs w:val="20"/>
                <w:color w:val="auto"/>
              </w:rPr>
            </w:pPr>
          </w:p>
        </w:tc>
        <w:tc>
          <w:tcPr>
            <w:tcW w:w="100" w:type="dxa"/>
            <w:vAlign w:val="bottom"/>
            <w:tcBorders>
              <w:top w:val="single" w:sz="8" w:color="DBDBDB"/>
            </w:tcBorders>
            <w:shd w:val="clear" w:color="auto" w:fill="DBDBDB"/>
          </w:tcPr>
          <w:p>
            <w:pPr>
              <w:spacing w:after="0"/>
              <w:rPr>
                <w:sz w:val="20"/>
                <w:szCs w:val="20"/>
                <w:color w:val="auto"/>
              </w:rPr>
            </w:pPr>
          </w:p>
        </w:tc>
        <w:tc>
          <w:tcPr>
            <w:tcW w:w="260" w:type="dxa"/>
            <w:vAlign w:val="bottom"/>
            <w:tcBorders>
              <w:top w:val="single" w:sz="8" w:color="auto"/>
            </w:tcBorders>
            <w:shd w:val="clear" w:color="auto" w:fill="DBDBDB"/>
          </w:tcPr>
          <w:p>
            <w:pPr>
              <w:spacing w:after="0"/>
              <w:rPr>
                <w:sz w:val="20"/>
                <w:szCs w:val="20"/>
                <w:color w:val="auto"/>
              </w:rPr>
            </w:pPr>
          </w:p>
        </w:tc>
        <w:tc>
          <w:tcPr>
            <w:tcW w:w="920" w:type="dxa"/>
            <w:vAlign w:val="bottom"/>
            <w:tcBorders>
              <w:top w:val="single" w:sz="8" w:color="auto"/>
            </w:tcBorders>
            <w:shd w:val="clear" w:color="auto" w:fill="DBDBDB"/>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BENEPALI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346.2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345.3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345.3</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IMRALDI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129.4</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146.7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146.7</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FLIXABI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25.0</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BYOOVIZ</w:t>
            </w:r>
            <w:r>
              <w:rPr>
                <w:rFonts w:ascii="Arial" w:cs="Arial" w:eastAsia="Arial" w:hAnsi="Arial"/>
                <w:sz w:val="18"/>
                <w:szCs w:val="18"/>
                <w:color w:val="auto"/>
                <w:vertAlign w:val="superscript"/>
              </w:rPr>
              <w:t>(3)</w:t>
            </w:r>
          </w:p>
        </w:tc>
        <w:tc>
          <w:tcPr>
            <w:tcW w:w="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620" w:type="dxa"/>
            <w:vAlign w:val="bottom"/>
            <w:gridSpan w:val="2"/>
          </w:tcPr>
          <w:p>
            <w:pPr>
              <w:ind w:left="100"/>
              <w:spacing w:after="0" w:line="201" w:lineRule="exact"/>
              <w:rPr>
                <w:sz w:val="20"/>
                <w:szCs w:val="20"/>
                <w:color w:val="auto"/>
              </w:rPr>
            </w:pPr>
            <w:r>
              <w:rPr>
                <w:rFonts w:ascii="Arial" w:cs="Arial" w:eastAsia="Arial" w:hAnsi="Arial"/>
                <w:sz w:val="14"/>
                <w:szCs w:val="14"/>
                <w:color w:val="auto"/>
              </w:rPr>
              <w:t>TOFIDENCE</w:t>
            </w:r>
            <w:r>
              <w:rPr>
                <w:rFonts w:ascii="Arial" w:cs="Arial" w:eastAsia="Arial" w:hAnsi="Arial"/>
                <w:sz w:val="18"/>
                <w:szCs w:val="18"/>
                <w:color w:val="auto"/>
                <w:vertAlign w:val="superscript"/>
              </w:rPr>
              <w:t>(3)</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Biosimilars</w:t>
            </w: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20" w:type="dxa"/>
            <w:vAlign w:val="bottom"/>
            <w:tcBorders>
              <w:top w:val="single" w:sz="8" w:color="auto"/>
              <w:bottom w:val="single" w:sz="8" w:color="auto"/>
            </w:tcBorders>
            <w:shd w:val="clear" w:color="auto" w:fill="DBDBDB"/>
          </w:tcPr>
          <w:p>
            <w:pPr>
              <w:spacing w:after="0"/>
              <w:rPr>
                <w:sz w:val="16"/>
                <w:szCs w:val="16"/>
                <w:color w:val="auto"/>
              </w:rPr>
            </w:pPr>
          </w:p>
        </w:tc>
        <w:tc>
          <w:tcPr>
            <w:tcW w:w="120" w:type="dxa"/>
            <w:vAlign w:val="bottom"/>
            <w:tcBorders>
              <w:top w:val="single" w:sz="8" w:color="DBDBDB"/>
              <w:bottom w:val="single" w:sz="8" w:color="DBDBDB"/>
            </w:tcBorders>
            <w:shd w:val="clear" w:color="auto" w:fill="DBDBDB"/>
          </w:tcPr>
          <w:p>
            <w:pPr>
              <w:spacing w:after="0"/>
              <w:rPr>
                <w:sz w:val="16"/>
                <w:szCs w:val="16"/>
                <w:color w:val="auto"/>
              </w:rPr>
            </w:pPr>
          </w:p>
        </w:tc>
        <w:tc>
          <w:tcPr>
            <w:tcW w:w="220" w:type="dxa"/>
            <w:vAlign w:val="bottom"/>
            <w:tcBorders>
              <w:top w:val="single" w:sz="8" w:color="auto"/>
              <w:bottom w:val="single" w:sz="8" w:color="auto"/>
            </w:tcBorders>
            <w:shd w:val="clear" w:color="auto" w:fill="DBDBDB"/>
          </w:tcPr>
          <w:p>
            <w:pPr>
              <w:spacing w:after="0"/>
              <w:rPr>
                <w:sz w:val="16"/>
                <w:szCs w:val="16"/>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500.8</w:t>
            </w:r>
          </w:p>
        </w:tc>
        <w:tc>
          <w:tcPr>
            <w:tcW w:w="40" w:type="dxa"/>
            <w:vAlign w:val="bottom"/>
            <w:tcBorders>
              <w:top w:val="single" w:sz="8" w:color="auto"/>
              <w:bottom w:val="single" w:sz="8" w:color="auto"/>
            </w:tcBorders>
            <w:shd w:val="clear" w:color="auto" w:fill="DBDBDB"/>
          </w:tcPr>
          <w:p>
            <w:pPr>
              <w:spacing w:after="0"/>
              <w:rPr>
                <w:sz w:val="16"/>
                <w:szCs w:val="16"/>
                <w:color w:val="auto"/>
              </w:rPr>
            </w:pPr>
          </w:p>
        </w:tc>
        <w:tc>
          <w:tcPr>
            <w:tcW w:w="100" w:type="dxa"/>
            <w:vAlign w:val="bottom"/>
            <w:tcBorders>
              <w:top w:val="single" w:sz="8" w:color="DBDBDB"/>
              <w:bottom w:val="single" w:sz="8" w:color="DBDBDB"/>
            </w:tcBorders>
            <w:shd w:val="clear" w:color="auto" w:fill="DBDBDB"/>
          </w:tcPr>
          <w:p>
            <w:pPr>
              <w:spacing w:after="0"/>
              <w:rPr>
                <w:sz w:val="16"/>
                <w:szCs w:val="16"/>
                <w:color w:val="auto"/>
              </w:rPr>
            </w:pPr>
          </w:p>
        </w:tc>
        <w:tc>
          <w:tcPr>
            <w:tcW w:w="260" w:type="dxa"/>
            <w:vAlign w:val="bottom"/>
            <w:tcBorders>
              <w:top w:val="single" w:sz="8" w:color="auto"/>
              <w:bottom w:val="single" w:sz="8" w:color="auto"/>
            </w:tcBorders>
            <w:shd w:val="clear" w:color="auto" w:fill="DBDBDB"/>
          </w:tcPr>
          <w:p>
            <w:pPr>
              <w:spacing w:after="0"/>
              <w:rPr>
                <w:sz w:val="16"/>
                <w:szCs w:val="16"/>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500.9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550.5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559.3</w:t>
            </w:r>
          </w:p>
        </w:tc>
        <w:tc>
          <w:tcPr>
            <w:tcW w:w="0" w:type="dxa"/>
            <w:vAlign w:val="bottom"/>
          </w:tcPr>
          <w:p>
            <w:pPr>
              <w:spacing w:after="0"/>
              <w:rPr>
                <w:sz w:val="1"/>
                <w:szCs w:val="1"/>
                <w:color w:val="auto"/>
              </w:rPr>
            </w:pPr>
          </w:p>
        </w:tc>
      </w:tr>
      <w:tr>
        <w:trPr>
          <w:trHeight w:val="235"/>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ZURZUVAE</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209.4</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(4)</w:t>
            </w:r>
          </w:p>
        </w:tc>
        <w:tc>
          <w:tcPr>
            <w:tcW w:w="1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2"/>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Other</w:t>
            </w:r>
          </w:p>
        </w:tc>
        <w:tc>
          <w:tcPr>
            <w:tcW w:w="18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209.4</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210.6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20" w:type="dxa"/>
            <w:vAlign w:val="bottom"/>
            <w:gridSpan w:val="2"/>
          </w:tcPr>
          <w:p>
            <w:pPr>
              <w:ind w:left="180"/>
              <w:spacing w:after="0"/>
              <w:rPr>
                <w:sz w:val="20"/>
                <w:szCs w:val="20"/>
                <w:color w:val="auto"/>
              </w:rPr>
            </w:pPr>
            <w:r>
              <w:rPr>
                <w:rFonts w:ascii="Arial" w:cs="Arial" w:eastAsia="Arial" w:hAnsi="Arial"/>
                <w:sz w:val="14"/>
                <w:szCs w:val="14"/>
                <w:color w:val="auto"/>
              </w:rPr>
              <w:t>Total product revenue, net</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3,218.7</w:t>
            </w: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2,538.7</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5,757.4</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2,630.2</w:t>
            </w:r>
          </w:p>
        </w:tc>
        <w:tc>
          <w:tcPr>
            <w:tcW w:w="120" w:type="dxa"/>
            <w:vAlign w:val="bottom"/>
          </w:tcPr>
          <w:p>
            <w:pPr>
              <w:spacing w:after="0"/>
              <w:rPr>
                <w:sz w:val="19"/>
                <w:szCs w:val="19"/>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2,821.9</w:t>
            </w:r>
          </w:p>
        </w:tc>
        <w:tc>
          <w:tcPr>
            <w:tcW w:w="10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5,452.1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Effective January 1, 2025, our collaboration and license agreement for FAMPYRA global commercialization rights was terminated</w:t>
      </w:r>
    </w:p>
    <w:p>
      <w:pPr>
        <w:spacing w:after="0" w:line="12"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EMPAVELI and SYFOVRE were obtained as part of our acquisition of Apellis in May 2026</w:t>
      </w:r>
    </w:p>
    <w:p>
      <w:pPr>
        <w:spacing w:after="0" w:line="13"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 2025 we completed the sale of our rights to TOFIDENCE and BYOOVIZ</w:t>
      </w:r>
    </w:p>
    <w:p>
      <w:pPr>
        <w:spacing w:after="0" w:line="13"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Other includes FUMADERM and ADUHELM</w:t>
      </w:r>
    </w:p>
    <w:p>
      <w:pPr>
        <w:spacing w:after="0" w:line="8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recognized revenue from three wholesalers accounting for 30.3%, 16.9% and 11.5%, respectively, of gross product revenue for the three months ended September 30, 2026, and 29.2%, 16.1% and 10.4%, respectively, of gross product revenue for the nine months ended September 30, 2026.</w:t>
      </w:r>
    </w:p>
    <w:p>
      <w:pPr>
        <w:spacing w:after="0" w:line="63" w:lineRule="exact"/>
        <w:rPr>
          <w:sz w:val="20"/>
          <w:szCs w:val="20"/>
          <w:color w:val="auto"/>
        </w:rPr>
      </w:pPr>
    </w:p>
    <w:p>
      <w:pPr>
        <w:jc w:val="both"/>
        <w:ind w:right="140"/>
        <w:spacing w:after="0" w:line="318" w:lineRule="auto"/>
        <w:rPr>
          <w:sz w:val="20"/>
          <w:szCs w:val="20"/>
          <w:color w:val="auto"/>
        </w:rPr>
      </w:pPr>
      <w:r>
        <w:rPr>
          <w:rFonts w:ascii="Arial" w:cs="Arial" w:eastAsia="Arial" w:hAnsi="Arial"/>
          <w:sz w:val="17"/>
          <w:szCs w:val="17"/>
          <w:color w:val="auto"/>
        </w:rPr>
        <w:t>We recognized revenue from two wholesalers accounting for 27.8% and 16.0%, respectively, of gross product revenue for the three months ended September 30, 2025, and 27.3% and 15.4%, respectively, of gross product revenue for the nine months ended September 30, 2025.</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change in reserves for discounts and allowances is summarized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Discounts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Returns</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Balance, December 31, 2025</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115.7</w:t>
            </w:r>
          </w:p>
        </w:tc>
        <w:tc>
          <w:tcPr>
            <w:tcW w:w="28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1,046.1</w:t>
            </w:r>
          </w:p>
        </w:tc>
        <w:tc>
          <w:tcPr>
            <w:tcW w:w="360" w:type="dxa"/>
            <w:vAlign w:val="bottom"/>
            <w:gridSpan w:val="2"/>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49.0</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1,210.8</w:t>
            </w:r>
          </w:p>
        </w:tc>
        <w:tc>
          <w:tcPr>
            <w:tcW w:w="0" w:type="dxa"/>
            <w:vAlign w:val="bottom"/>
          </w:tcPr>
          <w:p>
            <w:pPr>
              <w:spacing w:after="0"/>
              <w:rPr>
                <w:sz w:val="1"/>
                <w:szCs w:val="1"/>
                <w:color w:val="auto"/>
              </w:rPr>
            </w:pPr>
          </w:p>
        </w:tc>
      </w:tr>
      <w:tr>
        <w:trPr>
          <w:trHeight w:val="203"/>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Apellis acquisition</w:t>
            </w:r>
          </w:p>
        </w:tc>
        <w:tc>
          <w:tcPr>
            <w:tcW w:w="22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13.3</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32.3</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6.4</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52.0</w:t>
            </w:r>
          </w:p>
        </w:tc>
        <w:tc>
          <w:tcPr>
            <w:tcW w:w="0" w:type="dxa"/>
            <w:vAlign w:val="bottom"/>
          </w:tcPr>
          <w:p>
            <w:pPr>
              <w:spacing w:after="0"/>
              <w:rPr>
                <w:sz w:val="1"/>
                <w:szCs w:val="1"/>
                <w:color w:val="auto"/>
              </w:rPr>
            </w:pPr>
          </w:p>
        </w:tc>
      </w:tr>
      <w:tr>
        <w:trPr>
          <w:trHeight w:val="203"/>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Current provisions relating to sales in current year</w:t>
            </w:r>
          </w:p>
        </w:tc>
        <w:tc>
          <w:tcPr>
            <w:tcW w:w="22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665.8</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2,091.1</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23.0</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2,779.9</w:t>
            </w:r>
          </w:p>
        </w:tc>
        <w:tc>
          <w:tcPr>
            <w:tcW w:w="0" w:type="dxa"/>
            <w:vAlign w:val="bottom"/>
          </w:tcPr>
          <w:p>
            <w:pPr>
              <w:spacing w:after="0"/>
              <w:rPr>
                <w:sz w:val="1"/>
                <w:szCs w:val="1"/>
                <w:color w:val="auto"/>
              </w:rPr>
            </w:pPr>
          </w:p>
        </w:tc>
      </w:tr>
      <w:tr>
        <w:trPr>
          <w:trHeight w:val="203"/>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Adjustments relating to prior years</w:t>
            </w:r>
          </w:p>
        </w:tc>
        <w:tc>
          <w:tcPr>
            <w:tcW w:w="2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(82.5)</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16.3</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(69.0)</w:t>
            </w:r>
          </w:p>
        </w:tc>
        <w:tc>
          <w:tcPr>
            <w:tcW w:w="0" w:type="dxa"/>
            <w:vAlign w:val="bottom"/>
          </w:tcPr>
          <w:p>
            <w:pPr>
              <w:spacing w:after="0"/>
              <w:rPr>
                <w:sz w:val="1"/>
                <w:szCs w:val="1"/>
                <w:color w:val="auto"/>
              </w:rPr>
            </w:pPr>
          </w:p>
        </w:tc>
      </w:tr>
      <w:tr>
        <w:trPr>
          <w:trHeight w:val="203"/>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Payments/credits relating to sales in current year</w:t>
            </w:r>
          </w:p>
        </w:tc>
        <w:tc>
          <w:tcPr>
            <w:tcW w:w="2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(528.6)</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(1,358.8)</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(1,887.3)</w:t>
            </w:r>
          </w:p>
        </w:tc>
        <w:tc>
          <w:tcPr>
            <w:tcW w:w="0" w:type="dxa"/>
            <w:vAlign w:val="bottom"/>
          </w:tcPr>
          <w:p>
            <w:pPr>
              <w:spacing w:after="0"/>
              <w:rPr>
                <w:sz w:val="1"/>
                <w:szCs w:val="1"/>
                <w:color w:val="auto"/>
              </w:rPr>
            </w:pPr>
          </w:p>
        </w:tc>
      </w:tr>
      <w:tr>
        <w:trPr>
          <w:trHeight w:val="207"/>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Payments/credits relating to sales in prior years</w:t>
            </w:r>
          </w:p>
        </w:tc>
        <w:tc>
          <w:tcPr>
            <w:tcW w:w="2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(132.7)</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(631.1)</w:t>
            </w: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(32.0)</w:t>
            </w:r>
          </w:p>
        </w:tc>
        <w:tc>
          <w:tcPr>
            <w:tcW w:w="12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(795.8)</w:t>
            </w:r>
          </w:p>
        </w:tc>
        <w:tc>
          <w:tcPr>
            <w:tcW w:w="0" w:type="dxa"/>
            <w:vAlign w:val="bottom"/>
          </w:tcPr>
          <w:p>
            <w:pPr>
              <w:spacing w:after="0"/>
              <w:rPr>
                <w:sz w:val="1"/>
                <w:szCs w:val="1"/>
                <w:color w:val="auto"/>
              </w:rPr>
            </w:pPr>
          </w:p>
        </w:tc>
      </w:tr>
      <w:tr>
        <w:trPr>
          <w:trHeight w:val="225"/>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Balance, September 30, 2026</w:t>
            </w: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11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130.7</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1,097.1</w:t>
            </w:r>
          </w:p>
        </w:tc>
        <w:tc>
          <w:tcPr>
            <w:tcW w:w="10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62.8</w:t>
            </w:r>
          </w:p>
        </w:tc>
        <w:tc>
          <w:tcPr>
            <w:tcW w:w="120" w:type="dxa"/>
            <w:vAlign w:val="bottom"/>
            <w:tcBorders>
              <w:bottom w:val="single" w:sz="8" w:color="DBDBDB"/>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1,290.6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total reserves above, which are included in our condensed consolidated balance sheets, are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520" w:type="dxa"/>
            <w:vAlign w:val="bottom"/>
            <w:shd w:val="clear" w:color="auto" w:fill="DBDBDB"/>
          </w:tcPr>
          <w:p>
            <w:pPr>
              <w:jc w:val="right"/>
              <w:ind w:right="48"/>
              <w:spacing w:after="0"/>
              <w:rPr>
                <w:sz w:val="20"/>
                <w:szCs w:val="20"/>
                <w:color w:val="auto"/>
              </w:rPr>
            </w:pPr>
            <w:r>
              <w:rPr>
                <w:rFonts w:ascii="Arial" w:cs="Arial" w:eastAsia="Arial" w:hAnsi="Arial"/>
                <w:sz w:val="14"/>
                <w:szCs w:val="14"/>
                <w:b w:val="1"/>
                <w:bCs w:val="1"/>
                <w:color w:val="257ACB"/>
              </w:rPr>
              <w:t>As of September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85"/>
        </w:trPr>
        <w:tc>
          <w:tcPr>
            <w:tcW w:w="7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520" w:type="dxa"/>
            <w:vAlign w:val="bottom"/>
            <w:tcBorders>
              <w:bottom w:val="single" w:sz="8" w:color="auto"/>
            </w:tcBorders>
            <w:shd w:val="clear" w:color="auto" w:fill="DBDBDB"/>
          </w:tcPr>
          <w:p>
            <w:pPr>
              <w:jc w:val="right"/>
              <w:ind w:right="58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8"/>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Component of accrued expense and other</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1,019.5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1,000.4</w:t>
            </w:r>
          </w:p>
        </w:tc>
        <w:tc>
          <w:tcPr>
            <w:tcW w:w="0" w:type="dxa"/>
            <w:vAlign w:val="bottom"/>
          </w:tcPr>
          <w:p>
            <w:pPr>
              <w:spacing w:after="0"/>
              <w:rPr>
                <w:sz w:val="1"/>
                <w:szCs w:val="1"/>
                <w:color w:val="auto"/>
              </w:rPr>
            </w:pPr>
          </w:p>
        </w:tc>
      </w:tr>
      <w:tr>
        <w:trPr>
          <w:trHeight w:val="207"/>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Reduction of accounts receivable</w:t>
            </w:r>
          </w:p>
        </w:tc>
        <w:tc>
          <w:tcPr>
            <w:tcW w:w="120" w:type="dxa"/>
            <w:vAlign w:val="bottom"/>
            <w:tcBorders>
              <w:bottom w:val="single" w:sz="8" w:color="auto"/>
            </w:tcBorders>
            <w:shd w:val="clear" w:color="auto" w:fill="DBDBDB"/>
          </w:tcPr>
          <w:p>
            <w:pPr>
              <w:spacing w:after="0"/>
              <w:rPr>
                <w:sz w:val="17"/>
                <w:szCs w:val="17"/>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271.1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210.4</w:t>
            </w:r>
          </w:p>
        </w:tc>
        <w:tc>
          <w:tcPr>
            <w:tcW w:w="0" w:type="dxa"/>
            <w:vAlign w:val="bottom"/>
          </w:tcPr>
          <w:p>
            <w:pPr>
              <w:spacing w:after="0"/>
              <w:rPr>
                <w:sz w:val="1"/>
                <w:szCs w:val="1"/>
                <w:color w:val="auto"/>
              </w:rPr>
            </w:pPr>
          </w:p>
        </w:tc>
      </w:tr>
      <w:tr>
        <w:trPr>
          <w:trHeight w:val="220"/>
        </w:trPr>
        <w:tc>
          <w:tcPr>
            <w:tcW w:w="7660" w:type="dxa"/>
            <w:vAlign w:val="bottom"/>
            <w:gridSpan w:val="2"/>
          </w:tcPr>
          <w:p>
            <w:pPr>
              <w:ind w:left="240"/>
              <w:spacing w:after="0"/>
              <w:rPr>
                <w:sz w:val="20"/>
                <w:szCs w:val="20"/>
                <w:color w:val="auto"/>
              </w:rPr>
            </w:pPr>
            <w:r>
              <w:rPr>
                <w:rFonts w:ascii="Arial" w:cs="Arial" w:eastAsia="Arial" w:hAnsi="Arial"/>
                <w:sz w:val="14"/>
                <w:szCs w:val="14"/>
                <w:color w:val="auto"/>
              </w:rPr>
              <w:t>Total revenue-related reserves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1,290.6</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1,210.8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Revenue from Anti-CD20 Therapeutic Programs</w:t>
      </w:r>
    </w:p>
    <w:p>
      <w:pPr>
        <w:spacing w:after="0" w:line="126"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Revenue from anti-CD20 therapeutic programs is summarized in the table below. For the purposes of this footnote, we refer to RITUXAN and RITUXAN HYCELA collectively as RITUXAN.</w:t>
      </w:r>
    </w:p>
    <w:tbl>
      <w:tblPr>
        <w:tblLayout w:type="fixed"/>
        <w:tblInd w:w="0" w:type="dxa"/>
        <w:tblCellMar>
          <w:top w:w="0" w:type="dxa"/>
          <w:left w:w="0" w:type="dxa"/>
          <w:bottom w:w="0" w:type="dxa"/>
          <w:right w:w="0" w:type="dxa"/>
        </w:tblCellMar>
      </w:tblPr>
      <w:tr>
        <w:trPr>
          <w:trHeight w:val="149"/>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2"/>
                <w:szCs w:val="12"/>
                <w:color w:val="auto"/>
              </w:rPr>
            </w:pPr>
          </w:p>
        </w:tc>
        <w:tc>
          <w:tcPr>
            <w:tcW w:w="2220" w:type="dxa"/>
            <w:vAlign w:val="bottom"/>
            <w:gridSpan w:val="4"/>
          </w:tcPr>
          <w:p>
            <w:pPr>
              <w:jc w:val="right"/>
              <w:ind w:right="188"/>
              <w:spacing w:after="0" w:line="149" w:lineRule="exact"/>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spacing w:after="0"/>
              <w:rPr>
                <w:sz w:val="16"/>
                <w:szCs w:val="16"/>
                <w:color w:val="auto"/>
              </w:rPr>
            </w:pPr>
          </w:p>
        </w:tc>
        <w:tc>
          <w:tcPr>
            <w:tcW w:w="98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DDDDD"/>
          </w:tcPr>
          <w:p>
            <w:pPr>
              <w:spacing w:after="0"/>
              <w:rPr>
                <w:sz w:val="16"/>
                <w:szCs w:val="16"/>
                <w:color w:val="auto"/>
              </w:rPr>
            </w:pPr>
          </w:p>
        </w:tc>
        <w:tc>
          <w:tcPr>
            <w:tcW w:w="960" w:type="dxa"/>
            <w:vAlign w:val="bottom"/>
            <w:tcBorders>
              <w:top w:val="single" w:sz="8" w:color="auto"/>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r>
      <w:tr>
        <w:trPr>
          <w:trHeight w:val="189"/>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Royalty revenue on sales of OCREVUS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369.9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386.4</w:t>
            </w:r>
          </w:p>
        </w:tc>
        <w:tc>
          <w:tcPr>
            <w:tcW w:w="100" w:type="dxa"/>
            <w:vAlign w:val="bottom"/>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1,068.5</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1,029.0</w:t>
            </w:r>
          </w:p>
        </w:tc>
      </w:tr>
      <w:tr>
        <w:trPr>
          <w:trHeight w:val="203"/>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292.4</w:t>
            </w:r>
          </w:p>
        </w:tc>
      </w:tr>
      <w:tr>
        <w:trPr>
          <w:trHeight w:val="207"/>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16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22.7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r>
      <w:tr>
        <w:trPr>
          <w:trHeight w:val="220"/>
        </w:trPr>
        <w:tc>
          <w:tcPr>
            <w:tcW w:w="6360" w:type="dxa"/>
            <w:vAlign w:val="bottom"/>
            <w:gridSpan w:val="2"/>
          </w:tcPr>
          <w:p>
            <w:pPr>
              <w:ind w:left="220"/>
              <w:spacing w:after="0"/>
              <w:rPr>
                <w:sz w:val="20"/>
                <w:szCs w:val="20"/>
                <w:color w:val="auto"/>
              </w:rPr>
            </w:pPr>
            <w:r>
              <w:rPr>
                <w:rFonts w:ascii="Arial" w:cs="Arial" w:eastAsia="Arial" w:hAnsi="Arial"/>
                <w:sz w:val="14"/>
                <w:szCs w:val="14"/>
                <w:color w:val="auto"/>
              </w:rPr>
              <w:t>Total revenue from anti-CD20 therapeutic programs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497.3</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493.9</w:t>
            </w:r>
          </w:p>
        </w:tc>
        <w:tc>
          <w:tcPr>
            <w:tcW w:w="100" w:type="dxa"/>
            <w:vAlign w:val="bottom"/>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1,429.9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1,339.4</w:t>
            </w: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Genentech,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these condensed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Alzheimer's Collaboration Revenue</w:t>
      </w:r>
    </w:p>
    <w:p>
      <w:pPr>
        <w:spacing w:after="0" w:line="11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Alzheimer's collaboration revenue consists of our 50.0% share of LEQEMBI product revenue, net and cost of sales, including royalties, as we are not the principal. We began recognizing Alzheimer's collaboration revenue upon the accelerated approval of LEQEMBI in the U.S. during the first quarter of 2023.</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For the three and nine months ended September 30, 2026, we recognized Alzheimer's collaboration revenue of approximately $68.4 million and $191.6 million, respectively, compared to $42.7 million and $130.6 million, respectively, in the prior year comparative periods.</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condensed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Contract Manufacturing, Royalty and Other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royalty and other revenue is summarized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6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DDDDD"/>
          </w:tcPr>
          <w:p>
            <w:pPr>
              <w:spacing w:after="0"/>
              <w:rPr>
                <w:sz w:val="16"/>
                <w:szCs w:val="16"/>
                <w:color w:val="auto"/>
              </w:rPr>
            </w:pPr>
          </w:p>
        </w:tc>
        <w:tc>
          <w:tcPr>
            <w:tcW w:w="98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r>
      <w:tr>
        <w:trPr>
          <w:trHeight w:val="189"/>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135.9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141.5</w:t>
            </w:r>
          </w:p>
        </w:tc>
        <w:tc>
          <w:tcPr>
            <w:tcW w:w="10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605.5</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648.8</w:t>
            </w:r>
          </w:p>
        </w:tc>
      </w:tr>
      <w:tr>
        <w:trPr>
          <w:trHeight w:val="207"/>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Royalty and other revenue</w:t>
            </w: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33.5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r>
      <w:tr>
        <w:trPr>
          <w:trHeight w:val="220"/>
        </w:trPr>
        <w:tc>
          <w:tcPr>
            <w:tcW w:w="6260" w:type="dxa"/>
            <w:vAlign w:val="bottom"/>
            <w:gridSpan w:val="2"/>
          </w:tcPr>
          <w:p>
            <w:pPr>
              <w:ind w:left="140"/>
              <w:spacing w:after="0"/>
              <w:rPr>
                <w:sz w:val="20"/>
                <w:szCs w:val="20"/>
                <w:color w:val="auto"/>
              </w:rPr>
            </w:pPr>
            <w:r>
              <w:rPr>
                <w:rFonts w:ascii="Arial" w:cs="Arial" w:eastAsia="Arial" w:hAnsi="Arial"/>
                <w:sz w:val="14"/>
                <w:szCs w:val="14"/>
                <w:color w:val="auto"/>
              </w:rPr>
              <w:t>Total contract manufacturing, royalty and other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149.7</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151.2</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639.0</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689.1</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Contract Manufacturing Revenue</w:t>
      </w:r>
    </w:p>
    <w:p>
      <w:pPr>
        <w:spacing w:after="0" w:line="12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Contract manufacturing revenue primarily reflects amounts earned under contract manufacturing agreements with our strategic customers and batches of LEQEMBI related to our collaboration with Eisai.</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Royalty and Other Revenue</w:t>
      </w:r>
    </w:p>
    <w:p>
      <w:pPr>
        <w:spacing w:after="0" w:line="14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Royalty and other revenue primarily reflects royalty revenue on biosimilar products from our license arrangements with Samsung Bioepis and royalties we receive from net sales on products related to patents that we have out-licensed, including arrangements with Sobi that we inherited through our acquisition of Apellis.</w:t>
      </w:r>
    </w:p>
    <w:p>
      <w:pPr>
        <w:spacing w:after="0" w:line="6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 xml:space="preserve">For additional information on our arrangements with Samsung Bioepis, Eisai and Sobi,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these condensed consolidated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126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6:</w:t>
            </w:r>
          </w:p>
        </w:tc>
        <w:tc>
          <w:tcPr>
            <w:tcW w:w="5500" w:type="dxa"/>
            <w:vAlign w:val="bottom"/>
            <w:tcBorders>
              <w:bottom w:val="single" w:sz="8" w:color="0070C0"/>
            </w:tcBorders>
            <w:gridSpan w:val="2"/>
          </w:tcPr>
          <w:p>
            <w:pPr>
              <w:ind w:left="20"/>
              <w:spacing w:after="0"/>
              <w:rPr>
                <w:sz w:val="20"/>
                <w:szCs w:val="20"/>
                <w:color w:val="auto"/>
              </w:rPr>
            </w:pPr>
            <w:r>
              <w:rPr>
                <w:rFonts w:ascii="Arial" w:cs="Arial" w:eastAsia="Arial" w:hAnsi="Arial"/>
                <w:sz w:val="22"/>
                <w:szCs w:val="22"/>
                <w:b w:val="1"/>
                <w:bCs w:val="1"/>
                <w:color w:val="0070C0"/>
              </w:rPr>
              <w:t>Inventory</w:t>
            </w:r>
          </w:p>
        </w:tc>
        <w:tc>
          <w:tcPr>
            <w:tcW w:w="160" w:type="dxa"/>
            <w:vAlign w:val="bottom"/>
            <w:tcBorders>
              <w:bottom w:val="single" w:sz="8" w:color="0070C0"/>
            </w:tcBorders>
          </w:tcPr>
          <w:p>
            <w:pPr>
              <w:spacing w:after="0"/>
              <w:rPr>
                <w:sz w:val="24"/>
                <w:szCs w:val="24"/>
                <w:color w:val="auto"/>
              </w:rPr>
            </w:pPr>
          </w:p>
        </w:tc>
        <w:tc>
          <w:tcPr>
            <w:tcW w:w="2020" w:type="dxa"/>
            <w:vAlign w:val="bottom"/>
            <w:tcBorders>
              <w:bottom w:val="single" w:sz="8" w:color="0070C0"/>
            </w:tcBorders>
          </w:tcPr>
          <w:p>
            <w:pPr>
              <w:spacing w:after="0"/>
              <w:rPr>
                <w:sz w:val="24"/>
                <w:szCs w:val="24"/>
                <w:color w:val="auto"/>
              </w:rPr>
            </w:pPr>
          </w:p>
        </w:tc>
        <w:tc>
          <w:tcPr>
            <w:tcW w:w="120" w:type="dxa"/>
            <w:vAlign w:val="bottom"/>
            <w:tcBorders>
              <w:bottom w:val="single" w:sz="8" w:color="0070C0"/>
            </w:tcBorders>
          </w:tcPr>
          <w:p>
            <w:pPr>
              <w:spacing w:after="0"/>
              <w:rPr>
                <w:sz w:val="24"/>
                <w:szCs w:val="24"/>
                <w:color w:val="auto"/>
              </w:rPr>
            </w:pPr>
          </w:p>
        </w:tc>
        <w:tc>
          <w:tcPr>
            <w:tcW w:w="160" w:type="dxa"/>
            <w:vAlign w:val="bottom"/>
            <w:tcBorders>
              <w:bottom w:val="single" w:sz="8" w:color="0070C0"/>
            </w:tcBorders>
          </w:tcPr>
          <w:p>
            <w:pPr>
              <w:spacing w:after="0"/>
              <w:rPr>
                <w:sz w:val="24"/>
                <w:szCs w:val="24"/>
                <w:color w:val="auto"/>
              </w:rPr>
            </w:pPr>
          </w:p>
        </w:tc>
        <w:tc>
          <w:tcPr>
            <w:tcW w:w="1540" w:type="dxa"/>
            <w:vAlign w:val="bottom"/>
            <w:tcBorders>
              <w:bottom w:val="single" w:sz="8" w:color="0070C0"/>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6760" w:type="dxa"/>
            <w:vAlign w:val="bottom"/>
            <w:gridSpan w:val="3"/>
          </w:tcPr>
          <w:p>
            <w:pPr>
              <w:spacing w:after="0"/>
              <w:rPr>
                <w:sz w:val="20"/>
                <w:szCs w:val="20"/>
                <w:color w:val="auto"/>
              </w:rPr>
            </w:pPr>
            <w:r>
              <w:rPr>
                <w:rFonts w:ascii="Arial" w:cs="Arial" w:eastAsia="Arial" w:hAnsi="Arial"/>
                <w:sz w:val="18"/>
                <w:szCs w:val="18"/>
                <w:color w:val="auto"/>
              </w:rPr>
              <w:t>The components of inventory are summarized as follows:</w:t>
            </w: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As of December 31, 2025</w:t>
            </w:r>
          </w:p>
        </w:tc>
        <w:tc>
          <w:tcPr>
            <w:tcW w:w="0" w:type="dxa"/>
            <w:vAlign w:val="bottom"/>
          </w:tcPr>
          <w:p>
            <w:pPr>
              <w:spacing w:after="0" w:line="20" w:lineRule="exact"/>
              <w:rPr>
                <w:sz w:val="1"/>
                <w:szCs w:val="1"/>
                <w:color w:val="auto"/>
              </w:rPr>
            </w:pPr>
          </w:p>
        </w:tc>
      </w:tr>
      <w:tr>
        <w:trPr>
          <w:trHeight w:val="202"/>
        </w:trPr>
        <w:tc>
          <w:tcPr>
            <w:tcW w:w="1260" w:type="dxa"/>
            <w:vAlign w:val="bottom"/>
            <w:tcBorders>
              <w:bottom w:val="single" w:sz="8" w:color="auto"/>
            </w:tcBorders>
            <w:vMerge w:val="continue"/>
          </w:tcPr>
          <w:p>
            <w:pPr>
              <w:spacing w:after="0"/>
              <w:rPr>
                <w:sz w:val="17"/>
                <w:szCs w:val="17"/>
                <w:color w:val="auto"/>
              </w:rPr>
            </w:pPr>
          </w:p>
        </w:tc>
        <w:tc>
          <w:tcPr>
            <w:tcW w:w="5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257ACB"/>
              </w:rPr>
              <w:t>As of September 30, 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60" w:type="dxa"/>
            <w:vAlign w:val="bottom"/>
          </w:tcPr>
          <w:p>
            <w:pPr>
              <w:ind w:left="20"/>
              <w:spacing w:after="0"/>
              <w:rPr>
                <w:sz w:val="20"/>
                <w:szCs w:val="20"/>
                <w:color w:val="auto"/>
              </w:rPr>
            </w:pPr>
            <w:r>
              <w:rPr>
                <w:rFonts w:ascii="Arial" w:cs="Arial" w:eastAsia="Arial" w:hAnsi="Arial"/>
                <w:sz w:val="14"/>
                <w:szCs w:val="14"/>
                <w:color w:val="auto"/>
              </w:rPr>
              <w:t>Raw materials</w:t>
            </w: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320.6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1,538.0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1,595.2</w:t>
            </w:r>
          </w:p>
        </w:tc>
        <w:tc>
          <w:tcPr>
            <w:tcW w:w="0" w:type="dxa"/>
            <w:vAlign w:val="bottom"/>
          </w:tcPr>
          <w:p>
            <w:pPr>
              <w:spacing w:after="0"/>
              <w:rPr>
                <w:sz w:val="1"/>
                <w:szCs w:val="1"/>
                <w:color w:val="auto"/>
              </w:rPr>
            </w:pPr>
          </w:p>
        </w:tc>
      </w:tr>
      <w:tr>
        <w:trPr>
          <w:trHeight w:val="207"/>
        </w:trPr>
        <w:tc>
          <w:tcPr>
            <w:tcW w:w="1260" w:type="dxa"/>
            <w:vAlign w:val="bottom"/>
          </w:tcPr>
          <w:p>
            <w:pPr>
              <w:ind w:left="20"/>
              <w:spacing w:after="0"/>
              <w:rPr>
                <w:sz w:val="20"/>
                <w:szCs w:val="20"/>
                <w:color w:val="auto"/>
              </w:rPr>
            </w:pPr>
            <w:r>
              <w:rPr>
                <w:rFonts w:ascii="Arial" w:cs="Arial" w:eastAsia="Arial" w:hAnsi="Arial"/>
                <w:sz w:val="14"/>
                <w:szCs w:val="14"/>
                <w:color w:val="auto"/>
              </w:rPr>
              <w:t>Finished goods</w:t>
            </w:r>
          </w:p>
        </w:tc>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499.0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424.9</w:t>
            </w:r>
          </w:p>
        </w:tc>
        <w:tc>
          <w:tcPr>
            <w:tcW w:w="0" w:type="dxa"/>
            <w:vAlign w:val="bottom"/>
          </w:tcPr>
          <w:p>
            <w:pPr>
              <w:spacing w:after="0"/>
              <w:rPr>
                <w:sz w:val="1"/>
                <w:szCs w:val="1"/>
                <w:color w:val="auto"/>
              </w:rPr>
            </w:pPr>
          </w:p>
        </w:tc>
      </w:tr>
      <w:tr>
        <w:trPr>
          <w:trHeight w:val="240"/>
        </w:trPr>
        <w:tc>
          <w:tcPr>
            <w:tcW w:w="1260" w:type="dxa"/>
            <w:vAlign w:val="bottom"/>
          </w:tcPr>
          <w:p>
            <w:pPr>
              <w:ind w:left="140"/>
              <w:spacing w:after="0"/>
              <w:rPr>
                <w:sz w:val="20"/>
                <w:szCs w:val="20"/>
                <w:color w:val="auto"/>
              </w:rPr>
            </w:pPr>
            <w:r>
              <w:rPr>
                <w:rFonts w:ascii="Arial" w:cs="Arial" w:eastAsia="Arial" w:hAnsi="Arial"/>
                <w:sz w:val="14"/>
                <w:szCs w:val="14"/>
                <w:color w:val="auto"/>
              </w:rPr>
              <w:t>Total inventory</w:t>
            </w:r>
          </w:p>
        </w:tc>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2,357.6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2,313.5</w:t>
            </w:r>
          </w:p>
        </w:tc>
        <w:tc>
          <w:tcPr>
            <w:tcW w:w="0" w:type="dxa"/>
            <w:vAlign w:val="bottom"/>
          </w:tcPr>
          <w:p>
            <w:pPr>
              <w:spacing w:after="0"/>
              <w:rPr>
                <w:sz w:val="1"/>
                <w:szCs w:val="1"/>
                <w:color w:val="auto"/>
              </w:rPr>
            </w:pPr>
          </w:p>
        </w:tc>
      </w:tr>
      <w:tr>
        <w:trPr>
          <w:trHeight w:val="431"/>
        </w:trPr>
        <w:tc>
          <w:tcPr>
            <w:tcW w:w="6760" w:type="dxa"/>
            <w:vAlign w:val="bottom"/>
            <w:gridSpan w:val="3"/>
          </w:tcPr>
          <w:p>
            <w:pPr>
              <w:ind w:left="20"/>
              <w:spacing w:after="0"/>
              <w:rPr>
                <w:sz w:val="20"/>
                <w:szCs w:val="20"/>
                <w:color w:val="auto"/>
              </w:rPr>
            </w:pPr>
            <w:r>
              <w:rPr>
                <w:rFonts w:ascii="Arial" w:cs="Arial" w:eastAsia="Arial" w:hAnsi="Arial"/>
                <w:sz w:val="14"/>
                <w:szCs w:val="14"/>
                <w:i w:val="1"/>
                <w:iCs w:val="1"/>
                <w:color w:val="auto"/>
              </w:rPr>
              <w:t>Balance Sheet Classification:</w:t>
            </w:r>
          </w:p>
        </w:tc>
        <w:tc>
          <w:tcPr>
            <w:tcW w:w="160" w:type="dxa"/>
            <w:vAlign w:val="bottom"/>
            <w:tcBorders>
              <w:top w:val="single" w:sz="8" w:color="auto"/>
            </w:tcBorders>
            <w:shd w:val="clear" w:color="auto" w:fill="DBDBDB"/>
          </w:tcPr>
          <w:p>
            <w:pPr>
              <w:spacing w:after="0"/>
              <w:rPr>
                <w:sz w:val="24"/>
                <w:szCs w:val="24"/>
                <w:color w:val="auto"/>
              </w:rPr>
            </w:pPr>
          </w:p>
        </w:tc>
        <w:tc>
          <w:tcPr>
            <w:tcW w:w="2020" w:type="dxa"/>
            <w:vAlign w:val="bottom"/>
            <w:tcBorders>
              <w:top w:val="single" w:sz="8" w:color="auto"/>
            </w:tcBorders>
            <w:shd w:val="clear" w:color="auto" w:fill="DBDBDB"/>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Inventory</w:t>
            </w:r>
          </w:p>
        </w:tc>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2,224.4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2,168.1</w:t>
            </w:r>
          </w:p>
        </w:tc>
        <w:tc>
          <w:tcPr>
            <w:tcW w:w="0" w:type="dxa"/>
            <w:vAlign w:val="bottom"/>
          </w:tcPr>
          <w:p>
            <w:pPr>
              <w:spacing w:after="0"/>
              <w:rPr>
                <w:sz w:val="1"/>
                <w:szCs w:val="1"/>
                <w:color w:val="auto"/>
              </w:rPr>
            </w:pPr>
          </w:p>
        </w:tc>
      </w:tr>
      <w:tr>
        <w:trPr>
          <w:trHeight w:val="207"/>
        </w:trPr>
        <w:tc>
          <w:tcPr>
            <w:tcW w:w="6760" w:type="dxa"/>
            <w:vAlign w:val="bottom"/>
            <w:gridSpan w:val="3"/>
          </w:tcPr>
          <w:p>
            <w:pPr>
              <w:ind w:left="20"/>
              <w:spacing w:after="0"/>
              <w:rPr>
                <w:sz w:val="20"/>
                <w:szCs w:val="20"/>
                <w:color w:val="auto"/>
              </w:rPr>
            </w:pPr>
            <w:r>
              <w:rPr>
                <w:rFonts w:ascii="Arial" w:cs="Arial" w:eastAsia="Arial" w:hAnsi="Arial"/>
                <w:sz w:val="14"/>
                <w:szCs w:val="14"/>
                <w:color w:val="auto"/>
              </w:rPr>
              <w:t>Investments and other assets</w:t>
            </w:r>
          </w:p>
        </w:tc>
        <w:tc>
          <w:tcPr>
            <w:tcW w:w="16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133.2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220"/>
        </w:trPr>
        <w:tc>
          <w:tcPr>
            <w:tcW w:w="1260" w:type="dxa"/>
            <w:vAlign w:val="bottom"/>
          </w:tcPr>
          <w:p>
            <w:pPr>
              <w:ind w:left="140"/>
              <w:spacing w:after="0"/>
              <w:rPr>
                <w:sz w:val="20"/>
                <w:szCs w:val="20"/>
                <w:color w:val="auto"/>
              </w:rPr>
            </w:pPr>
            <w:r>
              <w:rPr>
                <w:rFonts w:ascii="Arial" w:cs="Arial" w:eastAsia="Arial" w:hAnsi="Arial"/>
                <w:sz w:val="14"/>
                <w:szCs w:val="14"/>
                <w:color w:val="auto"/>
              </w:rPr>
              <w:t>Total inventory</w:t>
            </w: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2,357.6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2,313.5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Long-term inventory is included in investments and other assets within our condensed consolidated balance sheets.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As a result of our acquisition of Apellis in May 2026, we recorded approximately $681.0 million of acquired inventory related to SYFOVRE and EMPAVELI, inclusive of fair value step-up adjustments related to the acquired inventory of SYFOVRE and EMPAVELI totaling approximately $541.5 million. We expect these amounts to be fully amortized by the end of 2029. For the three and nine months ended September 30, 2026, amortization from the fair value step-up adjustments, which was recorded as a component of cost of sales within our condensed consolidated statements of income, was approximately $100.0 million and $169.7 million, respectively. For additional information on our acquisition of Apellis,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As a result of our acquisition of Reata in September 2023 we recorded a fair value step-up adjustment related to the acquired inventory of SKYCLARYS of approximately $1.3 billion. We expect this amount to be fully amortized by the end of 2028. For the three and nine months ended September 30, 2026, amortization from the fair value step-up adjustment was approximately $97.2 million and $337.9 million, respectively, compared to $61.5 million and $165.4 million, respectively, in the prior year comparative periods. For the three and nine months ended September 30, 2026, amortization from the fair value step-up adjustment includes approximately zero and $94.3 million, respectively, of inventory used for clinical purposes, which is reflected in research and development expense within our condensed consolidated statements of income. 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our 2025 Form 10-K.</w:t>
      </w:r>
    </w:p>
    <w:p>
      <w:pPr>
        <w:spacing w:after="0" w:line="7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These fair value step-up adjustments are being amortized to cost of sales as the inventory is sold or to research and development expense as the inventory is used for clinical purposes within our condensed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96925" cy="342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66"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7:</w:t>
      </w:r>
      <w:r>
        <w:rPr>
          <w:sz w:val="20"/>
          <w:szCs w:val="20"/>
          <w:color w:val="auto"/>
        </w:rPr>
        <w:tab/>
      </w:r>
      <w:r>
        <w:rPr>
          <w:rFonts w:ascii="Arial" w:cs="Arial" w:eastAsia="Arial" w:hAnsi="Arial"/>
          <w:sz w:val="21"/>
          <w:szCs w:val="21"/>
          <w:b w:val="1"/>
          <w:bCs w:val="1"/>
          <w:color w:val="0070C0"/>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Intangible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of accumulated amortization, impairment charges and adjustments are summarized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2380" w:type="dxa"/>
            <w:vAlign w:val="bottom"/>
            <w:tcBorders>
              <w:bottom w:val="single" w:sz="8" w:color="auto"/>
            </w:tcBorders>
            <w:gridSpan w:val="7"/>
            <w:shd w:val="clear" w:color="auto" w:fill="DDDDDD"/>
          </w:tcPr>
          <w:p>
            <w:pPr>
              <w:jc w:val="center"/>
              <w:ind w:left="408"/>
              <w:spacing w:after="0"/>
              <w:rPr>
                <w:sz w:val="20"/>
                <w:szCs w:val="20"/>
                <w:color w:val="auto"/>
              </w:rPr>
            </w:pPr>
            <w:r>
              <w:rPr>
                <w:rFonts w:ascii="Arial" w:cs="Arial" w:eastAsia="Arial" w:hAnsi="Arial"/>
                <w:sz w:val="14"/>
                <w:szCs w:val="14"/>
                <w:b w:val="1"/>
                <w:bCs w:val="1"/>
                <w:color w:val="257ACB"/>
              </w:rPr>
              <w:t>As of September 30, 2026</w:t>
            </w:r>
          </w:p>
        </w:tc>
        <w:tc>
          <w:tcPr>
            <w:tcW w:w="70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jc w:val="center"/>
              <w:ind w:left="408"/>
              <w:spacing w:after="0"/>
              <w:rPr>
                <w:sz w:val="20"/>
                <w:szCs w:val="20"/>
                <w:color w:val="auto"/>
              </w:rPr>
            </w:pPr>
            <w:r>
              <w:rPr>
                <w:rFonts w:ascii="Arial" w:cs="Arial" w:eastAsia="Arial" w:hAnsi="Arial"/>
                <w:sz w:val="14"/>
                <w:szCs w:val="14"/>
                <w:b w:val="1"/>
                <w:bCs w:val="1"/>
                <w:color w:val="auto"/>
              </w:rPr>
              <w:t>As of December 31, 2025</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6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Estimated Life</w:t>
            </w:r>
          </w:p>
        </w:tc>
        <w:tc>
          <w:tcPr>
            <w:tcW w:w="1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7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7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2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Completed technology</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1-30 years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18,713.7</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(7,165.1)</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11,548.6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14,067.3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(6,687.8)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7,379.5</w:t>
            </w:r>
          </w:p>
        </w:tc>
        <w:tc>
          <w:tcPr>
            <w:tcW w:w="0" w:type="dxa"/>
            <w:vAlign w:val="bottom"/>
          </w:tcPr>
          <w:p>
            <w:pPr>
              <w:spacing w:after="0"/>
              <w:rPr>
                <w:sz w:val="1"/>
                <w:szCs w:val="1"/>
                <w:color w:val="auto"/>
              </w:rPr>
            </w:pPr>
          </w:p>
        </w:tc>
      </w:tr>
      <w:tr>
        <w:trPr>
          <w:trHeight w:val="161"/>
        </w:trPr>
        <w:tc>
          <w:tcPr>
            <w:tcW w:w="2760" w:type="dxa"/>
            <w:vAlign w:val="bottom"/>
            <w:gridSpan w:val="2"/>
            <w:vMerge w:val="restart"/>
          </w:tcPr>
          <w:p>
            <w:pPr>
              <w:ind w:left="20"/>
              <w:spacing w:after="0"/>
              <w:rPr>
                <w:sz w:val="20"/>
                <w:szCs w:val="20"/>
                <w:color w:val="auto"/>
              </w:rPr>
            </w:pPr>
            <w:r>
              <w:rPr>
                <w:rFonts w:ascii="Arial" w:cs="Arial" w:eastAsia="Arial" w:hAnsi="Arial"/>
                <w:sz w:val="14"/>
                <w:szCs w:val="14"/>
                <w:color w:val="auto"/>
              </w:rPr>
              <w:t>In-process research and development</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Indefinite until</w:t>
            </w:r>
          </w:p>
        </w:tc>
        <w:tc>
          <w:tcPr>
            <w:tcW w:w="220" w:type="dxa"/>
            <w:vAlign w:val="bottom"/>
            <w:shd w:val="clear" w:color="auto" w:fill="DBDBDB"/>
          </w:tcPr>
          <w:p>
            <w:pPr>
              <w:spacing w:after="0"/>
              <w:rPr>
                <w:sz w:val="13"/>
                <w:szCs w:val="13"/>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1,667.3</w:t>
            </w: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20" w:type="dxa"/>
            <w:vAlign w:val="bottom"/>
            <w:gridSpan w:val="2"/>
            <w:vMerge w:val="restart"/>
            <w:shd w:val="clear" w:color="auto" w:fill="DBDBDB"/>
          </w:tcPr>
          <w:p>
            <w:pPr>
              <w:ind w:left="800"/>
              <w:spacing w:after="0"/>
              <w:rPr>
                <w:sz w:val="20"/>
                <w:szCs w:val="20"/>
                <w:color w:val="auto"/>
              </w:rPr>
            </w:pPr>
            <w:r>
              <w:rPr>
                <w:rFonts w:ascii="Arial" w:cs="Arial" w:eastAsia="Arial" w:hAnsi="Arial"/>
                <w:sz w:val="14"/>
                <w:szCs w:val="14"/>
                <w:color w:val="257ACB"/>
              </w:rPr>
              <w:t>—</w:t>
            </w:r>
          </w:p>
        </w:tc>
        <w:tc>
          <w:tcPr>
            <w:tcW w:w="28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1,667.3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1,635.0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1,635.0</w:t>
            </w:r>
          </w:p>
        </w:tc>
        <w:tc>
          <w:tcPr>
            <w:tcW w:w="0" w:type="dxa"/>
            <w:vAlign w:val="bottom"/>
          </w:tcPr>
          <w:p>
            <w:pPr>
              <w:spacing w:after="0"/>
              <w:rPr>
                <w:sz w:val="1"/>
                <w:szCs w:val="1"/>
                <w:color w:val="auto"/>
              </w:rPr>
            </w:pPr>
          </w:p>
        </w:tc>
      </w:tr>
      <w:tr>
        <w:trPr>
          <w:trHeight w:val="185"/>
        </w:trPr>
        <w:tc>
          <w:tcPr>
            <w:tcW w:w="2760" w:type="dxa"/>
            <w:vAlign w:val="bottom"/>
            <w:gridSpan w:val="2"/>
            <w:vMerge w:val="continue"/>
          </w:tcPr>
          <w:p>
            <w:pPr>
              <w:spacing w:after="0"/>
              <w:rPr>
                <w:sz w:val="16"/>
                <w:szCs w:val="16"/>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commercialization</w:t>
            </w:r>
          </w:p>
        </w:tc>
        <w:tc>
          <w:tcPr>
            <w:tcW w:w="220" w:type="dxa"/>
            <w:vAlign w:val="bottom"/>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20" w:type="dxa"/>
            <w:vAlign w:val="bottom"/>
            <w:gridSpan w:val="2"/>
            <w:vMerge w:val="continue"/>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Priority review voucher</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Indefinite</w:t>
            </w:r>
          </w:p>
        </w:tc>
        <w:tc>
          <w:tcPr>
            <w:tcW w:w="22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20" w:type="dxa"/>
            <w:vAlign w:val="bottom"/>
            <w:gridSpan w:val="2"/>
            <w:shd w:val="clear" w:color="auto" w:fill="DBDBDB"/>
          </w:tcPr>
          <w:p>
            <w:pPr>
              <w:ind w:left="800"/>
              <w:spacing w:after="0"/>
              <w:rPr>
                <w:sz w:val="20"/>
                <w:szCs w:val="20"/>
                <w:color w:val="auto"/>
              </w:rPr>
            </w:pPr>
            <w:r>
              <w:rPr>
                <w:rFonts w:ascii="Arial" w:cs="Arial" w:eastAsia="Arial" w:hAnsi="Arial"/>
                <w:sz w:val="14"/>
                <w:szCs w:val="14"/>
                <w:color w:val="257ACB"/>
              </w:rPr>
              <w:t>—</w:t>
            </w:r>
          </w:p>
        </w:tc>
        <w:tc>
          <w:tcPr>
            <w:tcW w:w="28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7"/>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Trademarks and trade names</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Indefinite</w:t>
            </w:r>
          </w:p>
        </w:tc>
        <w:tc>
          <w:tcPr>
            <w:tcW w:w="22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64.0</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4"/>
                <w:szCs w:val="14"/>
                <w:color w:val="257ACB"/>
              </w:rPr>
              <w:t>—</w:t>
            </w: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20"/>
        </w:trPr>
        <w:tc>
          <w:tcPr>
            <w:tcW w:w="2760" w:type="dxa"/>
            <w:vAlign w:val="bottom"/>
            <w:gridSpan w:val="2"/>
          </w:tcPr>
          <w:p>
            <w:pPr>
              <w:ind w:left="140"/>
              <w:spacing w:after="0"/>
              <w:rPr>
                <w:sz w:val="20"/>
                <w:szCs w:val="20"/>
                <w:color w:val="auto"/>
              </w:rPr>
            </w:pPr>
            <w:r>
              <w:rPr>
                <w:rFonts w:ascii="Arial" w:cs="Arial" w:eastAsia="Arial" w:hAnsi="Arial"/>
                <w:sz w:val="14"/>
                <w:szCs w:val="14"/>
                <w:color w:val="auto"/>
              </w:rPr>
              <w:t>Total intangible assets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20,545.0</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(7,165.1)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13,379.9</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15,866.3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(6,687.8)</w:t>
            </w:r>
          </w:p>
        </w:tc>
        <w:tc>
          <w:tcPr>
            <w:tcW w:w="10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9,178.5</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Amortization and Impairments</w:t>
      </w:r>
    </w:p>
    <w:p>
      <w:pPr>
        <w:spacing w:after="0" w:line="11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the three and nine months ended September 30, 2026, amortization and impairment of acquired intangible assets totaled $172.8 million and $477.5 million, respectively, compared to $135.7 million and $378.4 million, respectively, in the prior year comparative periods.</w:t>
      </w:r>
    </w:p>
    <w:p>
      <w:pPr>
        <w:spacing w:after="0" w:line="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and nine months ended September 30, 2026, amortization of acquired intangible assets, excluding impairment charges, totaled $172.8 million and $477.5 million, respectively, compared to $135.7 million and $374.9 million, respectively in the prior year comparative periods. The increases were primarily due to higher rates of amortization for the acquired intangible assets associated with SKYCLARYS and amortization expense related to intangible assets acquired from Apellis, which totaled $45.2 million and $67.8 million for the three and nine months ended September 30, 2026, respectively.</w:t>
      </w:r>
    </w:p>
    <w:p>
      <w:pPr>
        <w:spacing w:after="0" w:line="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the three and nine months ended September 30, 2026, we had no impairment charges. For the three months ended September 30, 2025, we had no impairment charges. For the nine months ended September 30, 2025 amortization and impairment of acquired intangible assets reflects the impact of a $3.5 million impairment charge related to a compound acquired from HI-Bio.</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Completed Technology</w:t>
      </w:r>
    </w:p>
    <w:p>
      <w:pPr>
        <w:spacing w:after="0" w:line="11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Completed technology primarily relates to our other marketed products and programs acquired through asset acquisitions, licenses and business combinations. In connection with our acquisition of Apellis we acquired completed technology with an estimated fair value of approximately $4.6 billion, comprised of $2.4 billion related to EMPAVELI commercialization rights in the U.S., $1.9 billion related to SYFOVRE commercialization rights and $380.0 million related to royalty rights associated with Sobi sales of EMPAVELI outside the U.S. under the brand name ASPAVELI.</w:t>
      </w:r>
    </w:p>
    <w:p>
      <w:pPr>
        <w:spacing w:after="0" w:line="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Completed technology intangible assets are amortized over their estimated useful lives, which range between approximately 1 to 30 years, with a remaining weighted average useful life of 13 years as of September 30, 2026.</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IPR&amp;D Related to Business Combinations</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IPR&amp;D represents the fair value assigned to research and development assets that we acquired as part of a business combination and had not yet reached technological feasibility at the date of acquisition. Included in IPR&amp;D balances are adjustments related to foreign currency exchange rate fluctuations.</w:t>
      </w:r>
    </w:p>
    <w:p>
      <w:pPr>
        <w:spacing w:after="0" w:line="6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carrying value associated with our IPR&amp;D assets as of September 30, 2026, relates to the IPR&amp;D programs we acquired in connection with our acquisition of HI-Bio in July 2024, with a carrying value of approximately $1.6 billion, and the IPR&amp;D programs we acquired in connection with our acquisition of Apellis in May 2026, with a carrying value of approximately $32.3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Estimated Future Amortization of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of finite-lived intangible assets for the next five years is expected to be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257ACB"/>
              </w:rPr>
              <w:t>As of September 30, 2026</w:t>
            </w:r>
          </w:p>
        </w:tc>
      </w:tr>
      <w:tr>
        <w:trPr>
          <w:trHeight w:val="188"/>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2026 (remaining three months)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155.0</w:t>
            </w:r>
          </w:p>
        </w:tc>
      </w:tr>
      <w:tr>
        <w:trPr>
          <w:trHeight w:val="203"/>
        </w:trPr>
        <w:tc>
          <w:tcPr>
            <w:tcW w:w="8940" w:type="dxa"/>
            <w:vAlign w:val="bottom"/>
          </w:tcPr>
          <w:p>
            <w:pPr>
              <w:ind w:left="20"/>
              <w:spacing w:after="0"/>
              <w:rPr>
                <w:sz w:val="20"/>
                <w:szCs w:val="20"/>
                <w:color w:val="auto"/>
              </w:rPr>
            </w:pPr>
            <w:r>
              <w:rPr>
                <w:rFonts w:ascii="Arial" w:cs="Arial" w:eastAsia="Arial" w:hAnsi="Arial"/>
                <w:sz w:val="14"/>
                <w:szCs w:val="14"/>
                <w:color w:val="auto"/>
              </w:rPr>
              <w:t>2027</w:t>
            </w:r>
          </w:p>
        </w:tc>
        <w:tc>
          <w:tcPr>
            <w:tcW w:w="12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660.0</w:t>
            </w:r>
          </w:p>
        </w:tc>
      </w:tr>
      <w:tr>
        <w:trPr>
          <w:trHeight w:val="203"/>
        </w:trPr>
        <w:tc>
          <w:tcPr>
            <w:tcW w:w="8940" w:type="dxa"/>
            <w:vAlign w:val="bottom"/>
          </w:tcPr>
          <w:p>
            <w:pPr>
              <w:ind w:left="20"/>
              <w:spacing w:after="0"/>
              <w:rPr>
                <w:sz w:val="20"/>
                <w:szCs w:val="20"/>
                <w:color w:val="auto"/>
              </w:rPr>
            </w:pPr>
            <w:r>
              <w:rPr>
                <w:rFonts w:ascii="Arial" w:cs="Arial" w:eastAsia="Arial" w:hAnsi="Arial"/>
                <w:sz w:val="14"/>
                <w:szCs w:val="14"/>
                <w:color w:val="auto"/>
              </w:rPr>
              <w:t>2028</w:t>
            </w:r>
          </w:p>
        </w:tc>
        <w:tc>
          <w:tcPr>
            <w:tcW w:w="12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720.0</w:t>
            </w:r>
          </w:p>
        </w:tc>
      </w:tr>
      <w:tr>
        <w:trPr>
          <w:trHeight w:val="203"/>
        </w:trPr>
        <w:tc>
          <w:tcPr>
            <w:tcW w:w="8940" w:type="dxa"/>
            <w:vAlign w:val="bottom"/>
          </w:tcPr>
          <w:p>
            <w:pPr>
              <w:ind w:left="20"/>
              <w:spacing w:after="0"/>
              <w:rPr>
                <w:sz w:val="20"/>
                <w:szCs w:val="20"/>
                <w:color w:val="auto"/>
              </w:rPr>
            </w:pPr>
            <w:r>
              <w:rPr>
                <w:rFonts w:ascii="Arial" w:cs="Arial" w:eastAsia="Arial" w:hAnsi="Arial"/>
                <w:sz w:val="14"/>
                <w:szCs w:val="14"/>
                <w:color w:val="auto"/>
              </w:rPr>
              <w:t>2029</w:t>
            </w:r>
          </w:p>
        </w:tc>
        <w:tc>
          <w:tcPr>
            <w:tcW w:w="12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830.0</w:t>
            </w:r>
          </w:p>
        </w:tc>
      </w:tr>
      <w:tr>
        <w:trPr>
          <w:trHeight w:val="203"/>
        </w:trPr>
        <w:tc>
          <w:tcPr>
            <w:tcW w:w="8940" w:type="dxa"/>
            <w:vAlign w:val="bottom"/>
          </w:tcPr>
          <w:p>
            <w:pPr>
              <w:ind w:left="20"/>
              <w:spacing w:after="0"/>
              <w:rPr>
                <w:sz w:val="20"/>
                <w:szCs w:val="20"/>
                <w:color w:val="auto"/>
              </w:rPr>
            </w:pPr>
            <w:r>
              <w:rPr>
                <w:rFonts w:ascii="Arial" w:cs="Arial" w:eastAsia="Arial" w:hAnsi="Arial"/>
                <w:sz w:val="14"/>
                <w:szCs w:val="14"/>
                <w:color w:val="auto"/>
              </w:rPr>
              <w:t>2030</w:t>
            </w:r>
          </w:p>
        </w:tc>
        <w:tc>
          <w:tcPr>
            <w:tcW w:w="12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940.0</w:t>
            </w:r>
          </w:p>
        </w:tc>
      </w:tr>
      <w:tr>
        <w:trPr>
          <w:trHeight w:val="211"/>
        </w:trPr>
        <w:tc>
          <w:tcPr>
            <w:tcW w:w="8940" w:type="dxa"/>
            <w:vAlign w:val="bottom"/>
          </w:tcPr>
          <w:p>
            <w:pPr>
              <w:ind w:left="20"/>
              <w:spacing w:after="0"/>
              <w:rPr>
                <w:sz w:val="20"/>
                <w:szCs w:val="20"/>
                <w:color w:val="auto"/>
              </w:rPr>
            </w:pPr>
            <w:r>
              <w:rPr>
                <w:rFonts w:ascii="Arial" w:cs="Arial" w:eastAsia="Arial" w:hAnsi="Arial"/>
                <w:sz w:val="14"/>
                <w:szCs w:val="14"/>
                <w:color w:val="auto"/>
              </w:rPr>
              <w:t>2031</w:t>
            </w:r>
          </w:p>
        </w:tc>
        <w:tc>
          <w:tcPr>
            <w:tcW w:w="120" w:type="dxa"/>
            <w:vAlign w:val="bottom"/>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1,045.0</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Goodwill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changes in our goodwill balance: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257ACB"/>
              </w:rPr>
              <w:t>As of September 30, 2026</w:t>
            </w:r>
          </w:p>
        </w:tc>
      </w:tr>
      <w:tr>
        <w:trPr>
          <w:trHeight w:val="188"/>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Goodwill, December 31, 2025</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6,491.1</w:t>
            </w:r>
          </w:p>
        </w:tc>
      </w:tr>
      <w:tr>
        <w:trPr>
          <w:trHeight w:val="203"/>
        </w:trPr>
        <w:tc>
          <w:tcPr>
            <w:tcW w:w="9060" w:type="dxa"/>
            <w:vAlign w:val="bottom"/>
            <w:gridSpan w:val="2"/>
          </w:tcPr>
          <w:p>
            <w:pPr>
              <w:ind w:left="140"/>
              <w:spacing w:after="0"/>
              <w:rPr>
                <w:sz w:val="20"/>
                <w:szCs w:val="20"/>
                <w:color w:val="auto"/>
              </w:rPr>
            </w:pPr>
            <w:r>
              <w:rPr>
                <w:rFonts w:ascii="Arial" w:cs="Arial" w:eastAsia="Arial" w:hAnsi="Arial"/>
                <w:sz w:val="14"/>
                <w:szCs w:val="14"/>
                <w:color w:val="auto"/>
              </w:rPr>
              <w:t>Goodwill resulting from Apellis acquisition</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503.5</w:t>
            </w:r>
          </w:p>
        </w:tc>
      </w:tr>
      <w:tr>
        <w:trPr>
          <w:trHeight w:val="211"/>
        </w:trPr>
        <w:tc>
          <w:tcPr>
            <w:tcW w:w="9060" w:type="dxa"/>
            <w:vAlign w:val="bottom"/>
            <w:gridSpan w:val="2"/>
          </w:tcPr>
          <w:p>
            <w:pPr>
              <w:ind w:left="14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160" w:type="dxa"/>
            <w:vAlign w:val="bottom"/>
            <w:tcBorders>
              <w:bottom w:val="single" w:sz="8" w:color="auto"/>
            </w:tcBorders>
            <w:shd w:val="clear" w:color="auto" w:fill="DBDBDB"/>
          </w:tcPr>
          <w:p>
            <w:pPr>
              <w:spacing w:after="0"/>
              <w:rPr>
                <w:sz w:val="18"/>
                <w:szCs w:val="18"/>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(2.0)</w:t>
            </w:r>
          </w:p>
        </w:tc>
      </w:tr>
      <w:tr>
        <w:trPr>
          <w:trHeight w:val="221"/>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Goodwill, September 30, 2026</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6,992.6</w:t>
            </w:r>
          </w:p>
        </w:tc>
      </w:tr>
      <w:tr>
        <w:trPr>
          <w:trHeight w:val="20"/>
        </w:trPr>
        <w:tc>
          <w:tcPr>
            <w:tcW w:w="8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428625</wp:posOffset>
            </wp:positionV>
            <wp:extent cx="24085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Other includes adjustments related to foreign currency exchange rate fluctuations.</w:t>
      </w:r>
    </w:p>
    <w:p>
      <w:pPr>
        <w:spacing w:after="0" w:line="84"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For additional information on our acquisition of Apellis,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we had no impairment losses related to goodwill.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8:</w:t>
      </w:r>
      <w:r>
        <w:rPr>
          <w:sz w:val="20"/>
          <w:szCs w:val="20"/>
          <w:color w:val="auto"/>
        </w:rPr>
        <w:tab/>
      </w:r>
      <w:r>
        <w:rPr>
          <w:rFonts w:ascii="Arial" w:cs="Arial" w:eastAsia="Arial" w:hAnsi="Arial"/>
          <w:sz w:val="21"/>
          <w:szCs w:val="21"/>
          <w:b w:val="1"/>
          <w:bCs w:val="1"/>
          <w:color w:val="0070C0"/>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09"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Fair Value Measurements on a Recurring Basis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1160" w:type="dxa"/>
            <w:vAlign w:val="bottom"/>
            <w:tcBorders>
              <w:bottom w:val="single" w:sz="8" w:color="auto"/>
            </w:tcBorders>
            <w:shd w:val="clear" w:color="auto" w:fill="DDDDDD"/>
          </w:tcPr>
          <w:p>
            <w:pPr>
              <w:spacing w:after="0"/>
              <w:rPr>
                <w:sz w:val="17"/>
                <w:szCs w:val="17"/>
                <w:color w:val="auto"/>
              </w:rPr>
            </w:pP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3140" w:type="dxa"/>
            <w:vAlign w:val="bottom"/>
            <w:tcBorders>
              <w:bottom w:val="single" w:sz="8" w:color="auto"/>
            </w:tcBorders>
            <w:gridSpan w:val="6"/>
            <w:shd w:val="clear" w:color="auto" w:fill="DDDDDD"/>
          </w:tcPr>
          <w:p>
            <w:pPr>
              <w:ind w:left="560"/>
              <w:spacing w:after="0"/>
              <w:rPr>
                <w:sz w:val="20"/>
                <w:szCs w:val="20"/>
                <w:color w:val="auto"/>
              </w:rPr>
            </w:pPr>
            <w:r>
              <w:rPr>
                <w:rFonts w:ascii="Arial" w:cs="Arial" w:eastAsia="Arial" w:hAnsi="Arial"/>
                <w:sz w:val="14"/>
                <w:szCs w:val="14"/>
                <w:b w:val="1"/>
                <w:bCs w:val="1"/>
                <w:color w:val="257ACB"/>
              </w:rPr>
              <w:t>As of September 30, 2026</w:t>
            </w:r>
          </w:p>
        </w:tc>
        <w:tc>
          <w:tcPr>
            <w:tcW w:w="200" w:type="dxa"/>
            <w:vAlign w:val="bottom"/>
            <w:tcBorders>
              <w:bottom w:val="single" w:sz="8" w:color="auto"/>
            </w:tcBorders>
            <w:shd w:val="clear" w:color="auto" w:fill="DDDDDD"/>
          </w:tcPr>
          <w:p>
            <w:pPr>
              <w:spacing w:after="0"/>
              <w:rPr>
                <w:sz w:val="17"/>
                <w:szCs w:val="17"/>
                <w:color w:val="auto"/>
              </w:rPr>
            </w:pPr>
          </w:p>
        </w:tc>
        <w:tc>
          <w:tcPr>
            <w:tcW w:w="1360" w:type="dxa"/>
            <w:vAlign w:val="bottom"/>
            <w:tcBorders>
              <w:bottom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88"/>
              <w:spacing w:after="0" w:line="143" w:lineRule="exact"/>
              <w:rPr>
                <w:sz w:val="20"/>
                <w:szCs w:val="20"/>
                <w:color w:val="auto"/>
              </w:rPr>
            </w:pPr>
            <w:r>
              <w:rPr>
                <w:rFonts w:ascii="Arial" w:cs="Arial" w:eastAsia="Arial" w:hAnsi="Arial"/>
                <w:sz w:val="14"/>
                <w:szCs w:val="14"/>
                <w:b w:val="1"/>
                <w:bCs w:val="1"/>
                <w:color w:val="auto"/>
              </w:rPr>
              <w:t>Quoted Prices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360" w:type="dxa"/>
            <w:vAlign w:val="bottom"/>
          </w:tcPr>
          <w:p>
            <w:pPr>
              <w:jc w:val="center"/>
              <w:ind w:right="148"/>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08"/>
              <w:spacing w:after="0" w:line="139" w:lineRule="exact"/>
              <w:rPr>
                <w:sz w:val="20"/>
                <w:szCs w:val="20"/>
                <w:color w:val="auto"/>
              </w:rPr>
            </w:pPr>
            <w:r>
              <w:rPr>
                <w:rFonts w:ascii="Arial" w:cs="Arial" w:eastAsia="Arial" w:hAnsi="Arial"/>
                <w:sz w:val="14"/>
                <w:szCs w:val="14"/>
                <w:b w:val="1"/>
                <w:bCs w:val="1"/>
                <w:color w:val="auto"/>
              </w:rPr>
              <w:t>in Active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36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Markets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3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auto"/>
            </w:tcBorders>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4700" w:type="dxa"/>
            <w:vAlign w:val="bottom"/>
            <w:gridSpan w:val="4"/>
          </w:tcPr>
          <w:p>
            <w:pPr>
              <w:ind w:left="20"/>
              <w:spacing w:after="0"/>
              <w:rPr>
                <w:sz w:val="20"/>
                <w:szCs w:val="20"/>
                <w:color w:val="auto"/>
              </w:rPr>
            </w:pPr>
            <w:r>
              <w:rPr>
                <w:rFonts w:ascii="Arial" w:cs="Arial" w:eastAsia="Arial" w:hAnsi="Arial"/>
                <w:sz w:val="14"/>
                <w:szCs w:val="14"/>
                <w:i w:val="1"/>
                <w:iCs w:val="1"/>
                <w:color w:val="auto"/>
              </w:rPr>
              <w:t>Assets:</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60" w:type="dxa"/>
            <w:vAlign w:val="bottom"/>
            <w:gridSpan w:val="3"/>
          </w:tcPr>
          <w:p>
            <w:pPr>
              <w:ind w:left="100"/>
              <w:spacing w:after="0"/>
              <w:rPr>
                <w:sz w:val="20"/>
                <w:szCs w:val="20"/>
                <w:color w:val="auto"/>
              </w:rPr>
            </w:pPr>
            <w:r>
              <w:rPr>
                <w:rFonts w:ascii="Arial" w:cs="Arial" w:eastAsia="Arial" w:hAnsi="Arial"/>
                <w:sz w:val="14"/>
                <w:szCs w:val="14"/>
                <w:color w:val="auto"/>
              </w:rPr>
              <w:t>Cash equivalents</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628.1</w:t>
            </w:r>
          </w:p>
        </w:tc>
        <w:tc>
          <w:tcPr>
            <w:tcW w:w="340" w:type="dxa"/>
            <w:vAlign w:val="bottom"/>
            <w:gridSpan w:val="3"/>
            <w:shd w:val="clear" w:color="auto" w:fill="DBDBDB"/>
          </w:tcPr>
          <w:p>
            <w:pPr>
              <w:ind w:left="160"/>
              <w:spacing w:after="0"/>
              <w:rPr>
                <w:sz w:val="20"/>
                <w:szCs w:val="20"/>
                <w:color w:val="auto"/>
              </w:rPr>
            </w:pPr>
            <w:r>
              <w:rPr>
                <w:rFonts w:ascii="Arial" w:cs="Arial" w:eastAsia="Arial" w:hAnsi="Arial"/>
                <w:sz w:val="14"/>
                <w:szCs w:val="14"/>
                <w:color w:val="257ACB"/>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628.1</w:t>
            </w: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60" w:type="dxa"/>
            <w:vAlign w:val="bottom"/>
            <w:gridSpan w:val="3"/>
          </w:tcPr>
          <w:p>
            <w:pPr>
              <w:ind w:left="100"/>
              <w:spacing w:after="0"/>
              <w:rPr>
                <w:sz w:val="20"/>
                <w:szCs w:val="20"/>
                <w:color w:val="auto"/>
              </w:rPr>
            </w:pPr>
            <w:r>
              <w:rPr>
                <w:rFonts w:ascii="Arial" w:cs="Arial" w:eastAsia="Arial" w:hAnsi="Arial"/>
                <w:sz w:val="14"/>
                <w:szCs w:val="14"/>
                <w:color w:val="auto"/>
              </w:rPr>
              <w:t>Marketable equity securities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97.1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97.1</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54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60" w:type="dxa"/>
            <w:vAlign w:val="bottom"/>
            <w:gridSpan w:val="3"/>
          </w:tcPr>
          <w:p>
            <w:pPr>
              <w:ind w:left="100"/>
              <w:spacing w:after="0"/>
              <w:rPr>
                <w:sz w:val="20"/>
                <w:szCs w:val="20"/>
                <w:color w:val="auto"/>
              </w:rPr>
            </w:pPr>
            <w:r>
              <w:rPr>
                <w:rFonts w:ascii="Arial" w:cs="Arial" w:eastAsia="Arial" w:hAnsi="Arial"/>
                <w:sz w:val="14"/>
                <w:szCs w:val="14"/>
                <w:color w:val="auto"/>
              </w:rPr>
              <w:t>Other current assets: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60" w:type="dxa"/>
            <w:vAlign w:val="bottom"/>
            <w:gridSpan w:val="3"/>
          </w:tcPr>
          <w:p>
            <w:pPr>
              <w:ind w:left="320"/>
              <w:spacing w:after="0"/>
              <w:rPr>
                <w:sz w:val="20"/>
                <w:szCs w:val="20"/>
                <w:color w:val="auto"/>
              </w:rPr>
            </w:pPr>
            <w:r>
              <w:rPr>
                <w:rFonts w:ascii="Arial" w:cs="Arial" w:eastAsia="Arial" w:hAnsi="Arial"/>
                <w:sz w:val="14"/>
                <w:szCs w:val="14"/>
                <w:color w:val="auto"/>
              </w:rPr>
              <w:t>Derivative contracts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32.6</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32.6</w:t>
            </w: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60" w:type="dxa"/>
            <w:vAlign w:val="bottom"/>
            <w:gridSpan w:val="3"/>
          </w:tcPr>
          <w:p>
            <w:pPr>
              <w:ind w:left="100"/>
              <w:spacing w:after="0"/>
              <w:rPr>
                <w:sz w:val="20"/>
                <w:szCs w:val="20"/>
                <w:color w:val="auto"/>
              </w:rPr>
            </w:pPr>
            <w:r>
              <w:rPr>
                <w:rFonts w:ascii="Arial" w:cs="Arial" w:eastAsia="Arial" w:hAnsi="Arial"/>
                <w:sz w:val="14"/>
                <w:szCs w:val="14"/>
                <w:color w:val="auto"/>
              </w:rPr>
              <w:t>Other non-current assets: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660" w:type="dxa"/>
            <w:vAlign w:val="bottom"/>
            <w:gridSpan w:val="3"/>
          </w:tcPr>
          <w:p>
            <w:pPr>
              <w:ind w:left="320"/>
              <w:spacing w:after="0"/>
              <w:rPr>
                <w:sz w:val="20"/>
                <w:szCs w:val="20"/>
                <w:color w:val="auto"/>
              </w:rPr>
            </w:pPr>
            <w:r>
              <w:rPr>
                <w:rFonts w:ascii="Arial" w:cs="Arial" w:eastAsia="Arial" w:hAnsi="Arial"/>
                <w:sz w:val="14"/>
                <w:szCs w:val="14"/>
                <w:color w:val="auto"/>
              </w:rPr>
              <w:t>Convertible notes</w:t>
            </w:r>
            <w:r>
              <w:rPr>
                <w:rFonts w:ascii="Arial" w:cs="Arial" w:eastAsia="Arial" w:hAnsi="Arial"/>
                <w:sz w:val="18"/>
                <w:szCs w:val="18"/>
                <w:color w:val="auto"/>
                <w:vertAlign w:val="superscript"/>
              </w:rPr>
              <w:t>(1)</w:t>
            </w: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35.0</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54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2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35.0</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660" w:type="dxa"/>
            <w:vAlign w:val="bottom"/>
            <w:gridSpan w:val="3"/>
          </w:tcPr>
          <w:p>
            <w:pPr>
              <w:ind w:left="320"/>
              <w:spacing w:after="0"/>
              <w:rPr>
                <w:sz w:val="20"/>
                <w:szCs w:val="20"/>
                <w:color w:val="auto"/>
              </w:rPr>
            </w:pPr>
            <w:r>
              <w:rPr>
                <w:rFonts w:ascii="Arial" w:cs="Arial" w:eastAsia="Arial" w:hAnsi="Arial"/>
                <w:sz w:val="14"/>
                <w:szCs w:val="14"/>
                <w:color w:val="auto"/>
              </w:rPr>
              <w:t>Plan assets for deferred compensation</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62.1</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62.1</w:t>
            </w: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660" w:type="dxa"/>
            <w:vAlign w:val="bottom"/>
            <w:gridSpan w:val="3"/>
          </w:tcPr>
          <w:p>
            <w:pPr>
              <w:ind w:left="300"/>
              <w:spacing w:after="0"/>
              <w:rPr>
                <w:sz w:val="20"/>
                <w:szCs w:val="20"/>
                <w:color w:val="auto"/>
              </w:rPr>
            </w:pPr>
            <w:r>
              <w:rPr>
                <w:rFonts w:ascii="Arial" w:cs="Arial" w:eastAsia="Arial" w:hAnsi="Arial"/>
                <w:sz w:val="14"/>
                <w:szCs w:val="14"/>
                <w:color w:val="auto"/>
              </w:rPr>
              <w:t>Derivative contracts</w:t>
            </w:r>
          </w:p>
        </w:tc>
        <w:tc>
          <w:tcPr>
            <w:tcW w:w="3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w:t>
            </w:r>
          </w:p>
        </w:tc>
        <w:tc>
          <w:tcPr>
            <w:tcW w:w="1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660" w:type="dxa"/>
            <w:vAlign w:val="bottom"/>
            <w:gridSpan w:val="3"/>
          </w:tcPr>
          <w:p>
            <w:pPr>
              <w:ind w:left="5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861.3</w:t>
            </w:r>
          </w:p>
        </w:tc>
        <w:tc>
          <w:tcPr>
            <w:tcW w:w="40" w:type="dxa"/>
            <w:vAlign w:val="bottom"/>
            <w:tcBorders>
              <w:bottom w:val="single" w:sz="8" w:color="auto"/>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97.1</w:t>
            </w:r>
          </w:p>
        </w:tc>
        <w:tc>
          <w:tcPr>
            <w:tcW w:w="20" w:type="dxa"/>
            <w:vAlign w:val="bottom"/>
            <w:tcBorders>
              <w:bottom w:val="single" w:sz="8" w:color="auto"/>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729.2</w:t>
            </w:r>
          </w:p>
        </w:tc>
        <w:tc>
          <w:tcPr>
            <w:tcW w:w="12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35.0</w:t>
            </w:r>
          </w:p>
        </w:tc>
        <w:tc>
          <w:tcPr>
            <w:tcW w:w="0" w:type="dxa"/>
            <w:vAlign w:val="bottom"/>
          </w:tcPr>
          <w:p>
            <w:pPr>
              <w:spacing w:after="0"/>
              <w:rPr>
                <w:sz w:val="1"/>
                <w:szCs w:val="1"/>
                <w:color w:val="auto"/>
              </w:rPr>
            </w:pPr>
          </w:p>
        </w:tc>
      </w:tr>
      <w:tr>
        <w:trPr>
          <w:trHeight w:val="161"/>
        </w:trPr>
        <w:tc>
          <w:tcPr>
            <w:tcW w:w="4700" w:type="dxa"/>
            <w:vAlign w:val="bottom"/>
            <w:gridSpan w:val="4"/>
          </w:tcPr>
          <w:p>
            <w:pPr>
              <w:ind w:left="20"/>
              <w:spacing w:after="0"/>
              <w:rPr>
                <w:sz w:val="20"/>
                <w:szCs w:val="20"/>
                <w:color w:val="auto"/>
              </w:rPr>
            </w:pPr>
            <w:r>
              <w:rPr>
                <w:rFonts w:ascii="Arial" w:cs="Arial" w:eastAsia="Arial" w:hAnsi="Arial"/>
                <w:sz w:val="14"/>
                <w:szCs w:val="14"/>
                <w:i w:val="1"/>
                <w:iCs w:val="1"/>
                <w:color w:val="auto"/>
              </w:rPr>
              <w:t>Liabilities:</w:t>
            </w:r>
          </w:p>
        </w:tc>
        <w:tc>
          <w:tcPr>
            <w:tcW w:w="34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134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60" w:type="dxa"/>
            <w:vAlign w:val="bottom"/>
            <w:gridSpan w:val="3"/>
          </w:tcPr>
          <w:p>
            <w:pPr>
              <w:ind w:left="100"/>
              <w:spacing w:after="0"/>
              <w:rPr>
                <w:sz w:val="20"/>
                <w:szCs w:val="20"/>
                <w:color w:val="auto"/>
              </w:rPr>
            </w:pPr>
            <w:r>
              <w:rPr>
                <w:rFonts w:ascii="Arial" w:cs="Arial" w:eastAsia="Arial" w:hAnsi="Arial"/>
                <w:sz w:val="14"/>
                <w:szCs w:val="14"/>
                <w:color w:val="auto"/>
              </w:rPr>
              <w:t>Other current liabilities: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60" w:type="dxa"/>
            <w:vAlign w:val="bottom"/>
            <w:gridSpan w:val="3"/>
          </w:tcPr>
          <w:p>
            <w:pPr>
              <w:ind w:left="320"/>
              <w:spacing w:after="0"/>
              <w:rPr>
                <w:sz w:val="20"/>
                <w:szCs w:val="20"/>
                <w:color w:val="auto"/>
              </w:rPr>
            </w:pPr>
            <w:r>
              <w:rPr>
                <w:rFonts w:ascii="Arial" w:cs="Arial" w:eastAsia="Arial" w:hAnsi="Arial"/>
                <w:sz w:val="14"/>
                <w:szCs w:val="14"/>
                <w:color w:val="auto"/>
              </w:rPr>
              <w:t>Derivative contracts</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26.9</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26.9</w:t>
            </w: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660" w:type="dxa"/>
            <w:vAlign w:val="bottom"/>
            <w:gridSpan w:val="3"/>
          </w:tcPr>
          <w:p>
            <w:pPr>
              <w:ind w:left="320"/>
              <w:spacing w:after="0"/>
              <w:rPr>
                <w:sz w:val="20"/>
                <w:szCs w:val="20"/>
                <w:color w:val="auto"/>
              </w:rPr>
            </w:pPr>
            <w:r>
              <w:rPr>
                <w:rFonts w:ascii="Arial" w:cs="Arial" w:eastAsia="Arial" w:hAnsi="Arial"/>
                <w:sz w:val="14"/>
                <w:szCs w:val="14"/>
                <w:color w:val="auto"/>
              </w:rPr>
              <w:t>Contingent consideration obligations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152.4</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152.4</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60" w:type="dxa"/>
            <w:vAlign w:val="bottom"/>
            <w:gridSpan w:val="3"/>
          </w:tcPr>
          <w:p>
            <w:pPr>
              <w:ind w:left="80"/>
              <w:spacing w:after="0"/>
              <w:rPr>
                <w:sz w:val="20"/>
                <w:szCs w:val="20"/>
                <w:color w:val="auto"/>
              </w:rPr>
            </w:pPr>
            <w:r>
              <w:rPr>
                <w:rFonts w:ascii="Arial" w:cs="Arial" w:eastAsia="Arial" w:hAnsi="Arial"/>
                <w:sz w:val="14"/>
                <w:szCs w:val="14"/>
                <w:color w:val="auto"/>
              </w:rPr>
              <w:t>Other non-current liabilities: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660" w:type="dxa"/>
            <w:vAlign w:val="bottom"/>
            <w:gridSpan w:val="3"/>
          </w:tcPr>
          <w:p>
            <w:pPr>
              <w:ind w:left="300"/>
              <w:spacing w:after="0"/>
              <w:rPr>
                <w:sz w:val="20"/>
                <w:szCs w:val="20"/>
                <w:color w:val="auto"/>
              </w:rPr>
            </w:pPr>
            <w:r>
              <w:rPr>
                <w:rFonts w:ascii="Arial" w:cs="Arial" w:eastAsia="Arial" w:hAnsi="Arial"/>
                <w:sz w:val="14"/>
                <w:szCs w:val="14"/>
                <w:color w:val="auto"/>
              </w:rPr>
              <w:t>Contingent consideration obligations</w:t>
            </w:r>
          </w:p>
        </w:tc>
        <w:tc>
          <w:tcPr>
            <w:tcW w:w="3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121.5</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121.5</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660" w:type="dxa"/>
            <w:vAlign w:val="bottom"/>
            <w:gridSpan w:val="3"/>
          </w:tcPr>
          <w:p>
            <w:pPr>
              <w:ind w:left="5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300.8</w:t>
            </w:r>
          </w:p>
        </w:tc>
        <w:tc>
          <w:tcPr>
            <w:tcW w:w="4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26.9</w:t>
            </w:r>
          </w:p>
        </w:tc>
        <w:tc>
          <w:tcPr>
            <w:tcW w:w="12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273.9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 w:type="dxa"/>
            <w:vAlign w:val="bottom"/>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140" w:hanging="172"/>
        <w:spacing w:after="0" w:line="353" w:lineRule="auto"/>
        <w:tabs>
          <w:tab w:leader="none" w:pos="15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 xml:space="preserve">Convertible notes includes a $30.0 million convertible note we invested in City Therapeutics as part of our strategic research arrangement with the company during 2025, as well as a $5.0 million convertible note we invested into Neela Therapeutics, Inc. during 2025. We elected the fair value option for both convertible notes. For additional information on the arrangement with City Therapeutics, please read </w:t>
      </w:r>
      <w:r>
        <w:rPr>
          <w:rFonts w:ascii="Arial" w:cs="Arial" w:eastAsia="Arial" w:hAnsi="Arial"/>
          <w:sz w:val="14"/>
          <w:szCs w:val="14"/>
          <w:i w:val="1"/>
          <w:iCs w:val="1"/>
          <w:color w:val="auto"/>
        </w:rPr>
        <w:t>Note 19, Collaborative and Other Relationships,</w:t>
      </w:r>
      <w:r>
        <w:rPr>
          <w:rFonts w:ascii="Arial" w:cs="Arial" w:eastAsia="Arial" w:hAnsi="Arial"/>
          <w:sz w:val="14"/>
          <w:szCs w:val="14"/>
          <w:color w:val="auto"/>
        </w:rPr>
        <w:t xml:space="preserve"> to our consolidated financial statements included in our 2025 Form 10-K.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Fair Value Measurements on a Recurring Basis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As of December 31, 2025</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Quoted Prices</w:t>
            </w:r>
          </w:p>
        </w:tc>
        <w:tc>
          <w:tcPr>
            <w:tcW w:w="120" w:type="dxa"/>
            <w:vAlign w:val="bottom"/>
          </w:tcPr>
          <w:p>
            <w:pPr>
              <w:spacing w:after="0"/>
              <w:rPr>
                <w:sz w:val="12"/>
                <w:szCs w:val="12"/>
                <w:color w:val="auto"/>
              </w:rPr>
            </w:pPr>
          </w:p>
        </w:tc>
        <w:tc>
          <w:tcPr>
            <w:tcW w:w="15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360" w:type="dxa"/>
            <w:vAlign w:val="bottom"/>
          </w:tcPr>
          <w:p>
            <w:pPr>
              <w:jc w:val="center"/>
              <w:ind w:right="148"/>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in Active</w:t>
            </w:r>
          </w:p>
        </w:tc>
        <w:tc>
          <w:tcPr>
            <w:tcW w:w="120" w:type="dxa"/>
            <w:vAlign w:val="bottom"/>
          </w:tcPr>
          <w:p>
            <w:pPr>
              <w:spacing w:after="0"/>
              <w:rPr>
                <w:sz w:val="12"/>
                <w:szCs w:val="12"/>
                <w:color w:val="auto"/>
              </w:rPr>
            </w:pPr>
          </w:p>
        </w:tc>
        <w:tc>
          <w:tcPr>
            <w:tcW w:w="15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36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9"/>
        </w:trPr>
        <w:tc>
          <w:tcPr>
            <w:tcW w:w="4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Markets</w:t>
            </w:r>
          </w:p>
        </w:tc>
        <w:tc>
          <w:tcPr>
            <w:tcW w:w="120" w:type="dxa"/>
            <w:vAlign w:val="bottom"/>
          </w:tcPr>
          <w:p>
            <w:pPr>
              <w:spacing w:after="0"/>
              <w:rPr>
                <w:sz w:val="12"/>
                <w:szCs w:val="12"/>
                <w:color w:val="auto"/>
              </w:rPr>
            </w:pPr>
          </w:p>
        </w:tc>
        <w:tc>
          <w:tcPr>
            <w:tcW w:w="154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36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auto"/>
            </w:tcBorders>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4680" w:type="dxa"/>
            <w:vAlign w:val="bottom"/>
            <w:gridSpan w:val="4"/>
          </w:tcPr>
          <w:p>
            <w:pPr>
              <w:ind w:left="20"/>
              <w:spacing w:after="0"/>
              <w:rPr>
                <w:sz w:val="20"/>
                <w:szCs w:val="20"/>
                <w:color w:val="auto"/>
              </w:rPr>
            </w:pPr>
            <w:r>
              <w:rPr>
                <w:rFonts w:ascii="Arial" w:cs="Arial" w:eastAsia="Arial" w:hAnsi="Arial"/>
                <w:sz w:val="14"/>
                <w:szCs w:val="14"/>
                <w:i w:val="1"/>
                <w:iCs w:val="1"/>
                <w:color w:val="auto"/>
              </w:rPr>
              <w:t>Assets: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Cash equivalents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2,233.2</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2,233.2</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Marketable debt securities: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Corporate debt securities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537.6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537.6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Government securities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648.8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648.8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Mortgage and other asset backed securities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Marketable equity securities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118.1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Other current assets: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Derivative contracts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Other non-current assets: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Convertible notes</w:t>
            </w:r>
            <w:r>
              <w:rPr>
                <w:rFonts w:ascii="Arial" w:cs="Arial" w:eastAsia="Arial" w:hAnsi="Arial"/>
                <w:sz w:val="18"/>
                <w:szCs w:val="18"/>
                <w:color w:val="auto"/>
                <w:vertAlign w:val="superscript"/>
              </w:rPr>
              <w:t>(1)</w:t>
            </w:r>
          </w:p>
        </w:tc>
        <w:tc>
          <w:tcPr>
            <w:tcW w:w="36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Plan assets for deferred compensation</w:t>
            </w: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Derivative contracts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640" w:type="dxa"/>
            <w:vAlign w:val="bottom"/>
            <w:gridSpan w:val="3"/>
          </w:tcPr>
          <w:p>
            <w:pPr>
              <w:ind w:left="520"/>
              <w:spacing w:after="0"/>
              <w:rPr>
                <w:sz w:val="20"/>
                <w:szCs w:val="20"/>
                <w:color w:val="auto"/>
              </w:rPr>
            </w:pPr>
            <w:r>
              <w:rPr>
                <w:rFonts w:ascii="Arial" w:cs="Arial" w:eastAsia="Arial" w:hAnsi="Arial"/>
                <w:sz w:val="14"/>
                <w:szCs w:val="14"/>
                <w:color w:val="auto"/>
              </w:rPr>
              <w:t>Total</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3,688.0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3,534.9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1"/>
        </w:trPr>
        <w:tc>
          <w:tcPr>
            <w:tcW w:w="4680" w:type="dxa"/>
            <w:vAlign w:val="bottom"/>
            <w:gridSpan w:val="4"/>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68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Other current liabilities: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220"/>
              <w:spacing w:after="0"/>
              <w:rPr>
                <w:sz w:val="20"/>
                <w:szCs w:val="20"/>
                <w:color w:val="auto"/>
              </w:rPr>
            </w:pPr>
            <w:r>
              <w:rPr>
                <w:rFonts w:ascii="Arial" w:cs="Arial" w:eastAsia="Arial" w:hAnsi="Arial"/>
                <w:sz w:val="14"/>
                <w:szCs w:val="14"/>
                <w:color w:val="auto"/>
              </w:rPr>
              <w:t>Derivative contracts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Other non-current liabilities: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220"/>
              <w:spacing w:after="0"/>
              <w:rPr>
                <w:sz w:val="20"/>
                <w:szCs w:val="20"/>
                <w:color w:val="auto"/>
              </w:rPr>
            </w:pPr>
            <w:r>
              <w:rPr>
                <w:rFonts w:ascii="Arial" w:cs="Arial" w:eastAsia="Arial" w:hAnsi="Arial"/>
                <w:sz w:val="14"/>
                <w:szCs w:val="14"/>
                <w:color w:val="auto"/>
              </w:rPr>
              <w:t>Derivative contracts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640" w:type="dxa"/>
            <w:vAlign w:val="bottom"/>
            <w:gridSpan w:val="3"/>
          </w:tcPr>
          <w:p>
            <w:pPr>
              <w:ind w:left="220"/>
              <w:spacing w:after="0"/>
              <w:rPr>
                <w:sz w:val="20"/>
                <w:szCs w:val="20"/>
                <w:color w:val="auto"/>
              </w:rPr>
            </w:pPr>
            <w:r>
              <w:rPr>
                <w:rFonts w:ascii="Arial" w:cs="Arial" w:eastAsia="Arial" w:hAnsi="Arial"/>
                <w:sz w:val="14"/>
                <w:szCs w:val="14"/>
                <w:color w:val="auto"/>
              </w:rPr>
              <w:t>Contingent consideration obligations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640" w:type="dxa"/>
            <w:vAlign w:val="bottom"/>
            <w:gridSpan w:val="3"/>
          </w:tcPr>
          <w:p>
            <w:pPr>
              <w:ind w:left="52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305.3</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246.4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80" w:right="140" w:hanging="172"/>
        <w:spacing w:after="0" w:line="280" w:lineRule="auto"/>
        <w:tabs>
          <w:tab w:leader="none" w:pos="158" w:val="left"/>
        </w:tabs>
        <w:numPr>
          <w:ilvl w:val="0"/>
          <w:numId w:val="13"/>
        </w:numPr>
        <w:rPr>
          <w:rFonts w:ascii="Arial" w:cs="Arial" w:eastAsia="Arial" w:hAnsi="Arial"/>
          <w:sz w:val="9"/>
          <w:szCs w:val="9"/>
          <w:color w:val="auto"/>
        </w:rPr>
      </w:pPr>
      <w:r>
        <w:rPr>
          <w:rFonts w:ascii="Arial" w:cs="Arial" w:eastAsia="Arial" w:hAnsi="Arial"/>
          <w:sz w:val="14"/>
          <w:szCs w:val="14"/>
          <w:color w:val="auto"/>
        </w:rPr>
        <w:t xml:space="preserve">Convertible notes includes a $30.0 million convertible note we invested in City Therapeutics as part of our strategic research arrangement with the company during 2025, as well as a $5.0 million convertible note we invested into Neela Therapeutics, Inc. during 2025. We elected the fair value option for both convertible notes. For additional information on the arrangement with City Therapeutics, please read </w:t>
      </w:r>
      <w:r>
        <w:rPr>
          <w:rFonts w:ascii="Arial" w:cs="Arial" w:eastAsia="Arial" w:hAnsi="Arial"/>
          <w:sz w:val="14"/>
          <w:szCs w:val="14"/>
          <w:i w:val="1"/>
          <w:iCs w:val="1"/>
          <w:color w:val="auto"/>
        </w:rPr>
        <w:t>Note 19, Collaborative and Other Relationships,</w:t>
      </w:r>
      <w:r>
        <w:rPr>
          <w:rFonts w:ascii="Arial" w:cs="Arial" w:eastAsia="Arial" w:hAnsi="Arial"/>
          <w:sz w:val="14"/>
          <w:szCs w:val="14"/>
          <w:color w:val="auto"/>
        </w:rPr>
        <w:t xml:space="preserve"> to our consolidated financial statements included in our 2025 Form 10-K.</w:t>
      </w:r>
    </w:p>
    <w:p>
      <w:pPr>
        <w:spacing w:after="0" w:line="2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Our marketable equity securities represent investments in publicly traded equity securities. Our ability to liquidate our investment in Denali may be limited by the size of our interest, the volume of market-related activity, our concentrated level of ownership and potential restrictions resulting from our status as a collaborator. Therefore, we may realize significantly less than the current value of such investments. For additional information on our investment in Denali common stock, please read </w:t>
      </w:r>
      <w:r>
        <w:rPr>
          <w:rFonts w:ascii="Arial" w:cs="Arial" w:eastAsia="Arial" w:hAnsi="Arial"/>
          <w:sz w:val="18"/>
          <w:szCs w:val="18"/>
          <w:i w:val="1"/>
          <w:iCs w:val="1"/>
          <w:color w:val="auto"/>
        </w:rPr>
        <w:t>Note 9, Financial Instruments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18,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 Detail</w:t>
      </w:r>
      <w:r>
        <w:rPr>
          <w:rFonts w:ascii="Arial" w:cs="Arial" w:eastAsia="Arial" w:hAnsi="Arial"/>
          <w:sz w:val="18"/>
          <w:szCs w:val="18"/>
          <w:color w:val="auto"/>
        </w:rPr>
        <w:t>, to these condensed consolidated financial statements.</w:t>
      </w:r>
    </w:p>
    <w:p>
      <w:pPr>
        <w:spacing w:after="0" w:line="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There have been no material impairments of our assets measured and carried at fair value nor changes to our valuation techniques as of September 30, 2026 and December 31, 2025.</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For a description of our validation procedures related to prices provided by third-party pricing services and our option pricing valuation model, please read </w:t>
      </w:r>
      <w:r>
        <w:rPr>
          <w:rFonts w:ascii="Arial" w:cs="Arial" w:eastAsia="Arial" w:hAnsi="Arial"/>
          <w:sz w:val="18"/>
          <w:szCs w:val="18"/>
          <w:i w:val="1"/>
          <w:iCs w:val="1"/>
          <w:color w:val="auto"/>
        </w:rPr>
        <w:t>Note 1, Summary of Significant Accounting Policies - Fair Value Measurements,</w:t>
      </w:r>
      <w:r>
        <w:rPr>
          <w:rFonts w:ascii="Arial" w:cs="Arial" w:eastAsia="Arial" w:hAnsi="Arial"/>
          <w:sz w:val="18"/>
          <w:szCs w:val="18"/>
          <w:color w:val="auto"/>
        </w:rPr>
        <w:t xml:space="preserve"> to our consolidated financial statements included in our 2025 Form 10-K.</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Level 3 Assets and Liabilities Held at Fair Value</w:t>
      </w:r>
    </w:p>
    <w:p>
      <w:pPr>
        <w:spacing w:after="0" w:line="10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following tables present quantitative information, as of the dates indicated, about the valuation techniques and significant unobservable inputs used in the valuation of our Level 3 financial assets and liabilities measured at fair value on a recurring basis: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760" w:type="dxa"/>
            <w:vAlign w:val="bottom"/>
            <w:tcBorders>
              <w:bottom w:val="single" w:sz="8" w:color="auto"/>
            </w:tcBorders>
            <w:shd w:val="clear" w:color="auto" w:fill="DBDBDB"/>
          </w:tcPr>
          <w:p>
            <w:pPr>
              <w:spacing w:after="0"/>
              <w:rPr>
                <w:sz w:val="17"/>
                <w:szCs w:val="17"/>
                <w:color w:val="auto"/>
              </w:rPr>
            </w:pPr>
          </w:p>
        </w:tc>
        <w:tc>
          <w:tcPr>
            <w:tcW w:w="2360" w:type="dxa"/>
            <w:vAlign w:val="bottom"/>
            <w:tcBorders>
              <w:bottom w:val="single" w:sz="8" w:color="auto"/>
            </w:tcBorders>
            <w:gridSpan w:val="3"/>
            <w:shd w:val="clear" w:color="auto" w:fill="DBDBDB"/>
          </w:tcPr>
          <w:p>
            <w:pPr>
              <w:jc w:val="center"/>
              <w:ind w:right="620"/>
              <w:spacing w:after="0"/>
              <w:rPr>
                <w:sz w:val="20"/>
                <w:szCs w:val="20"/>
                <w:color w:val="auto"/>
              </w:rPr>
            </w:pPr>
            <w:r>
              <w:rPr>
                <w:rFonts w:ascii="Arial" w:cs="Arial" w:eastAsia="Arial" w:hAnsi="Arial"/>
                <w:sz w:val="14"/>
                <w:szCs w:val="14"/>
                <w:b w:val="1"/>
                <w:bCs w:val="1"/>
                <w:color w:val="0070C0"/>
              </w:rPr>
              <w:t>As of September 30, 2026</w:t>
            </w:r>
          </w:p>
        </w:tc>
        <w:tc>
          <w:tcPr>
            <w:tcW w:w="11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44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17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80" w:type="dxa"/>
            <w:vAlign w:val="bottom"/>
          </w:tcPr>
          <w:p>
            <w:pPr>
              <w:spacing w:after="0"/>
              <w:rPr>
                <w:sz w:val="12"/>
                <w:szCs w:val="12"/>
                <w:color w:val="auto"/>
              </w:rPr>
            </w:pPr>
          </w:p>
        </w:tc>
        <w:tc>
          <w:tcPr>
            <w:tcW w:w="22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Significant</w:t>
            </w: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Range</w:t>
            </w:r>
          </w:p>
        </w:tc>
        <w:tc>
          <w:tcPr>
            <w:tcW w:w="80" w:type="dxa"/>
            <w:vAlign w:val="bottom"/>
          </w:tcPr>
          <w:p>
            <w:pPr>
              <w:spacing w:after="0"/>
              <w:rPr>
                <w:sz w:val="12"/>
                <w:szCs w:val="12"/>
                <w:color w:val="auto"/>
              </w:rPr>
            </w:pPr>
          </w:p>
        </w:tc>
        <w:tc>
          <w:tcPr>
            <w:tcW w:w="14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2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gridSpan w:val="2"/>
          </w:tcPr>
          <w:p>
            <w:pPr>
              <w:ind w:left="20"/>
              <w:spacing w:after="0"/>
              <w:rPr>
                <w:sz w:val="20"/>
                <w:szCs w:val="20"/>
                <w:color w:val="auto"/>
              </w:rPr>
            </w:pPr>
            <w:r>
              <w:rPr>
                <w:rFonts w:ascii="Arial" w:cs="Arial" w:eastAsia="Arial" w:hAnsi="Arial"/>
                <w:sz w:val="14"/>
                <w:szCs w:val="14"/>
                <w:i w:val="1"/>
                <w:iCs w:val="1"/>
                <w:color w:val="auto"/>
              </w:rPr>
              <w:t>Liabilities: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Contingent consideration obligations</w:t>
            </w:r>
          </w:p>
        </w:tc>
        <w:tc>
          <w:tcPr>
            <w:tcW w:w="240" w:type="dxa"/>
            <w:vAlign w:val="bottom"/>
            <w:shd w:val="clear" w:color="auto" w:fill="B6B6B6"/>
          </w:tcPr>
          <w:p>
            <w:pPr>
              <w:jc w:val="right"/>
              <w:ind w:right="68"/>
              <w:spacing w:after="0"/>
              <w:rPr>
                <w:sz w:val="20"/>
                <w:szCs w:val="20"/>
                <w:color w:val="auto"/>
              </w:rPr>
            </w:pPr>
            <w:r>
              <w:rPr>
                <w:rFonts w:ascii="Arial" w:cs="Arial" w:eastAsia="Arial" w:hAnsi="Arial"/>
                <w:sz w:val="14"/>
                <w:szCs w:val="14"/>
                <w:color w:val="0070C0"/>
              </w:rPr>
              <w:t>$</w:t>
            </w:r>
          </w:p>
        </w:tc>
        <w:tc>
          <w:tcPr>
            <w:tcW w:w="1180" w:type="dxa"/>
            <w:vAlign w:val="bottom"/>
            <w:shd w:val="clear" w:color="auto" w:fill="B6B6B6"/>
          </w:tcPr>
          <w:p>
            <w:pPr>
              <w:jc w:val="right"/>
              <w:ind w:right="8"/>
              <w:spacing w:after="0"/>
              <w:rPr>
                <w:sz w:val="20"/>
                <w:szCs w:val="20"/>
                <w:color w:val="auto"/>
              </w:rPr>
            </w:pPr>
            <w:r>
              <w:rPr>
                <w:rFonts w:ascii="Arial" w:cs="Arial" w:eastAsia="Arial" w:hAnsi="Arial"/>
                <w:sz w:val="14"/>
                <w:szCs w:val="14"/>
                <w:color w:val="0070C0"/>
              </w:rPr>
              <w:t>269.8</w:t>
            </w:r>
          </w:p>
        </w:tc>
        <w:tc>
          <w:tcPr>
            <w:tcW w:w="80" w:type="dxa"/>
            <w:vAlign w:val="bottom"/>
          </w:tcPr>
          <w:p>
            <w:pPr>
              <w:spacing w:after="0"/>
              <w:rPr>
                <w:sz w:val="18"/>
                <w:szCs w:val="18"/>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Discounted cash flow</w:t>
            </w:r>
          </w:p>
        </w:tc>
        <w:tc>
          <w:tcPr>
            <w:tcW w:w="80" w:type="dxa"/>
            <w:vAlign w:val="bottom"/>
          </w:tcPr>
          <w:p>
            <w:pPr>
              <w:spacing w:after="0"/>
              <w:rPr>
                <w:sz w:val="18"/>
                <w:szCs w:val="18"/>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1120" w:type="dxa"/>
            <w:vAlign w:val="bottom"/>
            <w:shd w:val="clear" w:color="auto" w:fill="B6B6B6"/>
          </w:tcPr>
          <w:p>
            <w:pPr>
              <w:jc w:val="center"/>
              <w:spacing w:after="0"/>
              <w:rPr>
                <w:sz w:val="20"/>
                <w:szCs w:val="20"/>
                <w:color w:val="auto"/>
              </w:rPr>
            </w:pPr>
            <w:r>
              <w:rPr>
                <w:rFonts w:ascii="Arial" w:cs="Arial" w:eastAsia="Arial" w:hAnsi="Arial"/>
                <w:sz w:val="14"/>
                <w:szCs w:val="14"/>
                <w:color w:val="0070C0"/>
              </w:rPr>
              <w:t>6.9%</w:t>
            </w:r>
          </w:p>
        </w:tc>
        <w:tc>
          <w:tcPr>
            <w:tcW w:w="80" w:type="dxa"/>
            <w:vAlign w:val="bottom"/>
          </w:tcPr>
          <w:p>
            <w:pPr>
              <w:spacing w:after="0"/>
              <w:rPr>
                <w:sz w:val="18"/>
                <w:szCs w:val="18"/>
                <w:color w:val="auto"/>
              </w:rPr>
            </w:pPr>
          </w:p>
        </w:tc>
        <w:tc>
          <w:tcPr>
            <w:tcW w:w="1440" w:type="dxa"/>
            <w:vAlign w:val="bottom"/>
            <w:shd w:val="clear" w:color="auto" w:fill="B6B6B6"/>
          </w:tcPr>
          <w:p>
            <w:pPr>
              <w:jc w:val="center"/>
              <w:spacing w:after="0"/>
              <w:rPr>
                <w:sz w:val="20"/>
                <w:szCs w:val="20"/>
                <w:color w:val="auto"/>
              </w:rPr>
            </w:pPr>
            <w:r>
              <w:rPr>
                <w:rFonts w:ascii="Arial" w:cs="Arial" w:eastAsia="Arial" w:hAnsi="Arial"/>
                <w:sz w:val="14"/>
                <w:szCs w:val="14"/>
                <w:color w:val="0070C0"/>
              </w:rPr>
              <w:t>6.9%</w:t>
            </w: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Expected timing of achievement</w:t>
            </w:r>
          </w:p>
        </w:tc>
        <w:tc>
          <w:tcPr>
            <w:tcW w:w="1120" w:type="dxa"/>
            <w:vAlign w:val="bottom"/>
            <w:vMerge w:val="restart"/>
            <w:shd w:val="clear" w:color="auto" w:fill="B6B6B6"/>
          </w:tcPr>
          <w:p>
            <w:pPr>
              <w:jc w:val="center"/>
              <w:spacing w:after="0"/>
              <w:rPr>
                <w:sz w:val="20"/>
                <w:szCs w:val="20"/>
                <w:color w:val="auto"/>
              </w:rPr>
            </w:pPr>
            <w:r>
              <w:rPr>
                <w:rFonts w:ascii="Arial" w:cs="Arial" w:eastAsia="Arial" w:hAnsi="Arial"/>
                <w:sz w:val="14"/>
                <w:szCs w:val="14"/>
                <w:color w:val="0070C0"/>
              </w:rPr>
              <w:t>2027 - 2028</w:t>
            </w:r>
          </w:p>
        </w:tc>
        <w:tc>
          <w:tcPr>
            <w:tcW w:w="80" w:type="dxa"/>
            <w:vAlign w:val="bottom"/>
          </w:tcPr>
          <w:p>
            <w:pPr>
              <w:spacing w:after="0"/>
              <w:rPr>
                <w:sz w:val="13"/>
                <w:szCs w:val="13"/>
                <w:color w:val="auto"/>
              </w:rPr>
            </w:pPr>
          </w:p>
        </w:tc>
        <w:tc>
          <w:tcPr>
            <w:tcW w:w="1440" w:type="dxa"/>
            <w:vAlign w:val="bottom"/>
            <w:vMerge w:val="restart"/>
            <w:shd w:val="clear" w:color="auto" w:fill="B6B6B6"/>
          </w:tcPr>
          <w:p>
            <w:pPr>
              <w:jc w:val="center"/>
              <w:spacing w:after="0"/>
              <w:rPr>
                <w:sz w:val="20"/>
                <w:szCs w:val="20"/>
                <w:color w:val="auto"/>
              </w:rPr>
            </w:pPr>
            <w:r>
              <w:rPr>
                <w:rFonts w:ascii="Arial" w:cs="Arial" w:eastAsia="Arial" w:hAnsi="Arial"/>
                <w:sz w:val="14"/>
                <w:szCs w:val="14"/>
                <w:color w:val="0070C0"/>
                <w:w w:val="99"/>
              </w:rPr>
              <w:t>—</w:t>
            </w:r>
          </w:p>
        </w:tc>
        <w:tc>
          <w:tcPr>
            <w:tcW w:w="0" w:type="dxa"/>
            <w:vAlign w:val="bottom"/>
          </w:tcPr>
          <w:p>
            <w:pPr>
              <w:spacing w:after="0"/>
              <w:rPr>
                <w:sz w:val="1"/>
                <w:szCs w:val="1"/>
                <w:color w:val="auto"/>
              </w:rPr>
            </w:pPr>
          </w:p>
        </w:tc>
      </w:tr>
      <w:tr>
        <w:trPr>
          <w:trHeight w:val="185"/>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of development milestones</w:t>
            </w:r>
          </w:p>
        </w:tc>
        <w:tc>
          <w:tcPr>
            <w:tcW w:w="1120" w:type="dxa"/>
            <w:vAlign w:val="bottom"/>
            <w:vMerge w:val="continue"/>
            <w:shd w:val="clear" w:color="auto" w:fill="B6B6B6"/>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As of December 31, 2025</w:t>
            </w: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17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80" w:type="dxa"/>
            <w:vAlign w:val="bottom"/>
          </w:tcPr>
          <w:p>
            <w:pPr>
              <w:spacing w:after="0"/>
              <w:rPr>
                <w:sz w:val="12"/>
                <w:szCs w:val="12"/>
                <w:color w:val="auto"/>
              </w:rPr>
            </w:pPr>
          </w:p>
        </w:tc>
        <w:tc>
          <w:tcPr>
            <w:tcW w:w="22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Significant</w:t>
            </w: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Range</w:t>
            </w:r>
          </w:p>
        </w:tc>
        <w:tc>
          <w:tcPr>
            <w:tcW w:w="80" w:type="dxa"/>
            <w:vAlign w:val="bottom"/>
          </w:tcPr>
          <w:p>
            <w:pPr>
              <w:spacing w:after="0"/>
              <w:rPr>
                <w:sz w:val="12"/>
                <w:szCs w:val="12"/>
                <w:color w:val="auto"/>
              </w:rPr>
            </w:pPr>
          </w:p>
        </w:tc>
        <w:tc>
          <w:tcPr>
            <w:tcW w:w="14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2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gridSpan w:val="2"/>
          </w:tcPr>
          <w:p>
            <w:pPr>
              <w:ind w:left="20"/>
              <w:spacing w:after="0"/>
              <w:rPr>
                <w:sz w:val="20"/>
                <w:szCs w:val="20"/>
                <w:color w:val="auto"/>
              </w:rPr>
            </w:pPr>
            <w:r>
              <w:rPr>
                <w:rFonts w:ascii="Arial" w:cs="Arial" w:eastAsia="Arial" w:hAnsi="Arial"/>
                <w:sz w:val="14"/>
                <w:szCs w:val="14"/>
                <w:i w:val="1"/>
                <w:iCs w:val="1"/>
                <w:color w:val="auto"/>
              </w:rPr>
              <w:t>Liabilities: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Contingent consideration obligations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246.4</w:t>
            </w:r>
          </w:p>
        </w:tc>
        <w:tc>
          <w:tcPr>
            <w:tcW w:w="80" w:type="dxa"/>
            <w:vAlign w:val="bottom"/>
          </w:tcPr>
          <w:p>
            <w:pPr>
              <w:spacing w:after="0"/>
              <w:rPr>
                <w:sz w:val="17"/>
                <w:szCs w:val="17"/>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Discounted cash flow</w:t>
            </w:r>
          </w:p>
        </w:tc>
        <w:tc>
          <w:tcPr>
            <w:tcW w:w="80" w:type="dxa"/>
            <w:vAlign w:val="bottom"/>
          </w:tcPr>
          <w:p>
            <w:pPr>
              <w:spacing w:after="0"/>
              <w:rPr>
                <w:sz w:val="17"/>
                <w:szCs w:val="17"/>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1120" w:type="dxa"/>
            <w:vAlign w:val="bottom"/>
          </w:tcPr>
          <w:p>
            <w:pPr>
              <w:jc w:val="center"/>
              <w:spacing w:after="0"/>
              <w:rPr>
                <w:sz w:val="20"/>
                <w:szCs w:val="20"/>
                <w:color w:val="auto"/>
              </w:rPr>
            </w:pPr>
            <w:r>
              <w:rPr>
                <w:rFonts w:ascii="Arial" w:cs="Arial" w:eastAsia="Arial" w:hAnsi="Arial"/>
                <w:sz w:val="14"/>
                <w:szCs w:val="14"/>
                <w:color w:val="auto"/>
              </w:rPr>
              <w:t>5.3% - 5.4%</w:t>
            </w:r>
          </w:p>
        </w:tc>
        <w:tc>
          <w:tcPr>
            <w:tcW w:w="1520" w:type="dxa"/>
            <w:vAlign w:val="bottom"/>
            <w:gridSpan w:val="2"/>
          </w:tcPr>
          <w:p>
            <w:pPr>
              <w:jc w:val="center"/>
              <w:ind w:left="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Expected timing of achievement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2028 - 2030</w:t>
            </w:r>
          </w:p>
        </w:tc>
        <w:tc>
          <w:tcPr>
            <w:tcW w:w="8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of development milestones</w:t>
            </w: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weighted average discount rates were calculated based on the relative fair values of each distinct contingent consideration obligation related to our acquisition of HI-Bio in July 2024. In addition, we apply various probabilities of technological and regulatory success to the valuation models to estimate the fair values of these contingent consideration obligations, which ranged from approximately 75.0% to approximately 95.0% as of September 30, 2026.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into or out of Level 3 as of September 30, 2026 and December 31, 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Contingent Consideration Obligations</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connection with our acquisition of HI-Bio in July 2024 and our acquisition of Apellis in May 2026 we agreed to make additional payments based upon the achievement of certain milestone events. The following table provides a roll forward of the fair value of our contingent consideration obligations, which were classified as Level 3 measurements:</w:t>
      </w: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2"/>
                <w:szCs w:val="12"/>
                <w:color w:val="auto"/>
              </w:rPr>
            </w:pPr>
          </w:p>
        </w:tc>
        <w:tc>
          <w:tcPr>
            <w:tcW w:w="2300" w:type="dxa"/>
            <w:vAlign w:val="bottom"/>
            <w:gridSpan w:val="4"/>
          </w:tcPr>
          <w:p>
            <w:pPr>
              <w:jc w:val="right"/>
              <w:ind w:right="248"/>
              <w:spacing w:after="0" w:line="149" w:lineRule="exact"/>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3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0070C0"/>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DDDDD"/>
          </w:tcPr>
          <w:p>
            <w:pPr>
              <w:spacing w:after="0"/>
              <w:rPr>
                <w:sz w:val="16"/>
                <w:szCs w:val="16"/>
                <w:color w:val="auto"/>
              </w:rPr>
            </w:pPr>
          </w:p>
        </w:tc>
        <w:tc>
          <w:tcPr>
            <w:tcW w:w="1000" w:type="dxa"/>
            <w:vAlign w:val="bottom"/>
            <w:tcBorders>
              <w:top w:val="single" w:sz="8" w:color="auto"/>
              <w:bottom w:val="single" w:sz="8" w:color="auto"/>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r>
      <w:tr>
        <w:trPr>
          <w:trHeight w:val="189"/>
        </w:trPr>
        <w:tc>
          <w:tcPr>
            <w:tcW w:w="6180" w:type="dxa"/>
            <w:vAlign w:val="bottom"/>
            <w:gridSpan w:val="2"/>
          </w:tcPr>
          <w:p>
            <w:pPr>
              <w:ind w:left="20"/>
              <w:spacing w:after="0"/>
              <w:rPr>
                <w:sz w:val="20"/>
                <w:szCs w:val="20"/>
                <w:color w:val="auto"/>
              </w:rPr>
            </w:pPr>
            <w:r>
              <w:rPr>
                <w:rFonts w:ascii="Arial" w:cs="Arial" w:eastAsia="Arial" w:hAnsi="Arial"/>
                <w:sz w:val="14"/>
                <w:szCs w:val="14"/>
                <w:color w:val="auto"/>
              </w:rPr>
              <w:t>Fair value, beginning of period</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273.5</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534.9</w:t>
            </w:r>
          </w:p>
        </w:tc>
        <w:tc>
          <w:tcPr>
            <w:tcW w:w="10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246.4</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512.8</w:t>
            </w:r>
          </w:p>
        </w:tc>
      </w:tr>
      <w:tr>
        <w:trPr>
          <w:trHeight w:val="203"/>
        </w:trPr>
        <w:tc>
          <w:tcPr>
            <w:tcW w:w="6180" w:type="dxa"/>
            <w:vAlign w:val="bottom"/>
            <w:gridSpan w:val="2"/>
          </w:tcPr>
          <w:p>
            <w:pPr>
              <w:ind w:left="240"/>
              <w:spacing w:after="0"/>
              <w:rPr>
                <w:sz w:val="20"/>
                <w:szCs w:val="20"/>
                <w:color w:val="auto"/>
              </w:rPr>
            </w:pPr>
            <w:r>
              <w:rPr>
                <w:rFonts w:ascii="Arial" w:cs="Arial" w:eastAsia="Arial" w:hAnsi="Arial"/>
                <w:sz w:val="14"/>
                <w:szCs w:val="14"/>
                <w:color w:val="auto"/>
              </w:rPr>
              <w:t>Contingent consideration related to the acquisition of Apellis</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180" w:type="dxa"/>
            <w:vAlign w:val="bottom"/>
            <w:gridSpan w:val="2"/>
          </w:tcPr>
          <w:p>
            <w:pPr>
              <w:ind w:left="240"/>
              <w:spacing w:after="0"/>
              <w:rPr>
                <w:sz w:val="20"/>
                <w:szCs w:val="20"/>
                <w:color w:val="auto"/>
              </w:rPr>
            </w:pPr>
            <w:r>
              <w:rPr>
                <w:rFonts w:ascii="Arial" w:cs="Arial" w:eastAsia="Arial" w:hAnsi="Arial"/>
                <w:sz w:val="14"/>
                <w:szCs w:val="14"/>
                <w:color w:val="auto"/>
              </w:rPr>
              <w:t>Changes in fair value</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207"/>
        </w:trPr>
        <w:tc>
          <w:tcPr>
            <w:tcW w:w="6180" w:type="dxa"/>
            <w:vAlign w:val="bottom"/>
            <w:gridSpan w:val="2"/>
          </w:tcPr>
          <w:p>
            <w:pPr>
              <w:ind w:left="240"/>
              <w:spacing w:after="0"/>
              <w:rPr>
                <w:sz w:val="20"/>
                <w:szCs w:val="20"/>
                <w:color w:val="auto"/>
              </w:rPr>
            </w:pPr>
            <w:r>
              <w:rPr>
                <w:rFonts w:ascii="Arial" w:cs="Arial" w:eastAsia="Arial" w:hAnsi="Arial"/>
                <w:sz w:val="14"/>
                <w:szCs w:val="14"/>
                <w:color w:val="auto"/>
              </w:rPr>
              <w:t>Payments</w:t>
            </w:r>
          </w:p>
        </w:tc>
        <w:tc>
          <w:tcPr>
            <w:tcW w:w="1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(149.3)</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w:t>
            </w:r>
          </w:p>
        </w:tc>
      </w:tr>
      <w:tr>
        <w:trPr>
          <w:trHeight w:val="220"/>
        </w:trPr>
        <w:tc>
          <w:tcPr>
            <w:tcW w:w="6180" w:type="dxa"/>
            <w:vAlign w:val="bottom"/>
            <w:gridSpan w:val="2"/>
          </w:tcPr>
          <w:p>
            <w:pPr>
              <w:ind w:left="20"/>
              <w:spacing w:after="0"/>
              <w:rPr>
                <w:sz w:val="20"/>
                <w:szCs w:val="20"/>
                <w:color w:val="auto"/>
              </w:rPr>
            </w:pPr>
            <w:r>
              <w:rPr>
                <w:rFonts w:ascii="Arial" w:cs="Arial" w:eastAsia="Arial" w:hAnsi="Arial"/>
                <w:sz w:val="14"/>
                <w:szCs w:val="14"/>
                <w:color w:val="auto"/>
              </w:rPr>
              <w:t>Fair value, end of period</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273.9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391.2</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273.9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391.2</w:t>
            </w:r>
          </w:p>
        </w:tc>
      </w:tr>
      <w:tr>
        <w:trPr>
          <w:trHeight w:val="20"/>
        </w:trPr>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Changes in the fair value of our contingent consideration obligations, other than changes due to payments, are recognized as a (gain) loss on fair value remeasurement of contingent consideration in our condensed consolidated statements of income. The fair values of the contingent consideration liabilities were based on a probability-adjusted discounted cash flow calculation using Level 3 fair value measurements and inputs. For additional information on the valuation techniques and inputs utilized in the valuation of our financial assets and liabilities, please read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to our consolidated financial statements included in our 2025 Form 10-K.</w:t>
      </w:r>
    </w:p>
    <w:p>
      <w:pPr>
        <w:spacing w:after="0" w:line="7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of September 30, 2026 and December 31, 2025, contingent consideration liabilities of $121.5 million and $246.4 million, respectively, were classified as long-term and reflected as a component of other long-term liabilities in our condensed consolidated balance sheets. As of September 30, 2026 contingent consideration liabilities of $ 152.4 million were classified as short-term and reflected as a component of accrued expense and other in our condensed consolidated balance sheets.</w:t>
      </w:r>
    </w:p>
    <w:p>
      <w:pPr>
        <w:spacing w:after="0" w:line="6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For the three and nine months ended September 30, 2026, changes in the fair value of our contingent consideration obligations were primarily due to changes in the probabilities of success and expected timing of the achievement of certain remaining developmental milestones related to our acquisition of HI-Bio, and the recognition of a $4.1 million obligation related to the acquisition of Apellis.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During the second quarter of 2025 the first milestone related to the fourth patient dosed in a phase 3 clinical trial of felzartamab for AMR was achieved, resulting in a $150.0 million milestone payment made to the former shareholders of HI-Bio, which was paid during the third quarter of 2025. In October 2025 the second milestone related to the fourth patient dosed in a phase 3 clinical trial of felzartamab for IgAN was achieved, resulting in a $150.0 million milestone payment made to the former shareholders of HI-Bio during the fourth quarter of 2025.</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Financial Instruments Not Carried at Fair Value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Financial Instruments</w:t>
      </w:r>
    </w:p>
    <w:p>
      <w:pPr>
        <w:spacing w:after="0" w:line="115"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Due to the short-term nature of certain financial instruments, the carrying value reflected in our condensed consolidated balance sheets for current accounts receivable, due from anti-CD20 therapeutic programs, other current assets, accounts payable and accrued expense and other, approximates fair value.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Debt Instruments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fair and carrying values of our debt instruments, which are Level 2 liabilities, are summarized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Borders>
              <w:bottom w:val="single" w:sz="8" w:color="auto"/>
            </w:tcBorders>
            <w:gridSpan w:val="6"/>
            <w:shd w:val="clear" w:color="auto" w:fill="DDDDDD"/>
          </w:tcPr>
          <w:p>
            <w:pPr>
              <w:jc w:val="right"/>
              <w:ind w:right="608"/>
              <w:spacing w:after="0"/>
              <w:rPr>
                <w:sz w:val="20"/>
                <w:szCs w:val="20"/>
                <w:color w:val="auto"/>
              </w:rPr>
            </w:pPr>
            <w:r>
              <w:rPr>
                <w:rFonts w:ascii="Arial" w:cs="Arial" w:eastAsia="Arial" w:hAnsi="Arial"/>
                <w:sz w:val="14"/>
                <w:szCs w:val="14"/>
                <w:b w:val="1"/>
                <w:bCs w:val="1"/>
                <w:color w:val="257ACB"/>
              </w:rPr>
              <w:t>As of September 30, 2026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As of December 31, 2025</w:t>
            </w:r>
          </w:p>
        </w:tc>
        <w:tc>
          <w:tcPr>
            <w:tcW w:w="0" w:type="dxa"/>
            <w:vAlign w:val="bottom"/>
          </w:tcPr>
          <w:p>
            <w:pPr>
              <w:spacing w:after="0"/>
              <w:rPr>
                <w:sz w:val="1"/>
                <w:szCs w:val="1"/>
                <w:color w:val="auto"/>
              </w:rPr>
            </w:pPr>
          </w:p>
        </w:tc>
      </w:tr>
      <w:tr>
        <w:trPr>
          <w:trHeight w:val="146"/>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Fair</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ind w:left="280"/>
              <w:spacing w:after="0" w:line="14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122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5"/>
        </w:trPr>
        <w:tc>
          <w:tcPr>
            <w:tcW w:w="47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8"/>
        </w:trPr>
        <w:tc>
          <w:tcPr>
            <w:tcW w:w="4900" w:type="dxa"/>
            <w:vAlign w:val="bottom"/>
            <w:gridSpan w:val="3"/>
          </w:tcPr>
          <w:p>
            <w:pPr>
              <w:ind w:left="20"/>
              <w:spacing w:after="0"/>
              <w:rPr>
                <w:sz w:val="20"/>
                <w:szCs w:val="20"/>
                <w:color w:val="auto"/>
              </w:rPr>
            </w:pPr>
            <w:r>
              <w:rPr>
                <w:rFonts w:ascii="Arial" w:cs="Arial" w:eastAsia="Arial" w:hAnsi="Arial"/>
                <w:sz w:val="14"/>
                <w:szCs w:val="14"/>
                <w:i w:val="1"/>
                <w:iCs w:val="1"/>
                <w:color w:val="auto"/>
              </w:rPr>
              <w:t>Current portion:</w:t>
            </w:r>
          </w:p>
        </w:tc>
        <w:tc>
          <w:tcPr>
            <w:tcW w:w="94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900" w:type="dxa"/>
            <w:vAlign w:val="bottom"/>
            <w:gridSpan w:val="3"/>
          </w:tcPr>
          <w:p>
            <w:pPr>
              <w:ind w:left="140"/>
              <w:spacing w:after="0"/>
              <w:rPr>
                <w:sz w:val="20"/>
                <w:szCs w:val="20"/>
                <w:color w:val="auto"/>
              </w:rPr>
            </w:pPr>
            <w:r>
              <w:rPr>
                <w:rFonts w:ascii="Arial" w:cs="Arial" w:eastAsia="Arial" w:hAnsi="Arial"/>
                <w:sz w:val="14"/>
                <w:szCs w:val="14"/>
                <w:color w:val="auto"/>
              </w:rPr>
              <w:t>2026 Term Loan 364-day tranche</w:t>
            </w:r>
            <w:r>
              <w:rPr>
                <w:rFonts w:ascii="Arial" w:cs="Arial" w:eastAsia="Arial" w:hAnsi="Arial"/>
                <w:sz w:val="18"/>
                <w:szCs w:val="18"/>
                <w:color w:val="auto"/>
                <w:vertAlign w:val="superscript"/>
              </w:rPr>
              <w:t>(1)</w:t>
            </w:r>
          </w:p>
        </w:tc>
        <w:tc>
          <w:tcPr>
            <w:tcW w:w="940" w:type="dxa"/>
            <w:vAlign w:val="bottom"/>
            <w:tcBorders>
              <w:bottom w:val="single" w:sz="8" w:color="auto"/>
            </w:tcBorders>
            <w:shd w:val="clear" w:color="auto" w:fill="DBDBDB"/>
          </w:tcPr>
          <w:p>
            <w:pPr>
              <w:jc w:val="right"/>
              <w:ind w:right="768"/>
              <w:spacing w:after="0"/>
              <w:rPr>
                <w:sz w:val="20"/>
                <w:szCs w:val="20"/>
                <w:color w:val="auto"/>
              </w:rPr>
            </w:pPr>
            <w:r>
              <w:rPr>
                <w:rFonts w:ascii="Arial" w:cs="Arial" w:eastAsia="Arial" w:hAnsi="Arial"/>
                <w:sz w:val="14"/>
                <w:szCs w:val="14"/>
                <w:color w:val="0070C0"/>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399.9</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0070C0"/>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400.0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900" w:type="dxa"/>
            <w:vAlign w:val="bottom"/>
            <w:gridSpan w:val="3"/>
          </w:tcPr>
          <w:p>
            <w:pPr>
              <w:ind w:left="240"/>
              <w:spacing w:after="0"/>
              <w:rPr>
                <w:sz w:val="20"/>
                <w:szCs w:val="20"/>
                <w:color w:val="auto"/>
              </w:rPr>
            </w:pPr>
            <w:r>
              <w:rPr>
                <w:rFonts w:ascii="Arial" w:cs="Arial" w:eastAsia="Arial" w:hAnsi="Arial"/>
                <w:sz w:val="14"/>
                <w:szCs w:val="14"/>
                <w:color w:val="auto"/>
              </w:rPr>
              <w:t>Current portion of notes payable</w:t>
            </w:r>
          </w:p>
        </w:tc>
        <w:tc>
          <w:tcPr>
            <w:tcW w:w="940" w:type="dxa"/>
            <w:vAlign w:val="bottom"/>
            <w:shd w:val="clear" w:color="auto" w:fill="DBDBDB"/>
          </w:tcPr>
          <w:p>
            <w:pPr>
              <w:spacing w:after="0"/>
              <w:rPr>
                <w:sz w:val="16"/>
                <w:szCs w:val="16"/>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399.9</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900" w:type="dxa"/>
            <w:vAlign w:val="bottom"/>
            <w:gridSpan w:val="3"/>
          </w:tcPr>
          <w:p>
            <w:pPr>
              <w:ind w:left="20"/>
              <w:spacing w:after="0"/>
              <w:rPr>
                <w:sz w:val="20"/>
                <w:szCs w:val="20"/>
                <w:color w:val="auto"/>
              </w:rPr>
            </w:pPr>
            <w:r>
              <w:rPr>
                <w:rFonts w:ascii="Arial" w:cs="Arial" w:eastAsia="Arial" w:hAnsi="Arial"/>
                <w:sz w:val="14"/>
                <w:szCs w:val="14"/>
                <w:i w:val="1"/>
                <w:iCs w:val="1"/>
                <w:color w:val="auto"/>
              </w:rPr>
              <w:t>Non-current portion:</w:t>
            </w:r>
          </w:p>
        </w:tc>
        <w:tc>
          <w:tcPr>
            <w:tcW w:w="940" w:type="dxa"/>
            <w:vAlign w:val="bottom"/>
            <w:tcBorders>
              <w:top w:val="single" w:sz="8" w:color="auto"/>
            </w:tcBorders>
            <w:shd w:val="clear" w:color="auto" w:fill="DBDBDB"/>
          </w:tcPr>
          <w:p>
            <w:pPr>
              <w:spacing w:after="0"/>
              <w:rPr>
                <w:sz w:val="20"/>
                <w:szCs w:val="20"/>
                <w:color w:val="auto"/>
              </w:rPr>
            </w:pPr>
          </w:p>
        </w:tc>
        <w:tc>
          <w:tcPr>
            <w:tcW w:w="520" w:type="dxa"/>
            <w:vAlign w:val="bottom"/>
            <w:tcBorders>
              <w:top w:val="single" w:sz="8" w:color="auto"/>
            </w:tcBorders>
            <w:shd w:val="clear" w:color="auto" w:fill="DBDBDB"/>
          </w:tcPr>
          <w:p>
            <w:pPr>
              <w:spacing w:after="0"/>
              <w:rPr>
                <w:sz w:val="20"/>
                <w:szCs w:val="20"/>
                <w:color w:val="auto"/>
              </w:rPr>
            </w:pPr>
          </w:p>
        </w:tc>
        <w:tc>
          <w:tcPr>
            <w:tcW w:w="40" w:type="dxa"/>
            <w:vAlign w:val="bottom"/>
            <w:tcBorders>
              <w:top w:val="single" w:sz="8" w:color="auto"/>
            </w:tcBorders>
            <w:shd w:val="clear" w:color="auto" w:fill="DBDBDB"/>
          </w:tcPr>
          <w:p>
            <w:pPr>
              <w:spacing w:after="0"/>
              <w:rPr>
                <w:sz w:val="20"/>
                <w:szCs w:val="20"/>
                <w:color w:val="auto"/>
              </w:rPr>
            </w:pPr>
          </w:p>
        </w:tc>
        <w:tc>
          <w:tcPr>
            <w:tcW w:w="100" w:type="dxa"/>
            <w:vAlign w:val="bottom"/>
            <w:tcBorders>
              <w:top w:val="single" w:sz="8" w:color="DBDBDB"/>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spacing w:after="0"/>
              <w:rPr>
                <w:sz w:val="20"/>
                <w:szCs w:val="20"/>
                <w:color w:val="auto"/>
              </w:rPr>
            </w:pPr>
          </w:p>
        </w:tc>
        <w:tc>
          <w:tcPr>
            <w:tcW w:w="1220" w:type="dxa"/>
            <w:vAlign w:val="bottom"/>
            <w:tcBorders>
              <w:top w:val="single" w:sz="8" w:color="auto"/>
            </w:tcBorders>
            <w:shd w:val="clear" w:color="auto" w:fill="DBDBDB"/>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gridSpan w:val="3"/>
          </w:tcPr>
          <w:p>
            <w:pPr>
              <w:ind w:left="140"/>
              <w:spacing w:after="0"/>
              <w:rPr>
                <w:sz w:val="20"/>
                <w:szCs w:val="20"/>
                <w:color w:val="auto"/>
              </w:rPr>
            </w:pPr>
            <w:r>
              <w:rPr>
                <w:rFonts w:ascii="Arial" w:cs="Arial" w:eastAsia="Arial" w:hAnsi="Arial"/>
                <w:sz w:val="14"/>
                <w:szCs w:val="14"/>
                <w:color w:val="auto"/>
              </w:rPr>
              <w:t>2026 Term Loan two-year tranche</w:t>
            </w:r>
            <w:r>
              <w:rPr>
                <w:rFonts w:ascii="Arial" w:cs="Arial" w:eastAsia="Arial" w:hAnsi="Arial"/>
                <w:sz w:val="18"/>
                <w:szCs w:val="18"/>
                <w:color w:val="auto"/>
                <w:vertAlign w:val="superscript"/>
              </w:rPr>
              <w:t>(1)</w:t>
            </w:r>
          </w:p>
        </w:tc>
        <w:tc>
          <w:tcPr>
            <w:tcW w:w="940" w:type="dxa"/>
            <w:vAlign w:val="bottom"/>
            <w:shd w:val="clear" w:color="auto" w:fill="DBDBDB"/>
          </w:tcPr>
          <w:p>
            <w:pPr>
              <w:spacing w:after="0"/>
              <w:rPr>
                <w:sz w:val="18"/>
                <w:szCs w:val="18"/>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999.7</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640" w:type="dxa"/>
            <w:vAlign w:val="bottom"/>
          </w:tcPr>
          <w:p>
            <w:pPr>
              <w:ind w:left="140"/>
              <w:spacing w:after="0"/>
              <w:rPr>
                <w:sz w:val="20"/>
                <w:szCs w:val="20"/>
                <w:color w:val="auto"/>
              </w:rPr>
            </w:pPr>
            <w:r>
              <w:rPr>
                <w:rFonts w:ascii="Arial" w:cs="Arial" w:eastAsia="Arial" w:hAnsi="Arial"/>
                <w:sz w:val="14"/>
                <w:szCs w:val="14"/>
                <w:color w:val="auto"/>
              </w:rPr>
              <w:t>2.250%</w:t>
            </w:r>
          </w:p>
        </w:tc>
        <w:tc>
          <w:tcPr>
            <w:tcW w:w="426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2030</w:t>
            </w:r>
          </w:p>
        </w:tc>
        <w:tc>
          <w:tcPr>
            <w:tcW w:w="940" w:type="dxa"/>
            <w:vAlign w:val="bottom"/>
            <w:shd w:val="clear" w:color="auto" w:fill="DBDBDB"/>
          </w:tcPr>
          <w:p>
            <w:pPr>
              <w:spacing w:after="0"/>
              <w:rPr>
                <w:sz w:val="16"/>
                <w:szCs w:val="16"/>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1,335.7</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1,496.4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1,378.7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1,495.7</w:t>
            </w:r>
          </w:p>
        </w:tc>
        <w:tc>
          <w:tcPr>
            <w:tcW w:w="0" w:type="dxa"/>
            <w:vAlign w:val="bottom"/>
          </w:tcPr>
          <w:p>
            <w:pPr>
              <w:spacing w:after="0"/>
              <w:rPr>
                <w:sz w:val="1"/>
                <w:szCs w:val="1"/>
                <w:color w:val="auto"/>
              </w:rPr>
            </w:pPr>
          </w:p>
        </w:tc>
      </w:tr>
      <w:tr>
        <w:trPr>
          <w:trHeight w:val="203"/>
        </w:trPr>
        <w:tc>
          <w:tcPr>
            <w:tcW w:w="640" w:type="dxa"/>
            <w:vAlign w:val="bottom"/>
          </w:tcPr>
          <w:p>
            <w:pPr>
              <w:ind w:left="140"/>
              <w:spacing w:after="0"/>
              <w:rPr>
                <w:sz w:val="20"/>
                <w:szCs w:val="20"/>
                <w:color w:val="auto"/>
              </w:rPr>
            </w:pPr>
            <w:r>
              <w:rPr>
                <w:rFonts w:ascii="Arial" w:cs="Arial" w:eastAsia="Arial" w:hAnsi="Arial"/>
                <w:sz w:val="14"/>
                <w:szCs w:val="14"/>
                <w:color w:val="auto"/>
              </w:rPr>
              <w:t>5.050%</w:t>
            </w:r>
          </w:p>
        </w:tc>
        <w:tc>
          <w:tcPr>
            <w:tcW w:w="4260" w:type="dxa"/>
            <w:vAlign w:val="bottom"/>
            <w:gridSpan w:val="2"/>
          </w:tcPr>
          <w:p>
            <w:pPr>
              <w:ind w:left="20"/>
              <w:spacing w:after="0"/>
              <w:rPr>
                <w:sz w:val="20"/>
                <w:szCs w:val="20"/>
                <w:color w:val="auto"/>
              </w:rPr>
            </w:pPr>
            <w:r>
              <w:rPr>
                <w:rFonts w:ascii="Arial" w:cs="Arial" w:eastAsia="Arial" w:hAnsi="Arial"/>
                <w:sz w:val="14"/>
                <w:szCs w:val="14"/>
                <w:color w:val="auto"/>
              </w:rPr>
              <w:t>Senior Notes due January 15, 2031</w:t>
            </w:r>
          </w:p>
        </w:tc>
        <w:tc>
          <w:tcPr>
            <w:tcW w:w="94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391.3</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398.2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398.0</w:t>
            </w:r>
          </w:p>
        </w:tc>
        <w:tc>
          <w:tcPr>
            <w:tcW w:w="0" w:type="dxa"/>
            <w:vAlign w:val="bottom"/>
          </w:tcPr>
          <w:p>
            <w:pPr>
              <w:spacing w:after="0"/>
              <w:rPr>
                <w:sz w:val="1"/>
                <w:szCs w:val="1"/>
                <w:color w:val="auto"/>
              </w:rPr>
            </w:pPr>
          </w:p>
        </w:tc>
      </w:tr>
      <w:tr>
        <w:trPr>
          <w:trHeight w:val="202"/>
        </w:trPr>
        <w:tc>
          <w:tcPr>
            <w:tcW w:w="640" w:type="dxa"/>
            <w:vAlign w:val="bottom"/>
          </w:tcPr>
          <w:p>
            <w:pPr>
              <w:ind w:left="140"/>
              <w:spacing w:after="0"/>
              <w:rPr>
                <w:sz w:val="20"/>
                <w:szCs w:val="20"/>
                <w:color w:val="auto"/>
              </w:rPr>
            </w:pPr>
            <w:r>
              <w:rPr>
                <w:rFonts w:ascii="Arial" w:cs="Arial" w:eastAsia="Arial" w:hAnsi="Arial"/>
                <w:sz w:val="14"/>
                <w:szCs w:val="14"/>
                <w:color w:val="auto"/>
              </w:rPr>
              <w:t>5.750%</w:t>
            </w:r>
          </w:p>
        </w:tc>
        <w:tc>
          <w:tcPr>
            <w:tcW w:w="4260" w:type="dxa"/>
            <w:vAlign w:val="bottom"/>
            <w:gridSpan w:val="2"/>
          </w:tcPr>
          <w:p>
            <w:pPr>
              <w:ind w:left="20"/>
              <w:spacing w:after="0"/>
              <w:rPr>
                <w:sz w:val="20"/>
                <w:szCs w:val="20"/>
                <w:color w:val="auto"/>
              </w:rPr>
            </w:pPr>
            <w:r>
              <w:rPr>
                <w:rFonts w:ascii="Arial" w:cs="Arial" w:eastAsia="Arial" w:hAnsi="Arial"/>
                <w:sz w:val="14"/>
                <w:szCs w:val="14"/>
                <w:color w:val="auto"/>
              </w:rPr>
              <w:t>Senior Notes due May 15, 2035</w:t>
            </w:r>
          </w:p>
        </w:tc>
        <w:tc>
          <w:tcPr>
            <w:tcW w:w="94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638.4</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645.8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684.5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645.5</w:t>
            </w:r>
          </w:p>
        </w:tc>
        <w:tc>
          <w:tcPr>
            <w:tcW w:w="0" w:type="dxa"/>
            <w:vAlign w:val="bottom"/>
          </w:tcPr>
          <w:p>
            <w:pPr>
              <w:spacing w:after="0"/>
              <w:rPr>
                <w:sz w:val="1"/>
                <w:szCs w:val="1"/>
                <w:color w:val="auto"/>
              </w:rPr>
            </w:pPr>
          </w:p>
        </w:tc>
      </w:tr>
      <w:tr>
        <w:trPr>
          <w:trHeight w:val="203"/>
        </w:trPr>
        <w:tc>
          <w:tcPr>
            <w:tcW w:w="640" w:type="dxa"/>
            <w:vAlign w:val="bottom"/>
          </w:tcPr>
          <w:p>
            <w:pPr>
              <w:ind w:left="140"/>
              <w:spacing w:after="0"/>
              <w:rPr>
                <w:sz w:val="20"/>
                <w:szCs w:val="20"/>
                <w:color w:val="auto"/>
              </w:rPr>
            </w:pPr>
            <w:r>
              <w:rPr>
                <w:rFonts w:ascii="Arial" w:cs="Arial" w:eastAsia="Arial" w:hAnsi="Arial"/>
                <w:sz w:val="14"/>
                <w:szCs w:val="14"/>
                <w:color w:val="auto"/>
              </w:rPr>
              <w:t>5.200%</w:t>
            </w:r>
          </w:p>
        </w:tc>
        <w:tc>
          <w:tcPr>
            <w:tcW w:w="426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2045</w:t>
            </w:r>
          </w:p>
        </w:tc>
        <w:tc>
          <w:tcPr>
            <w:tcW w:w="94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952.1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1,101.8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1,029.5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1,101.5</w:t>
            </w:r>
          </w:p>
        </w:tc>
        <w:tc>
          <w:tcPr>
            <w:tcW w:w="0" w:type="dxa"/>
            <w:vAlign w:val="bottom"/>
          </w:tcPr>
          <w:p>
            <w:pPr>
              <w:spacing w:after="0"/>
              <w:rPr>
                <w:sz w:val="1"/>
                <w:szCs w:val="1"/>
                <w:color w:val="auto"/>
              </w:rPr>
            </w:pPr>
          </w:p>
        </w:tc>
      </w:tr>
      <w:tr>
        <w:trPr>
          <w:trHeight w:val="203"/>
        </w:trPr>
        <w:tc>
          <w:tcPr>
            <w:tcW w:w="640" w:type="dxa"/>
            <w:vAlign w:val="bottom"/>
          </w:tcPr>
          <w:p>
            <w:pPr>
              <w:ind w:left="140"/>
              <w:spacing w:after="0"/>
              <w:rPr>
                <w:sz w:val="20"/>
                <w:szCs w:val="20"/>
                <w:color w:val="auto"/>
              </w:rPr>
            </w:pPr>
            <w:r>
              <w:rPr>
                <w:rFonts w:ascii="Arial" w:cs="Arial" w:eastAsia="Arial" w:hAnsi="Arial"/>
                <w:sz w:val="14"/>
                <w:szCs w:val="14"/>
                <w:color w:val="auto"/>
              </w:rPr>
              <w:t>3.150%</w:t>
            </w:r>
          </w:p>
        </w:tc>
        <w:tc>
          <w:tcPr>
            <w:tcW w:w="426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2050</w:t>
            </w:r>
          </w:p>
        </w:tc>
        <w:tc>
          <w:tcPr>
            <w:tcW w:w="94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887.1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1,476.1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1,475.6</w:t>
            </w:r>
          </w:p>
        </w:tc>
        <w:tc>
          <w:tcPr>
            <w:tcW w:w="0" w:type="dxa"/>
            <w:vAlign w:val="bottom"/>
          </w:tcPr>
          <w:p>
            <w:pPr>
              <w:spacing w:after="0"/>
              <w:rPr>
                <w:sz w:val="1"/>
                <w:szCs w:val="1"/>
                <w:color w:val="auto"/>
              </w:rPr>
            </w:pPr>
          </w:p>
        </w:tc>
      </w:tr>
      <w:tr>
        <w:trPr>
          <w:trHeight w:val="203"/>
        </w:trPr>
        <w:tc>
          <w:tcPr>
            <w:tcW w:w="640" w:type="dxa"/>
            <w:vAlign w:val="bottom"/>
          </w:tcPr>
          <w:p>
            <w:pPr>
              <w:ind w:left="140"/>
              <w:spacing w:after="0"/>
              <w:rPr>
                <w:sz w:val="20"/>
                <w:szCs w:val="20"/>
                <w:color w:val="auto"/>
              </w:rPr>
            </w:pPr>
            <w:r>
              <w:rPr>
                <w:rFonts w:ascii="Arial" w:cs="Arial" w:eastAsia="Arial" w:hAnsi="Arial"/>
                <w:sz w:val="14"/>
                <w:szCs w:val="14"/>
                <w:color w:val="auto"/>
              </w:rPr>
              <w:t>3.250%</w:t>
            </w:r>
          </w:p>
        </w:tc>
        <w:tc>
          <w:tcPr>
            <w:tcW w:w="4260" w:type="dxa"/>
            <w:vAlign w:val="bottom"/>
            <w:gridSpan w:val="2"/>
          </w:tcPr>
          <w:p>
            <w:pPr>
              <w:ind w:left="20"/>
              <w:spacing w:after="0"/>
              <w:rPr>
                <w:sz w:val="20"/>
                <w:szCs w:val="20"/>
                <w:color w:val="auto"/>
              </w:rPr>
            </w:pPr>
            <w:r>
              <w:rPr>
                <w:rFonts w:ascii="Arial" w:cs="Arial" w:eastAsia="Arial" w:hAnsi="Arial"/>
                <w:sz w:val="14"/>
                <w:szCs w:val="14"/>
                <w:color w:val="auto"/>
              </w:rPr>
              <w:t>Senior Notes due February 15, 2051</w:t>
            </w:r>
          </w:p>
        </w:tc>
        <w:tc>
          <w:tcPr>
            <w:tcW w:w="94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420.2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483.4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480.3</w:t>
            </w:r>
          </w:p>
        </w:tc>
        <w:tc>
          <w:tcPr>
            <w:tcW w:w="0" w:type="dxa"/>
            <w:vAlign w:val="bottom"/>
          </w:tcPr>
          <w:p>
            <w:pPr>
              <w:spacing w:after="0"/>
              <w:rPr>
                <w:sz w:val="1"/>
                <w:szCs w:val="1"/>
                <w:color w:val="auto"/>
              </w:rPr>
            </w:pPr>
          </w:p>
        </w:tc>
      </w:tr>
      <w:tr>
        <w:trPr>
          <w:trHeight w:val="204"/>
        </w:trPr>
        <w:tc>
          <w:tcPr>
            <w:tcW w:w="640" w:type="dxa"/>
            <w:vAlign w:val="bottom"/>
          </w:tcPr>
          <w:p>
            <w:pPr>
              <w:ind w:left="140"/>
              <w:spacing w:after="0"/>
              <w:rPr>
                <w:sz w:val="20"/>
                <w:szCs w:val="20"/>
                <w:color w:val="auto"/>
              </w:rPr>
            </w:pPr>
            <w:r>
              <w:rPr>
                <w:rFonts w:ascii="Arial" w:cs="Arial" w:eastAsia="Arial" w:hAnsi="Arial"/>
                <w:sz w:val="14"/>
                <w:szCs w:val="14"/>
                <w:color w:val="auto"/>
              </w:rPr>
              <w:t>6.450%</w:t>
            </w:r>
          </w:p>
        </w:tc>
        <w:tc>
          <w:tcPr>
            <w:tcW w:w="4260" w:type="dxa"/>
            <w:vAlign w:val="bottom"/>
            <w:gridSpan w:val="2"/>
          </w:tcPr>
          <w:p>
            <w:pPr>
              <w:ind w:left="20"/>
              <w:spacing w:after="0"/>
              <w:rPr>
                <w:sz w:val="20"/>
                <w:szCs w:val="20"/>
                <w:color w:val="auto"/>
              </w:rPr>
            </w:pPr>
            <w:r>
              <w:rPr>
                <w:rFonts w:ascii="Arial" w:cs="Arial" w:eastAsia="Arial" w:hAnsi="Arial"/>
                <w:sz w:val="14"/>
                <w:szCs w:val="14"/>
                <w:color w:val="auto"/>
              </w:rPr>
              <w:t>Senior Notes due May 15, 2055</w:t>
            </w:r>
          </w:p>
        </w:tc>
        <w:tc>
          <w:tcPr>
            <w:tcW w:w="940" w:type="dxa"/>
            <w:vAlign w:val="bottom"/>
            <w:tcBorders>
              <w:bottom w:val="single" w:sz="8" w:color="auto"/>
            </w:tcBorders>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686.3</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690.3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690.2</w:t>
            </w:r>
          </w:p>
        </w:tc>
        <w:tc>
          <w:tcPr>
            <w:tcW w:w="0" w:type="dxa"/>
            <w:vAlign w:val="bottom"/>
          </w:tcPr>
          <w:p>
            <w:pPr>
              <w:spacing w:after="0"/>
              <w:rPr>
                <w:sz w:val="1"/>
                <w:szCs w:val="1"/>
                <w:color w:val="auto"/>
              </w:rPr>
            </w:pPr>
          </w:p>
        </w:tc>
      </w:tr>
      <w:tr>
        <w:trPr>
          <w:trHeight w:val="198"/>
        </w:trPr>
        <w:tc>
          <w:tcPr>
            <w:tcW w:w="4900" w:type="dxa"/>
            <w:vAlign w:val="bottom"/>
            <w:gridSpan w:val="3"/>
          </w:tcPr>
          <w:p>
            <w:pPr>
              <w:ind w:left="260"/>
              <w:spacing w:after="0"/>
              <w:rPr>
                <w:sz w:val="20"/>
                <w:szCs w:val="20"/>
                <w:color w:val="auto"/>
              </w:rPr>
            </w:pPr>
            <w:r>
              <w:rPr>
                <w:rFonts w:ascii="Arial" w:cs="Arial" w:eastAsia="Arial" w:hAnsi="Arial"/>
                <w:sz w:val="14"/>
                <w:szCs w:val="14"/>
                <w:color w:val="auto"/>
              </w:rPr>
              <w:t>Non-current portion of notes payable</w:t>
            </w:r>
          </w:p>
        </w:tc>
        <w:tc>
          <w:tcPr>
            <w:tcW w:w="940" w:type="dxa"/>
            <w:vAlign w:val="bottom"/>
            <w:tcBorders>
              <w:bottom w:val="single" w:sz="8" w:color="auto"/>
            </w:tcBorders>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w w:val="98"/>
              </w:rPr>
              <w:t>6,310.8</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7,292.0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5,678.1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6,286.8</w:t>
            </w:r>
          </w:p>
        </w:tc>
        <w:tc>
          <w:tcPr>
            <w:tcW w:w="0" w:type="dxa"/>
            <w:vAlign w:val="bottom"/>
          </w:tcPr>
          <w:p>
            <w:pPr>
              <w:spacing w:after="0"/>
              <w:rPr>
                <w:sz w:val="1"/>
                <w:szCs w:val="1"/>
                <w:color w:val="auto"/>
              </w:rPr>
            </w:pPr>
          </w:p>
        </w:tc>
      </w:tr>
      <w:tr>
        <w:trPr>
          <w:trHeight w:val="220"/>
        </w:trPr>
        <w:tc>
          <w:tcPr>
            <w:tcW w:w="4900" w:type="dxa"/>
            <w:vAlign w:val="bottom"/>
            <w:gridSpan w:val="3"/>
          </w:tcPr>
          <w:p>
            <w:pPr>
              <w:ind w:left="40"/>
              <w:spacing w:after="0"/>
              <w:rPr>
                <w:sz w:val="20"/>
                <w:szCs w:val="20"/>
                <w:color w:val="auto"/>
              </w:rPr>
            </w:pPr>
            <w:r>
              <w:rPr>
                <w:rFonts w:ascii="Arial" w:cs="Arial" w:eastAsia="Arial" w:hAnsi="Arial"/>
                <w:sz w:val="14"/>
                <w:szCs w:val="14"/>
                <w:color w:val="auto"/>
              </w:rPr>
              <w:t>Total notes payable</w:t>
            </w:r>
          </w:p>
        </w:tc>
        <w:tc>
          <w:tcPr>
            <w:tcW w:w="940" w:type="dxa"/>
            <w:vAlign w:val="bottom"/>
            <w:shd w:val="clear" w:color="auto" w:fill="DBDBDB"/>
          </w:tcPr>
          <w:p>
            <w:pPr>
              <w:jc w:val="right"/>
              <w:ind w:right="768"/>
              <w:spacing w:after="0"/>
              <w:rPr>
                <w:sz w:val="20"/>
                <w:szCs w:val="20"/>
                <w:color w:val="auto"/>
              </w:rPr>
            </w:pPr>
            <w:r>
              <w:rPr>
                <w:rFonts w:ascii="Arial" w:cs="Arial" w:eastAsia="Arial" w:hAnsi="Arial"/>
                <w:sz w:val="14"/>
                <w:szCs w:val="14"/>
                <w:color w:val="257ACB"/>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6,710.7</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7,692.0</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5,678.1</w:t>
            </w:r>
          </w:p>
        </w:tc>
        <w:tc>
          <w:tcPr>
            <w:tcW w:w="12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6,286.8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right="120" w:hanging="172"/>
        <w:spacing w:after="0" w:line="238" w:lineRule="auto"/>
        <w:tabs>
          <w:tab w:leader="none" w:pos="158"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 xml:space="preserve">In connection with our acquisition of Apellis we drew $2.0 billion from the 2026 Term Loan, comprised of a $1.0 billion floating rate 364-day tranche and a $1.0 billion floating rate two-year tranche. For additional information on our 2026 Term Loan, please read </w:t>
      </w:r>
      <w:r>
        <w:rPr>
          <w:rFonts w:ascii="Arial" w:cs="Arial" w:eastAsia="Arial" w:hAnsi="Arial"/>
          <w:sz w:val="14"/>
          <w:szCs w:val="14"/>
          <w:i w:val="1"/>
          <w:iCs w:val="1"/>
          <w:color w:val="auto"/>
        </w:rPr>
        <w:t>Note 13, Indebtedness</w:t>
      </w:r>
      <w:r>
        <w:rPr>
          <w:rFonts w:ascii="Arial" w:cs="Arial" w:eastAsia="Arial" w:hAnsi="Arial"/>
          <w:sz w:val="14"/>
          <w:szCs w:val="14"/>
          <w:color w:val="auto"/>
        </w:rPr>
        <w:t>, to these condensed consolidated financial statements.</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The fair values of each of our series of Senior Notes were determined through market, observable and corroborated sources. The changes in the fair values of our Senior Notes as of September 30, 2026, compared to December 31, 2025, are primarily related to increases in U.S. treasury yields, partially offset by lower credit spreads used to value our Senior Notes since December 31, 2025. For additional information related to our Senior Notes,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xml:space="preserve"> to our consolidated financial statements included in our 2025 Form 10-K.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9:</w:t>
      </w:r>
      <w:r>
        <w:rPr>
          <w:sz w:val="20"/>
          <w:szCs w:val="20"/>
          <w:color w:val="auto"/>
        </w:rPr>
        <w:tab/>
      </w:r>
      <w:r>
        <w:rPr>
          <w:rFonts w:ascii="Arial" w:cs="Arial" w:eastAsia="Arial" w:hAnsi="Arial"/>
          <w:sz w:val="21"/>
          <w:szCs w:val="21"/>
          <w:b w:val="1"/>
          <w:bCs w:val="1"/>
          <w:color w:val="0070C0"/>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0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following table summarizes our financial assets with maturities of less than 90 days from the date of purchase included in cash and cash equivalents in our condensed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20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b w:val="1"/>
                <w:bCs w:val="1"/>
                <w:color w:val="257ACB"/>
              </w:rPr>
              <w:t>As of September 30, 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2025</w:t>
            </w:r>
          </w:p>
        </w:tc>
      </w:tr>
      <w:tr>
        <w:trPr>
          <w:trHeight w:val="188"/>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Money market funds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628.1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2,027.7</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Overnight reverse repurchase agreements</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Short-term debt securities</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07"/>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Commercial paper</w:t>
            </w:r>
          </w:p>
        </w:tc>
        <w:tc>
          <w:tcPr>
            <w:tcW w:w="16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w:t>
            </w:r>
          </w:p>
        </w:tc>
      </w:tr>
      <w:tr>
        <w:trPr>
          <w:trHeight w:val="220"/>
        </w:trPr>
        <w:tc>
          <w:tcPr>
            <w:tcW w:w="676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628.1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2,233.2</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carrying values of our money market funds, overnight reverse repurchase agreements, short-term debt securities and commercial paper, including accrued interest, approximate fair value due to their short-term maturities.</w:t>
      </w:r>
    </w:p>
    <w:p>
      <w:pPr>
        <w:spacing w:after="0" w:line="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marketable equity securities gains (losses) are recorded in other (income) expense, net in our condensed consolidated statements of income. The following tables summarize our marketable debt and equity securities, classified as available-for-sale:</w:t>
      </w: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42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40" w:type="dxa"/>
            <w:vAlign w:val="bottom"/>
            <w:tcBorders>
              <w:bottom w:val="single" w:sz="8" w:color="auto"/>
            </w:tcBorders>
            <w:shd w:val="clear" w:color="auto" w:fill="DDDDDD"/>
          </w:tcPr>
          <w:p>
            <w:pPr>
              <w:spacing w:after="0"/>
              <w:rPr>
                <w:sz w:val="17"/>
                <w:szCs w:val="17"/>
                <w:color w:val="auto"/>
              </w:rPr>
            </w:pPr>
          </w:p>
        </w:tc>
        <w:tc>
          <w:tcPr>
            <w:tcW w:w="3020" w:type="dxa"/>
            <w:vAlign w:val="bottom"/>
            <w:tcBorders>
              <w:bottom w:val="single" w:sz="8" w:color="auto"/>
            </w:tcBorders>
            <w:gridSpan w:val="5"/>
            <w:shd w:val="clear" w:color="auto" w:fill="DDDDDD"/>
          </w:tcPr>
          <w:p>
            <w:pPr>
              <w:jc w:val="center"/>
              <w:ind w:right="340"/>
              <w:spacing w:after="0"/>
              <w:rPr>
                <w:sz w:val="20"/>
                <w:szCs w:val="20"/>
                <w:color w:val="auto"/>
              </w:rPr>
            </w:pPr>
            <w:r>
              <w:rPr>
                <w:rFonts w:ascii="Arial" w:cs="Arial" w:eastAsia="Arial" w:hAnsi="Arial"/>
                <w:sz w:val="14"/>
                <w:szCs w:val="14"/>
                <w:b w:val="1"/>
                <w:bCs w:val="1"/>
                <w:color w:val="257ACB"/>
              </w:rPr>
              <w:t>As of September 30, 2026</w:t>
            </w:r>
          </w:p>
        </w:tc>
        <w:tc>
          <w:tcPr>
            <w:tcW w:w="340" w:type="dxa"/>
            <w:vAlign w:val="bottom"/>
            <w:tcBorders>
              <w:bottom w:val="single" w:sz="8" w:color="auto"/>
            </w:tcBorders>
            <w:shd w:val="clear" w:color="auto" w:fill="DDDDDD"/>
          </w:tcPr>
          <w:p>
            <w:pPr>
              <w:spacing w:after="0"/>
              <w:rPr>
                <w:sz w:val="17"/>
                <w:szCs w:val="17"/>
                <w:color w:val="auto"/>
              </w:rPr>
            </w:pPr>
          </w:p>
        </w:tc>
        <w:tc>
          <w:tcPr>
            <w:tcW w:w="1200" w:type="dxa"/>
            <w:vAlign w:val="bottom"/>
            <w:tcBorders>
              <w:bottom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20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4"/>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equity securities</w:t>
            </w: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current</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149.5</w:t>
            </w:r>
          </w:p>
        </w:tc>
        <w:tc>
          <w:tcPr>
            <w:tcW w:w="10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(52.4)</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97.1</w:t>
            </w:r>
          </w:p>
        </w:tc>
        <w:tc>
          <w:tcPr>
            <w:tcW w:w="0" w:type="dxa"/>
            <w:vAlign w:val="bottom"/>
          </w:tcPr>
          <w:p>
            <w:pPr>
              <w:spacing w:after="0"/>
              <w:rPr>
                <w:sz w:val="1"/>
                <w:szCs w:val="1"/>
                <w:color w:val="auto"/>
              </w:rPr>
            </w:pPr>
          </w:p>
        </w:tc>
      </w:tr>
      <w:tr>
        <w:trPr>
          <w:trHeight w:val="220"/>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equity securities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149.5</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(52.4)</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97.1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As of December 31, 2025</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20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4"/>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4"/>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debt securities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246.8</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246.8</w:t>
            </w: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290.6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290.8</w:t>
            </w:r>
          </w:p>
        </w:tc>
        <w:tc>
          <w:tcPr>
            <w:tcW w:w="0" w:type="dxa"/>
            <w:vAlign w:val="bottom"/>
          </w:tcPr>
          <w:p>
            <w:pPr>
              <w:spacing w:after="0"/>
              <w:rPr>
                <w:sz w:val="1"/>
                <w:szCs w:val="1"/>
                <w:color w:val="auto"/>
              </w:rPr>
            </w:pPr>
          </w:p>
        </w:tc>
      </w:tr>
      <w:tr>
        <w:trPr>
          <w:trHeight w:val="203"/>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Government securities: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560.4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3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560.4</w:t>
            </w: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3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203"/>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200"/>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1,238.9</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1,239.1</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Marketable equity securities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4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227.7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200"/>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equity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227.7</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Summary of Contractual Maturities: Available-for-Sale Debt Securities</w:t>
      </w:r>
    </w:p>
    <w:p>
      <w:pPr>
        <w:spacing w:after="0" w:line="126" w:lineRule="exact"/>
        <w:rPr>
          <w:sz w:val="20"/>
          <w:szCs w:val="20"/>
          <w:color w:val="auto"/>
        </w:rPr>
      </w:pPr>
    </w:p>
    <w:p>
      <w:pPr>
        <w:ind w:right="460"/>
        <w:spacing w:after="0" w:line="279" w:lineRule="auto"/>
        <w:rPr>
          <w:sz w:val="20"/>
          <w:szCs w:val="20"/>
          <w:color w:val="auto"/>
        </w:rPr>
      </w:pPr>
      <w:r>
        <w:rPr>
          <w:rFonts w:ascii="Arial" w:cs="Arial" w:eastAsia="Arial" w:hAnsi="Arial"/>
          <w:sz w:val="18"/>
          <w:szCs w:val="18"/>
          <w:color w:val="auto"/>
        </w:rPr>
        <w:t>The estimated fair value and amortized cost of our marketable debt securities classified as available-for-sale by contractual maturity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As of December 31, 2025</w:t>
            </w:r>
          </w:p>
        </w:tc>
        <w:tc>
          <w:tcPr>
            <w:tcW w:w="0" w:type="dxa"/>
            <w:vAlign w:val="bottom"/>
          </w:tcPr>
          <w:p>
            <w:pPr>
              <w:spacing w:after="0"/>
              <w:rPr>
                <w:sz w:val="1"/>
                <w:szCs w:val="1"/>
                <w:color w:val="auto"/>
              </w:rPr>
            </w:pPr>
          </w:p>
        </w:tc>
      </w:tr>
      <w:tr>
        <w:trPr>
          <w:trHeight w:val="143"/>
        </w:trPr>
        <w:tc>
          <w:tcPr>
            <w:tcW w:w="7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60"/>
              <w:spacing w:after="0" w:line="143"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2"/>
                <w:szCs w:val="12"/>
                <w:color w:val="auto"/>
              </w:rPr>
            </w:pPr>
          </w:p>
        </w:tc>
        <w:tc>
          <w:tcPr>
            <w:tcW w:w="1260" w:type="dxa"/>
            <w:vAlign w:val="bottom"/>
          </w:tcPr>
          <w:p>
            <w:pPr>
              <w:jc w:val="right"/>
              <w:ind w:right="328"/>
              <w:spacing w:after="0" w:line="143" w:lineRule="exact"/>
              <w:rPr>
                <w:sz w:val="20"/>
                <w:szCs w:val="20"/>
                <w:color w:val="auto"/>
              </w:rPr>
            </w:pPr>
            <w:r>
              <w:rPr>
                <w:rFonts w:ascii="Arial" w:cs="Arial" w:eastAsia="Arial" w:hAnsi="Arial"/>
                <w:sz w:val="14"/>
                <w:szCs w:val="14"/>
                <w:b w:val="1"/>
                <w:bCs w:val="1"/>
                <w:color w:val="auto"/>
              </w:rPr>
              <w:t>Amortized</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88"/>
        </w:trPr>
        <w:tc>
          <w:tcPr>
            <w:tcW w:w="7820" w:type="dxa"/>
            <w:vAlign w:val="bottom"/>
            <w:gridSpan w:val="2"/>
          </w:tcPr>
          <w:p>
            <w:pPr>
              <w:ind w:left="20"/>
              <w:spacing w:after="0"/>
              <w:rPr>
                <w:sz w:val="20"/>
                <w:szCs w:val="20"/>
                <w:color w:val="auto"/>
              </w:rPr>
            </w:pPr>
            <w:r>
              <w:rPr>
                <w:rFonts w:ascii="Arial" w:cs="Arial" w:eastAsia="Arial" w:hAnsi="Arial"/>
                <w:sz w:val="14"/>
                <w:szCs w:val="14"/>
                <w:color w:val="auto"/>
              </w:rPr>
              <w:t>Due in one year or less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807.2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807.2</w:t>
            </w:r>
          </w:p>
        </w:tc>
        <w:tc>
          <w:tcPr>
            <w:tcW w:w="0" w:type="dxa"/>
            <w:vAlign w:val="bottom"/>
          </w:tcPr>
          <w:p>
            <w:pPr>
              <w:spacing w:after="0"/>
              <w:rPr>
                <w:sz w:val="1"/>
                <w:szCs w:val="1"/>
                <w:color w:val="auto"/>
              </w:rPr>
            </w:pPr>
          </w:p>
        </w:tc>
      </w:tr>
      <w:tr>
        <w:trPr>
          <w:trHeight w:val="203"/>
        </w:trPr>
        <w:tc>
          <w:tcPr>
            <w:tcW w:w="7820" w:type="dxa"/>
            <w:vAlign w:val="bottom"/>
            <w:gridSpan w:val="2"/>
          </w:tcPr>
          <w:p>
            <w:pPr>
              <w:ind w:left="20"/>
              <w:spacing w:after="0"/>
              <w:rPr>
                <w:sz w:val="20"/>
                <w:szCs w:val="20"/>
                <w:color w:val="auto"/>
              </w:rPr>
            </w:pPr>
            <w:r>
              <w:rPr>
                <w:rFonts w:ascii="Arial" w:cs="Arial" w:eastAsia="Arial" w:hAnsi="Arial"/>
                <w:sz w:val="14"/>
                <w:szCs w:val="14"/>
                <w:color w:val="auto"/>
              </w:rPr>
              <w:t>Due after one year through five years</w:t>
            </w:r>
          </w:p>
        </w:tc>
        <w:tc>
          <w:tcPr>
            <w:tcW w:w="2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419.5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419.3</w:t>
            </w:r>
          </w:p>
        </w:tc>
        <w:tc>
          <w:tcPr>
            <w:tcW w:w="0" w:type="dxa"/>
            <w:vAlign w:val="bottom"/>
          </w:tcPr>
          <w:p>
            <w:pPr>
              <w:spacing w:after="0"/>
              <w:rPr>
                <w:sz w:val="1"/>
                <w:szCs w:val="1"/>
                <w:color w:val="auto"/>
              </w:rPr>
            </w:pPr>
          </w:p>
        </w:tc>
      </w:tr>
      <w:tr>
        <w:trPr>
          <w:trHeight w:val="207"/>
        </w:trPr>
        <w:tc>
          <w:tcPr>
            <w:tcW w:w="7820" w:type="dxa"/>
            <w:vAlign w:val="bottom"/>
            <w:gridSpan w:val="2"/>
          </w:tcPr>
          <w:p>
            <w:pPr>
              <w:ind w:left="20"/>
              <w:spacing w:after="0"/>
              <w:rPr>
                <w:sz w:val="20"/>
                <w:szCs w:val="20"/>
                <w:color w:val="auto"/>
              </w:rPr>
            </w:pPr>
            <w:r>
              <w:rPr>
                <w:rFonts w:ascii="Arial" w:cs="Arial" w:eastAsia="Arial" w:hAnsi="Arial"/>
                <w:sz w:val="14"/>
                <w:szCs w:val="14"/>
                <w:color w:val="auto"/>
              </w:rPr>
              <w:t>Due after five years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0"/>
        </w:trPr>
        <w:tc>
          <w:tcPr>
            <w:tcW w:w="782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1,239.1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1,238.9</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During the second quarter of 2026, we sold all of our marketable debt securities and used the proceeds to partially fund our acquisition of Apellis. For additional information on our acquisition of Apellis,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Proceeds from Marketable Debt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maturities and sales of marketable debt securities and any resulting realized gains and losses are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auto"/>
            </w:tcBorders>
            <w:gridSpan w:val="4"/>
          </w:tcPr>
          <w:p>
            <w:pPr>
              <w:jc w:val="center"/>
              <w:ind w:left="14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center"/>
              <w:ind w:right="12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86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b w:val="1"/>
                <w:bCs w:val="1"/>
                <w:color w:val="257ACB"/>
              </w:rPr>
              <w:t>2026</w:t>
            </w:r>
          </w:p>
        </w:tc>
        <w:tc>
          <w:tcPr>
            <w:tcW w:w="32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r>
      <w:tr>
        <w:trPr>
          <w:trHeight w:val="189"/>
        </w:trPr>
        <w:tc>
          <w:tcPr>
            <w:tcW w:w="6180" w:type="dxa"/>
            <w:vAlign w:val="bottom"/>
            <w:gridSpan w:val="2"/>
          </w:tcPr>
          <w:p>
            <w:pPr>
              <w:ind w:left="20"/>
              <w:spacing w:after="0"/>
              <w:rPr>
                <w:sz w:val="20"/>
                <w:szCs w:val="20"/>
                <w:color w:val="auto"/>
              </w:rPr>
            </w:pPr>
            <w:r>
              <w:rPr>
                <w:rFonts w:ascii="Arial" w:cs="Arial" w:eastAsia="Arial" w:hAnsi="Arial"/>
                <w:sz w:val="14"/>
                <w:szCs w:val="14"/>
                <w:color w:val="auto"/>
              </w:rPr>
              <w:t>Proceeds from maturities and sales</w:t>
            </w:r>
          </w:p>
        </w:tc>
        <w:tc>
          <w:tcPr>
            <w:tcW w:w="860" w:type="dxa"/>
            <w:vAlign w:val="bottom"/>
            <w:shd w:val="clear" w:color="auto" w:fill="DBDBDB"/>
          </w:tcPr>
          <w:p>
            <w:pPr>
              <w:jc w:val="right"/>
              <w:ind w:right="688"/>
              <w:spacing w:after="0"/>
              <w:rPr>
                <w:sz w:val="20"/>
                <w:szCs w:val="20"/>
                <w:color w:val="auto"/>
              </w:rPr>
            </w:pPr>
            <w:r>
              <w:rPr>
                <w:rFonts w:ascii="Arial" w:cs="Arial" w:eastAsia="Arial" w:hAnsi="Arial"/>
                <w:sz w:val="14"/>
                <w:szCs w:val="14"/>
                <w:color w:val="0070C0"/>
              </w:rPr>
              <w:t>$</w:t>
            </w:r>
          </w:p>
        </w:tc>
        <w:tc>
          <w:tcPr>
            <w:tcW w:w="320" w:type="dxa"/>
            <w:vAlign w:val="bottom"/>
            <w:shd w:val="clear" w:color="auto" w:fill="DBDBDB"/>
          </w:tcPr>
          <w:p>
            <w:pPr>
              <w:ind w:left="120"/>
              <w:spacing w:after="0"/>
              <w:rPr>
                <w:sz w:val="20"/>
                <w:szCs w:val="20"/>
                <w:color w:val="auto"/>
              </w:rPr>
            </w:pPr>
            <w:r>
              <w:rPr>
                <w:rFonts w:ascii="Arial" w:cs="Arial" w:eastAsia="Arial" w:hAnsi="Arial"/>
                <w:sz w:val="14"/>
                <w:szCs w:val="14"/>
                <w:color w:val="0070C0"/>
              </w:rPr>
              <w:t>—</w:t>
            </w:r>
          </w:p>
        </w:tc>
        <w:tc>
          <w:tcPr>
            <w:tcW w:w="1060" w:type="dxa"/>
            <w:vAlign w:val="bottom"/>
            <w:gridSpan w:val="2"/>
          </w:tcPr>
          <w:p>
            <w:pPr>
              <w:jc w:val="right"/>
              <w:ind w:right="788"/>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2,140.4</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03"/>
        </w:trPr>
        <w:tc>
          <w:tcPr>
            <w:tcW w:w="6180" w:type="dxa"/>
            <w:vAlign w:val="bottom"/>
            <w:gridSpan w:val="2"/>
          </w:tcPr>
          <w:p>
            <w:pPr>
              <w:ind w:left="20"/>
              <w:spacing w:after="0"/>
              <w:rPr>
                <w:sz w:val="20"/>
                <w:szCs w:val="20"/>
                <w:color w:val="auto"/>
              </w:rPr>
            </w:pPr>
            <w:r>
              <w:rPr>
                <w:rFonts w:ascii="Arial" w:cs="Arial" w:eastAsia="Arial" w:hAnsi="Arial"/>
                <w:sz w:val="14"/>
                <w:szCs w:val="14"/>
                <w:color w:val="auto"/>
              </w:rPr>
              <w:t>Realized gains</w:t>
            </w:r>
          </w:p>
        </w:tc>
        <w:tc>
          <w:tcPr>
            <w:tcW w:w="860" w:type="dxa"/>
            <w:vAlign w:val="bottom"/>
            <w:shd w:val="clear" w:color="auto" w:fill="DBDBDB"/>
          </w:tcPr>
          <w:p>
            <w:pPr>
              <w:spacing w:after="0"/>
              <w:rPr>
                <w:sz w:val="17"/>
                <w:szCs w:val="17"/>
                <w:color w:val="auto"/>
              </w:rPr>
            </w:pPr>
          </w:p>
        </w:tc>
        <w:tc>
          <w:tcPr>
            <w:tcW w:w="320" w:type="dxa"/>
            <w:vAlign w:val="bottom"/>
            <w:shd w:val="clear" w:color="auto" w:fill="DBDBDB"/>
          </w:tcPr>
          <w:p>
            <w:pPr>
              <w:ind w:left="120"/>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11"/>
        </w:trPr>
        <w:tc>
          <w:tcPr>
            <w:tcW w:w="6180" w:type="dxa"/>
            <w:vAlign w:val="bottom"/>
            <w:gridSpan w:val="2"/>
          </w:tcPr>
          <w:p>
            <w:pPr>
              <w:ind w:left="20"/>
              <w:spacing w:after="0"/>
              <w:rPr>
                <w:sz w:val="20"/>
                <w:szCs w:val="20"/>
                <w:color w:val="auto"/>
              </w:rPr>
            </w:pPr>
            <w:r>
              <w:rPr>
                <w:rFonts w:ascii="Arial" w:cs="Arial" w:eastAsia="Arial" w:hAnsi="Arial"/>
                <w:sz w:val="14"/>
                <w:szCs w:val="14"/>
                <w:color w:val="auto"/>
              </w:rPr>
              <w:t>Realized losses</w:t>
            </w:r>
          </w:p>
        </w:tc>
        <w:tc>
          <w:tcPr>
            <w:tcW w:w="860" w:type="dxa"/>
            <w:vAlign w:val="bottom"/>
            <w:shd w:val="clear" w:color="auto" w:fill="DBDBDB"/>
          </w:tcPr>
          <w:p>
            <w:pPr>
              <w:spacing w:after="0"/>
              <w:rPr>
                <w:sz w:val="18"/>
                <w:szCs w:val="18"/>
                <w:color w:val="auto"/>
              </w:rPr>
            </w:pPr>
          </w:p>
        </w:tc>
        <w:tc>
          <w:tcPr>
            <w:tcW w:w="320" w:type="dxa"/>
            <w:vAlign w:val="bottom"/>
            <w:shd w:val="clear" w:color="auto" w:fill="DBDBDB"/>
          </w:tcPr>
          <w:p>
            <w:pPr>
              <w:ind w:left="120"/>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Realized losses for the nine months ended September 30, 2026, primarily relate to sales of corporate bonds.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Strategic Investments</w:t>
      </w:r>
    </w:p>
    <w:p>
      <w:pPr>
        <w:spacing w:after="0" w:line="11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Our strategic investment portfolio includes investments in equity securities of certain biotechnology companies, which are reflected within our disclosures included in </w:t>
      </w:r>
      <w:r>
        <w:rPr>
          <w:rFonts w:ascii="Arial" w:cs="Arial" w:eastAsia="Arial" w:hAnsi="Arial"/>
          <w:sz w:val="18"/>
          <w:szCs w:val="18"/>
          <w:i w:val="1"/>
          <w:iCs w:val="1"/>
          <w:color w:val="auto"/>
        </w:rPr>
        <w:t>Note 8, Fair Value Measurements,</w:t>
      </w:r>
      <w:r>
        <w:rPr>
          <w:rFonts w:ascii="Arial" w:cs="Arial" w:eastAsia="Arial" w:hAnsi="Arial"/>
          <w:sz w:val="18"/>
          <w:szCs w:val="18"/>
          <w:color w:val="auto"/>
        </w:rPr>
        <w:t xml:space="preserve"> to these condensed consolidated financial statements, as well as venture capital funds where the underlying investments are in equity securities of certain biotechnology companies and non-marketable equity securities.</w:t>
      </w:r>
    </w:p>
    <w:p>
      <w:pPr>
        <w:spacing w:after="0" w:line="63" w:lineRule="exact"/>
        <w:rPr>
          <w:sz w:val="20"/>
          <w:szCs w:val="20"/>
          <w:color w:val="auto"/>
        </w:rPr>
      </w:pPr>
    </w:p>
    <w:p>
      <w:pPr>
        <w:ind w:right="220"/>
        <w:spacing w:after="0" w:line="318" w:lineRule="auto"/>
        <w:rPr>
          <w:sz w:val="20"/>
          <w:szCs w:val="20"/>
          <w:color w:val="auto"/>
        </w:rPr>
      </w:pPr>
      <w:r>
        <w:rPr>
          <w:rFonts w:ascii="Arial" w:cs="Arial" w:eastAsia="Arial" w:hAnsi="Arial"/>
          <w:sz w:val="17"/>
          <w:szCs w:val="17"/>
          <w:color w:val="auto"/>
        </w:rPr>
        <w:t>As of September 30, 2026 and December 31, 2025, our strategic investment portfolio was comprised of investments totaling $166.1 million and $186.6 million, respectively, which are included in investments and other assets within our condensed consolidated balance sheets.</w:t>
      </w:r>
    </w:p>
    <w:p>
      <w:pPr>
        <w:spacing w:after="0" w:line="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decrease in our strategic investment portfolio as of September 30, 2026, compared to December 31, 2025, was primarily due to the sale of Denali common stock.</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 xml:space="preserve">For additional information on our investments in Denali common stock, please read </w:t>
      </w:r>
      <w:r>
        <w:rPr>
          <w:rFonts w:ascii="Arial" w:cs="Arial" w:eastAsia="Arial" w:hAnsi="Arial"/>
          <w:sz w:val="18"/>
          <w:szCs w:val="18"/>
          <w:i w:val="1"/>
          <w:iCs w:val="1"/>
          <w:color w:val="auto"/>
        </w:rPr>
        <w:t>Note 8, Fair Value Measurements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18,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 Detail</w:t>
      </w:r>
      <w:r>
        <w:rPr>
          <w:rFonts w:ascii="Arial" w:cs="Arial" w:eastAsia="Arial" w:hAnsi="Arial"/>
          <w:sz w:val="18"/>
          <w:szCs w:val="18"/>
          <w:color w:val="auto"/>
        </w:rPr>
        <w:t>,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96925" cy="342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66"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10:</w:t>
      </w:r>
      <w:r>
        <w:rPr>
          <w:sz w:val="20"/>
          <w:szCs w:val="20"/>
          <w:color w:val="auto"/>
        </w:rPr>
        <w:tab/>
      </w:r>
      <w:r>
        <w:rPr>
          <w:rFonts w:ascii="Arial" w:cs="Arial" w:eastAsia="Arial" w:hAnsi="Arial"/>
          <w:sz w:val="21"/>
          <w:szCs w:val="21"/>
          <w:b w:val="1"/>
          <w:bCs w:val="1"/>
          <w:color w:val="0070C0"/>
        </w:rPr>
        <w:t>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Foreign Currency Forward Contracts - Hedging Instruments</w:t>
      </w:r>
    </w:p>
    <w:p>
      <w:pPr>
        <w:spacing w:after="0" w:line="112"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Due to the global nature of our operations, portions of our revenue and operating expense are recorded in currencies other than the U.S. dollar. The value of revenue and operating expense measured in U.S. dollars is therefore subject to changes in foreign currency exchange rates. We enter into foreign currency forward contracts and foreign currency options with financial institutions with the primary objective to mitigate the impact of foreign currency exchange rate fluctuations on our international revenue and operating expense.</w:t>
      </w:r>
    </w:p>
    <w:p>
      <w:pPr>
        <w:spacing w:after="0" w:line="6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Foreign currency forward contracts and foreign currency options in effect as of September 30, 2026 and December 31, 2025, had durations of 1 to 15 months and 1 to 21 months, respectively. These contracts have been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designated as cash flow hedges and unrealized gains and losses on the portion of these foreign currency forward contracts and foreign currency options that are included in the effectiveness test are reported in AOCI. Realized gains and losses of such contracts and options are recognized in revenue when the sale of product in the currency being hedged is recognized and in operating expense when the expense in the currency being hedged is recorded. We recognize all cash flow hedge reclassifications from AOCI and fair value changes of excluded portions in the same line item in our condensed consolidated statements of income that have been impacted by the hedged item.</w:t>
      </w:r>
    </w:p>
    <w:p>
      <w:pPr>
        <w:spacing w:after="0" w:line="71"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notional amount of foreign currency forward contracts and foreign currency options that were entered into to hedge forecasted revenue and operating expense is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gridSpan w:val="4"/>
          </w:tcPr>
          <w:p>
            <w:pPr>
              <w:jc w:val="right"/>
              <w:ind w:right="1588"/>
              <w:spacing w:after="0"/>
              <w:rPr>
                <w:sz w:val="20"/>
                <w:szCs w:val="20"/>
                <w:color w:val="auto"/>
              </w:rPr>
            </w:pPr>
            <w:r>
              <w:rPr>
                <w:rFonts w:ascii="Arial" w:cs="Arial" w:eastAsia="Arial" w:hAnsi="Arial"/>
                <w:sz w:val="14"/>
                <w:szCs w:val="14"/>
                <w:b w:val="1"/>
                <w:bCs w:val="1"/>
                <w:color w:val="auto"/>
              </w:rPr>
              <w:t>Notional Amount</w:t>
            </w:r>
          </w:p>
        </w:tc>
      </w:tr>
      <w:tr>
        <w:trPr>
          <w:trHeight w:val="197"/>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257ACB"/>
              </w:rPr>
              <w:t>As of September 30, 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2025</w:t>
            </w:r>
          </w:p>
        </w:tc>
      </w:tr>
      <w:tr>
        <w:trPr>
          <w:trHeight w:val="189"/>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Euro</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1,211.1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1,531.0</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Swiss franc</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British pound</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Polish zloty</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Canadian dollar</w:t>
            </w:r>
          </w:p>
        </w:tc>
        <w:tc>
          <w:tcPr>
            <w:tcW w:w="16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Total foreign currency forward contracts and options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1,304.4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1,531.0</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pre-tax portion of the fair value of these foreign currency forward contracts and foreign currency options that were included in AOCI in total equity is summarized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206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b w:val="1"/>
                <w:bCs w:val="1"/>
                <w:color w:val="257ACB"/>
              </w:rPr>
              <w:t>As of September 30, 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As of December 31, 2025</w:t>
            </w:r>
          </w:p>
        </w:tc>
      </w:tr>
      <w:tr>
        <w:trPr>
          <w:trHeight w:val="188"/>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Unrealized gains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22.5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Unrealized (losses)</w:t>
            </w:r>
          </w:p>
        </w:tc>
        <w:tc>
          <w:tcPr>
            <w:tcW w:w="160" w:type="dxa"/>
            <w:vAlign w:val="bottom"/>
            <w:tcBorders>
              <w:bottom w:val="single" w:sz="8" w:color="auto"/>
            </w:tcBorders>
            <w:shd w:val="clear" w:color="auto" w:fill="DBDBDB"/>
          </w:tcPr>
          <w:p>
            <w:pPr>
              <w:spacing w:after="0"/>
              <w:rPr>
                <w:sz w:val="17"/>
                <w:szCs w:val="17"/>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(5.2)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w:t>
            </w:r>
          </w:p>
        </w:tc>
      </w:tr>
      <w:tr>
        <w:trPr>
          <w:trHeight w:val="220"/>
        </w:trPr>
        <w:tc>
          <w:tcPr>
            <w:tcW w:w="6680" w:type="dxa"/>
            <w:vAlign w:val="bottom"/>
            <w:gridSpan w:val="2"/>
          </w:tcPr>
          <w:p>
            <w:pPr>
              <w:ind w:left="140"/>
              <w:spacing w:after="0"/>
              <w:rPr>
                <w:sz w:val="20"/>
                <w:szCs w:val="20"/>
                <w:color w:val="auto"/>
              </w:rPr>
            </w:pPr>
            <w:r>
              <w:rPr>
                <w:rFonts w:ascii="Arial" w:cs="Arial" w:eastAsia="Arial" w:hAnsi="Arial"/>
                <w:sz w:val="14"/>
                <w:szCs w:val="14"/>
                <w:color w:val="auto"/>
              </w:rPr>
              <w:t>Net unrealized gains (losses)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17.3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60" w:type="dxa"/>
            <w:vAlign w:val="bottom"/>
          </w:tcPr>
          <w:p>
            <w:pPr>
              <w:jc w:val="right"/>
              <w:spacing w:after="0"/>
              <w:rPr>
                <w:sz w:val="20"/>
                <w:szCs w:val="20"/>
                <w:color w:val="auto"/>
              </w:rPr>
            </w:pPr>
            <w:r>
              <w:rPr>
                <w:rFonts w:ascii="Arial" w:cs="Arial" w:eastAsia="Arial" w:hAnsi="Arial"/>
                <w:sz w:val="14"/>
                <w:szCs w:val="14"/>
                <w:color w:val="auto"/>
              </w:rPr>
              <w:t>(73.3)</w:t>
            </w:r>
          </w:p>
        </w:tc>
      </w:t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expect net unrealized gains of approximately $17.3 million to be settled over the next 15 months, of which approximately $11.3 million of net unrealized gain are expected to be settled over the next 12 months, with any amounts in AOCI to be reported as an adjustment to revenue or operating expense. We consider the impact of our and our counterparties’ credit risk on the fair value of the contracts as well as the ability of each party to execute its contractual obligations. As of September 30, 2026 and December 31, 2025, credit risk did not materially change the fair value of our foreign currency forward contracts and foreign currency options.</w:t>
      </w:r>
    </w:p>
    <w:p>
      <w:pPr>
        <w:spacing w:after="0" w:line="71" w:lineRule="exact"/>
        <w:rPr>
          <w:sz w:val="20"/>
          <w:szCs w:val="20"/>
          <w:color w:val="auto"/>
        </w:rPr>
      </w:pPr>
    </w:p>
    <w:p>
      <w:pPr>
        <w:ind w:right="780"/>
        <w:spacing w:after="0" w:line="279" w:lineRule="auto"/>
        <w:rPr>
          <w:sz w:val="20"/>
          <w:szCs w:val="20"/>
          <w:color w:val="auto"/>
        </w:rPr>
      </w:pPr>
      <w:r>
        <w:rPr>
          <w:rFonts w:ascii="Arial" w:cs="Arial" w:eastAsia="Arial" w:hAnsi="Arial"/>
          <w:sz w:val="18"/>
          <w:szCs w:val="18"/>
          <w:color w:val="auto"/>
        </w:rPr>
        <w:t>The following tables summarize the effect of foreign currency forward contracts and foreign currency options designated as hedging instruments in our condensed consolidated statements of income:</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5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Net Gains/(Losses)</w:t>
      </w: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Reclassified from AOCI into Operating Income (in millions)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720"/>
        <w:spacing w:after="0"/>
        <w:rPr>
          <w:sz w:val="20"/>
          <w:szCs w:val="20"/>
          <w:color w:val="auto"/>
        </w:rPr>
      </w:pPr>
      <w:r>
        <w:rPr>
          <w:rFonts w:ascii="Arial" w:cs="Arial" w:eastAsia="Arial" w:hAnsi="Arial"/>
          <w:sz w:val="14"/>
          <w:szCs w:val="14"/>
          <w:b w:val="1"/>
          <w:bCs w:val="1"/>
          <w:color w:val="auto"/>
        </w:rPr>
        <w:t>Net Gains/(Losses) Excluded from Effectiveness Testing and</w:t>
      </w:r>
    </w:p>
    <w:p>
      <w:pPr>
        <w:spacing w:after="0" w:line="2" w:lineRule="exact"/>
        <w:rPr>
          <w:sz w:val="20"/>
          <w:szCs w:val="20"/>
          <w:color w:val="auto"/>
        </w:rPr>
      </w:pPr>
    </w:p>
    <w:p>
      <w:pPr>
        <w:jc w:val="center"/>
        <w:ind w:right="720"/>
        <w:spacing w:after="0"/>
        <w:rPr>
          <w:sz w:val="20"/>
          <w:szCs w:val="20"/>
          <w:color w:val="auto"/>
        </w:rPr>
      </w:pPr>
      <w:r>
        <w:rPr>
          <w:rFonts w:ascii="Arial" w:cs="Arial" w:eastAsia="Arial" w:hAnsi="Arial"/>
          <w:sz w:val="14"/>
          <w:szCs w:val="14"/>
          <w:b w:val="1"/>
          <w:bCs w:val="1"/>
          <w:color w:val="auto"/>
        </w:rPr>
        <w:t>Recognized in Operating Income (in millions)</w:t>
      </w:r>
    </w:p>
    <w:p>
      <w:pPr>
        <w:spacing w:after="0" w:line="10" w:lineRule="exact"/>
        <w:rPr>
          <w:sz w:val="20"/>
          <w:szCs w:val="20"/>
          <w:color w:val="auto"/>
        </w:rPr>
      </w:pPr>
    </w:p>
    <w:p>
      <w:pPr>
        <w:sectPr>
          <w:pgSz w:w="11900" w:h="16838" w:orient="portrait"/>
          <w:cols w:equalWidth="0" w:num="2">
            <w:col w:w="5660" w:space="720"/>
            <w:col w:w="486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shd w:val="clear" w:color="auto" w:fill="DBDBDB"/>
          </w:tcPr>
          <w:p>
            <w:pPr>
              <w:spacing w:after="0"/>
              <w:rPr>
                <w:sz w:val="17"/>
                <w:szCs w:val="17"/>
                <w:color w:val="auto"/>
              </w:rPr>
            </w:pPr>
          </w:p>
        </w:tc>
        <w:tc>
          <w:tcPr>
            <w:tcW w:w="1040" w:type="dxa"/>
            <w:vAlign w:val="bottom"/>
            <w:tcBorders>
              <w:top w:val="single" w:sz="8" w:color="auto"/>
              <w:bottom w:val="single" w:sz="8" w:color="auto"/>
            </w:tcBorders>
            <w:shd w:val="clear" w:color="auto" w:fill="DBDBDB"/>
          </w:tcPr>
          <w:p>
            <w:pPr>
              <w:jc w:val="right"/>
              <w:ind w:right="448"/>
              <w:spacing w:after="0"/>
              <w:rPr>
                <w:sz w:val="20"/>
                <w:szCs w:val="20"/>
                <w:color w:val="auto"/>
              </w:rPr>
            </w:pPr>
            <w:r>
              <w:rPr>
                <w:rFonts w:ascii="Arial" w:cs="Arial" w:eastAsia="Arial" w:hAnsi="Arial"/>
                <w:sz w:val="14"/>
                <w:szCs w:val="14"/>
                <w:b w:val="1"/>
                <w:bCs w:val="1"/>
                <w:color w:val="257ACB"/>
              </w:rPr>
              <w:t>2026</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2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shd w:val="clear" w:color="auto" w:fill="DBDBDB"/>
          </w:tcPr>
          <w:p>
            <w:pPr>
              <w:spacing w:after="0"/>
              <w:rPr>
                <w:sz w:val="17"/>
                <w:szCs w:val="17"/>
                <w:color w:val="auto"/>
              </w:rPr>
            </w:pPr>
          </w:p>
        </w:tc>
        <w:tc>
          <w:tcPr>
            <w:tcW w:w="1080" w:type="dxa"/>
            <w:vAlign w:val="bottom"/>
            <w:tcBorders>
              <w:top w:val="single" w:sz="8" w:color="auto"/>
              <w:bottom w:val="single" w:sz="8" w:color="auto"/>
            </w:tcBorders>
            <w:shd w:val="clear" w:color="auto" w:fill="DBDBDB"/>
          </w:tcPr>
          <w:p>
            <w:pPr>
              <w:jc w:val="right"/>
              <w:ind w:right="468"/>
              <w:spacing w:after="0"/>
              <w:rPr>
                <w:sz w:val="20"/>
                <w:szCs w:val="20"/>
                <w:color w:val="auto"/>
              </w:rPr>
            </w:pPr>
            <w:r>
              <w:rPr>
                <w:rFonts w:ascii="Arial" w:cs="Arial" w:eastAsia="Arial" w:hAnsi="Arial"/>
                <w:sz w:val="14"/>
                <w:szCs w:val="14"/>
                <w:b w:val="1"/>
                <w:bCs w:val="1"/>
                <w:color w:val="257ACB"/>
              </w:rPr>
              <w:t>2026</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r>
      <w:tr>
        <w:trPr>
          <w:trHeight w:val="188"/>
        </w:trPr>
        <w:tc>
          <w:tcPr>
            <w:tcW w:w="2720" w:type="dxa"/>
            <w:vAlign w:val="bottom"/>
            <w:gridSpan w:val="2"/>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(9.3)</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8.0</w:t>
            </w:r>
          </w:p>
        </w:tc>
      </w:tr>
      <w:tr>
        <w:trPr>
          <w:trHeight w:val="211"/>
        </w:trPr>
        <w:tc>
          <w:tcPr>
            <w:tcW w:w="2720" w:type="dxa"/>
            <w:vAlign w:val="bottom"/>
            <w:gridSpan w:val="2"/>
          </w:tcPr>
          <w:p>
            <w:pPr>
              <w:ind w:left="20"/>
              <w:spacing w:after="0"/>
              <w:rPr>
                <w:sz w:val="20"/>
                <w:szCs w:val="20"/>
                <w:color w:val="auto"/>
              </w:rPr>
            </w:pPr>
            <w:r>
              <w:rPr>
                <w:rFonts w:ascii="Arial" w:cs="Arial" w:eastAsia="Arial" w:hAnsi="Arial"/>
                <w:sz w:val="14"/>
                <w:szCs w:val="14"/>
                <w:color w:val="auto"/>
              </w:rPr>
              <w:t>Operating expense</w:t>
            </w: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4"/>
                <w:szCs w:val="14"/>
                <w:color w:val="auto"/>
              </w:rPr>
              <w:t>Operating expense</w:t>
            </w: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r>
    </w:tbl>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7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jc w:val="center"/>
              <w:ind w:left="188"/>
              <w:spacing w:after="0" w:line="149" w:lineRule="exact"/>
              <w:rPr>
                <w:sz w:val="20"/>
                <w:szCs w:val="20"/>
                <w:color w:val="auto"/>
              </w:rPr>
            </w:pPr>
            <w:r>
              <w:rPr>
                <w:rFonts w:ascii="Arial" w:cs="Arial" w:eastAsia="Arial" w:hAnsi="Arial"/>
                <w:sz w:val="14"/>
                <w:szCs w:val="14"/>
                <w:b w:val="1"/>
                <w:bCs w:val="1"/>
                <w:color w:val="auto"/>
              </w:rPr>
              <w:t>Net Gains/(Losses)</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520" w:type="dxa"/>
            <w:vAlign w:val="bottom"/>
            <w:tcBorders>
              <w:top w:val="single" w:sz="8" w:color="auto"/>
            </w:tcBorders>
            <w:gridSpan w:val="7"/>
          </w:tcPr>
          <w:p>
            <w:pPr>
              <w:jc w:val="center"/>
              <w:spacing w:after="0" w:line="149" w:lineRule="exact"/>
              <w:rPr>
                <w:sz w:val="20"/>
                <w:szCs w:val="20"/>
                <w:color w:val="auto"/>
              </w:rPr>
            </w:pPr>
            <w:r>
              <w:rPr>
                <w:rFonts w:ascii="Arial" w:cs="Arial" w:eastAsia="Arial" w:hAnsi="Arial"/>
                <w:sz w:val="14"/>
                <w:szCs w:val="14"/>
                <w:b w:val="1"/>
                <w:bCs w:val="1"/>
                <w:color w:val="auto"/>
              </w:rPr>
              <w:t>Net Gains/(Losses) Excluded from Effectiveness Testing and</w:t>
            </w:r>
          </w:p>
        </w:tc>
      </w:tr>
      <w:tr>
        <w:trPr>
          <w:trHeight w:val="185"/>
        </w:trPr>
        <w:tc>
          <w:tcPr>
            <w:tcW w:w="5120" w:type="dxa"/>
            <w:vAlign w:val="bottom"/>
            <w:tcBorders>
              <w:bottom w:val="single" w:sz="8" w:color="auto"/>
            </w:tcBorders>
            <w:gridSpan w:val="7"/>
          </w:tcPr>
          <w:p>
            <w:pPr>
              <w:jc w:val="center"/>
              <w:ind w:left="388"/>
              <w:spacing w:after="0"/>
              <w:rPr>
                <w:sz w:val="20"/>
                <w:szCs w:val="20"/>
                <w:color w:val="auto"/>
              </w:rPr>
            </w:pPr>
            <w:r>
              <w:rPr>
                <w:rFonts w:ascii="Arial" w:cs="Arial" w:eastAsia="Arial" w:hAnsi="Arial"/>
                <w:sz w:val="14"/>
                <w:szCs w:val="14"/>
                <w:b w:val="1"/>
                <w:bCs w:val="1"/>
                <w:color w:val="auto"/>
              </w:rPr>
              <w:t>Reclassified from AOCI into Operating Income (in millions)</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60" w:type="dxa"/>
            <w:vAlign w:val="bottom"/>
            <w:tcBorders>
              <w:bottom w:val="single" w:sz="8" w:color="auto"/>
            </w:tcBorders>
            <w:gridSpan w:val="6"/>
          </w:tcPr>
          <w:p>
            <w:pPr>
              <w:jc w:val="center"/>
              <w:ind w:left="968"/>
              <w:spacing w:after="0"/>
              <w:rPr>
                <w:sz w:val="20"/>
                <w:szCs w:val="20"/>
                <w:color w:val="auto"/>
              </w:rPr>
            </w:pPr>
            <w:r>
              <w:rPr>
                <w:rFonts w:ascii="Arial" w:cs="Arial" w:eastAsia="Arial" w:hAnsi="Arial"/>
                <w:sz w:val="14"/>
                <w:szCs w:val="14"/>
                <w:b w:val="1"/>
                <w:bCs w:val="1"/>
                <w:color w:val="auto"/>
              </w:rPr>
              <w:t>Recognized in Operating Income (in millions)</w:t>
            </w:r>
          </w:p>
        </w:tc>
        <w:tc>
          <w:tcPr>
            <w:tcW w:w="1060" w:type="dxa"/>
            <w:vAlign w:val="bottom"/>
            <w:tcBorders>
              <w:bottom w:val="single" w:sz="8" w:color="auto"/>
            </w:tcBorders>
          </w:tcPr>
          <w:p>
            <w:pPr>
              <w:spacing w:after="0"/>
              <w:rPr>
                <w:sz w:val="16"/>
                <w:szCs w:val="16"/>
                <w:color w:val="auto"/>
              </w:rPr>
            </w:pPr>
          </w:p>
        </w:tc>
      </w:tr>
      <w:tr>
        <w:trPr>
          <w:trHeight w:val="19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ACB"/>
              </w:rPr>
              <w:t>2026</w:t>
            </w:r>
          </w:p>
        </w:tc>
        <w:tc>
          <w:tcPr>
            <w:tcW w:w="46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6"/>
                <w:szCs w:val="16"/>
                <w:color w:val="auto"/>
              </w:rPr>
            </w:pPr>
          </w:p>
        </w:tc>
        <w:tc>
          <w:tcPr>
            <w:tcW w:w="34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ind w:right="468"/>
              <w:spacing w:after="0"/>
              <w:rPr>
                <w:sz w:val="20"/>
                <w:szCs w:val="20"/>
                <w:color w:val="auto"/>
              </w:rPr>
            </w:pPr>
            <w:r>
              <w:rPr>
                <w:rFonts w:ascii="Arial" w:cs="Arial" w:eastAsia="Arial" w:hAnsi="Arial"/>
                <w:sz w:val="14"/>
                <w:szCs w:val="14"/>
                <w:b w:val="1"/>
                <w:bCs w:val="1"/>
                <w:color w:val="257ACB"/>
              </w:rPr>
              <w:t>2026</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r>
      <w:tr>
        <w:trPr>
          <w:trHeight w:val="189"/>
        </w:trPr>
        <w:tc>
          <w:tcPr>
            <w:tcW w:w="1700" w:type="dxa"/>
            <w:vAlign w:val="bottom"/>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shd w:val="clear" w:color="auto" w:fill="DBDBDB"/>
          </w:tcPr>
          <w:p>
            <w:pPr>
              <w:jc w:val="center"/>
              <w:ind w:right="708"/>
              <w:spacing w:after="0"/>
              <w:rPr>
                <w:sz w:val="20"/>
                <w:szCs w:val="20"/>
                <w:color w:val="auto"/>
              </w:rPr>
            </w:pPr>
            <w:r>
              <w:rPr>
                <w:rFonts w:ascii="Arial" w:cs="Arial" w:eastAsia="Arial" w:hAnsi="Arial"/>
                <w:sz w:val="14"/>
                <w:szCs w:val="14"/>
                <w:color w:val="257ACB"/>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(29.7)</w:t>
            </w:r>
          </w:p>
        </w:tc>
        <w:tc>
          <w:tcPr>
            <w:tcW w:w="1040" w:type="dxa"/>
            <w:vAlign w:val="bottom"/>
            <w:gridSpan w:val="2"/>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(8.2)</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7.6</w:t>
            </w:r>
          </w:p>
        </w:tc>
      </w:tr>
      <w:tr>
        <w:trPr>
          <w:trHeight w:val="211"/>
        </w:trPr>
        <w:tc>
          <w:tcPr>
            <w:tcW w:w="170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4"/>
                <w:szCs w:val="14"/>
                <w:color w:val="auto"/>
              </w:rPr>
              <w:t>Operating expense</w:t>
            </w: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Foreign Currency Forward Contracts - Other Derivative Instruments</w:t>
      </w:r>
    </w:p>
    <w:p>
      <w:pPr>
        <w:spacing w:after="0" w:line="12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also enter into other foreign currency forward contracts, usually with durations of one month or less, to mitigate the foreign currency risk related to certain balance sheet positions. We have not elected hedge accounting for these transactions.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aggregate notional amount of these outstanding foreign currency forward contracts was $1,295.1 million and $1,193.7 million as of September 30, 2026 and December 31, 2025, respectively. Net losses of $ 15.4 million and $45.4 million related to these contracts were recorded as a component of other (income) expense, net for the three and nine months ended September 30, 2026, compared to net losses of $0.5 million and net gains of $34.9 million, respectively, in the prior year comparative periods.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Summary of Derivative Instruments</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While certain of our derivative instruments are subject to netting arrangements with our counterparties, we do not offset derivative assets and liabilities in our condensed consolidated balance sheets. The amounts in the table below would not be substantially different if the derivative assets and liabilities were offset.</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following table summarizes the fair value and presentation in our condensed consolidated balance sheets of our outstanding derivative instruments, including those designated as hedging instruments: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20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b w:val="1"/>
                <w:bCs w:val="1"/>
                <w:color w:val="257ACB"/>
              </w:rPr>
              <w:t>As of September 30, 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2025</w:t>
            </w:r>
          </w:p>
        </w:tc>
      </w:tr>
      <w:tr>
        <w:trPr>
          <w:trHeight w:val="188"/>
        </w:trPr>
        <w:tc>
          <w:tcPr>
            <w:tcW w:w="3360" w:type="dxa"/>
            <w:vAlign w:val="bottom"/>
            <w:gridSpan w:val="2"/>
          </w:tcPr>
          <w:p>
            <w:pPr>
              <w:ind w:left="20"/>
              <w:spacing w:after="0"/>
              <w:rPr>
                <w:sz w:val="20"/>
                <w:szCs w:val="20"/>
                <w:color w:val="auto"/>
              </w:rPr>
            </w:pPr>
            <w:r>
              <w:rPr>
                <w:rFonts w:ascii="Arial" w:cs="Arial" w:eastAsia="Arial" w:hAnsi="Arial"/>
                <w:sz w:val="14"/>
                <w:szCs w:val="14"/>
                <w:i w:val="1"/>
                <w:iCs w:val="1"/>
                <w:color w:val="auto"/>
              </w:rPr>
              <w:t>Cash Flow Hedging Instruments:</w:t>
            </w: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03"/>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Asset derivative instruments</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28.0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0.1</w:t>
            </w:r>
          </w:p>
        </w:tc>
      </w:tr>
      <w:tr>
        <w:trPr>
          <w:trHeight w:val="203"/>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Investments and other assets</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0.4</w:t>
            </w:r>
          </w:p>
        </w:tc>
      </w:tr>
      <w:tr>
        <w:trPr>
          <w:trHeight w:val="203"/>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Liability derivative instruments</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54.0</w:t>
            </w:r>
          </w:p>
        </w:tc>
      </w:tr>
      <w:tr>
        <w:trPr>
          <w:trHeight w:val="203"/>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long-term liabilities</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2.2</w:t>
            </w:r>
          </w:p>
        </w:tc>
      </w:tr>
      <w:tr>
        <w:trPr>
          <w:trHeight w:val="257"/>
        </w:trPr>
        <w:tc>
          <w:tcPr>
            <w:tcW w:w="3360" w:type="dxa"/>
            <w:vAlign w:val="bottom"/>
            <w:gridSpan w:val="2"/>
          </w:tcPr>
          <w:p>
            <w:pPr>
              <w:ind w:left="20"/>
              <w:spacing w:after="0"/>
              <w:rPr>
                <w:sz w:val="20"/>
                <w:szCs w:val="20"/>
                <w:color w:val="auto"/>
              </w:rPr>
            </w:pPr>
            <w:r>
              <w:rPr>
                <w:rFonts w:ascii="Arial" w:cs="Arial" w:eastAsia="Arial" w:hAnsi="Arial"/>
                <w:sz w:val="14"/>
                <w:szCs w:val="14"/>
                <w:i w:val="1"/>
                <w:iCs w:val="1"/>
                <w:color w:val="auto"/>
              </w:rPr>
              <w:t>Other Derivative Instruments:</w:t>
            </w:r>
          </w:p>
        </w:tc>
        <w:tc>
          <w:tcPr>
            <w:tcW w:w="3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02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03"/>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Asset derivative instruments</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9.9</w:t>
            </w:r>
          </w:p>
        </w:tc>
      </w:tr>
      <w:tr>
        <w:trPr>
          <w:trHeight w:val="211"/>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Liability derivative instruments</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160" w:type="dxa"/>
            <w:vAlign w:val="bottom"/>
            <w:shd w:val="clear" w:color="auto" w:fill="DBDBDB"/>
          </w:tcPr>
          <w:p>
            <w:pPr>
              <w:spacing w:after="0"/>
              <w:rPr>
                <w:sz w:val="18"/>
                <w:szCs w:val="18"/>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96925" cy="342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11:</w:t>
      </w:r>
      <w:r>
        <w:rPr>
          <w:sz w:val="20"/>
          <w:szCs w:val="20"/>
          <w:color w:val="auto"/>
        </w:rPr>
        <w:tab/>
      </w:r>
      <w:r>
        <w:rPr>
          <w:rFonts w:ascii="Arial" w:cs="Arial" w:eastAsia="Arial" w:hAnsi="Arial"/>
          <w:sz w:val="21"/>
          <w:szCs w:val="21"/>
          <w:b w:val="1"/>
          <w:bCs w:val="1"/>
          <w:color w:val="0070C0"/>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Property, plant and equipment are recorded at historical cost, net of accumulated depreciation. Accumulated depreciation on property, plant and equipment was $3.1 billion and $2.9 billion as of September 30, 2026 and December 31, 2025, respectively. For the three and nine months ended September 30, 2026, depreciation expense totaled approximately $68.3 million and $204.1 million, respectively, compared to $66.5 million and $204.8 million, respectively, in the prior year comparative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96925" cy="342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90"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12:</w:t>
      </w:r>
      <w:r>
        <w:rPr>
          <w:sz w:val="20"/>
          <w:szCs w:val="20"/>
          <w:color w:val="auto"/>
        </w:rPr>
        <w:tab/>
      </w:r>
      <w:r>
        <w:rPr>
          <w:rFonts w:ascii="Arial" w:cs="Arial" w:eastAsia="Arial" w:hAnsi="Arial"/>
          <w:sz w:val="21"/>
          <w:szCs w:val="21"/>
          <w:b w:val="1"/>
          <w:bCs w:val="1"/>
          <w:color w:val="0070C0"/>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Reata Lease</w:t>
      </w:r>
    </w:p>
    <w:p>
      <w:pPr>
        <w:spacing w:after="0" w:line="11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part of our acquisition of Reata, we assumed responsibility for a single-tenant, build-to-suit building of approximately 327,400 square feet of office and laboratory space located in Plano, Texas, with an initial lease term of 16 years. We recorded a lease liability of approximately $151.8 million, with a corresponding right-of-use asset of approximately $121.2 million.</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fourth quarter of 2025 we performed an impairment assessment for this right-of-use asset. This assessment involved estimating undiscounted future cash flows, including potential sublease income and remaining lease obligations. As a result of this impairment assessment, we recorded an impairment charge of approximately $52.9 million related to this Reata lease, which is included in impairment of ROU asset within our consolidated statements of income for the year ended December 31, 2025.</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2026 we entered into a lease termination agreement in exchange for a termination fee of approximately $84.5 million and rent payments for 12 months totaling $ 16.3 million. We derecognized the right of use assets of approximately $53.4 million and lease liabilities of approximately $143.6 million. The transaction resulted in a pre-tax loss of approximately $10.6 million, which was recorded in selling, general and administrative expense within our condensed consolidated statements of income for the three and nine months ended September 30, 2026.</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13:</w:t>
      </w:r>
      <w:r>
        <w:rPr>
          <w:sz w:val="20"/>
          <w:szCs w:val="20"/>
          <w:color w:val="auto"/>
        </w:rPr>
        <w:tab/>
      </w:r>
      <w:r>
        <w:rPr>
          <w:rFonts w:ascii="Arial" w:cs="Arial" w:eastAsia="Arial" w:hAnsi="Arial"/>
          <w:sz w:val="21"/>
          <w:szCs w:val="21"/>
          <w:b w:val="1"/>
          <w:bCs w:val="1"/>
          <w:color w:val="0070C0"/>
        </w:rPr>
        <w:t>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2026 Term Loan Credit Agreement</w:t>
      </w:r>
    </w:p>
    <w:p>
      <w:pPr>
        <w:spacing w:after="0" w:line="1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connection with our acquisition of Apellis we entered into a $2.0 billion term loan credit agreement. On the closing date of the Apellis acquisition we drew $2.0 billion from the 2026 Term Loan, comprised of a $1.0 billion floating rate 364-day tranche and a $ 1.0 billion floating rate two-year tranche. As of September 30, 2026, we had $1.4 billion outstanding under the term loan credit agreement, of which $400.0 million was outstanding under the 364-day tranche and $1.0 billion outstanding under the two-year tranche.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2025 Senior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On May 12, 2025, we issued senior unsecured notes for an aggregate principal amount of $1.75 billion, consisting of the following:</w:t>
      </w:r>
    </w:p>
    <w:p>
      <w:pPr>
        <w:spacing w:after="0" w:line="117"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18"/>
          <w:szCs w:val="18"/>
          <w:color w:val="0070C0"/>
        </w:rPr>
      </w:pPr>
      <w:r>
        <w:rPr>
          <w:rFonts w:ascii="Arial" w:cs="Arial" w:eastAsia="Arial" w:hAnsi="Arial"/>
          <w:sz w:val="18"/>
          <w:szCs w:val="18"/>
          <w:color w:val="auto"/>
        </w:rPr>
        <w:t>$400.0 million of 5.050% Senior Notes due January 15, 2031, valued at 99.981% of par;</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15"/>
        </w:numPr>
        <w:rPr>
          <w:rFonts w:ascii="Arial" w:cs="Arial" w:eastAsia="Arial" w:hAnsi="Arial"/>
          <w:sz w:val="18"/>
          <w:szCs w:val="18"/>
          <w:color w:val="0070C0"/>
        </w:rPr>
      </w:pPr>
      <w:r>
        <w:rPr>
          <w:rFonts w:ascii="Arial" w:cs="Arial" w:eastAsia="Arial" w:hAnsi="Arial"/>
          <w:sz w:val="18"/>
          <w:szCs w:val="18"/>
          <w:color w:val="auto"/>
        </w:rPr>
        <w:t>$650.0 million of 5.750% Senior Notes due May 15, 2035, valued at 99.924% of par; and</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15"/>
        </w:numPr>
        <w:rPr>
          <w:rFonts w:ascii="Arial" w:cs="Arial" w:eastAsia="Arial" w:hAnsi="Arial"/>
          <w:sz w:val="18"/>
          <w:szCs w:val="18"/>
          <w:color w:val="0070C0"/>
        </w:rPr>
      </w:pPr>
      <w:r>
        <w:rPr>
          <w:rFonts w:ascii="Arial" w:cs="Arial" w:eastAsia="Arial" w:hAnsi="Arial"/>
          <w:sz w:val="18"/>
          <w:szCs w:val="18"/>
          <w:color w:val="auto"/>
        </w:rPr>
        <w:t>$700.0 million of 6.450% Senior Notes due May 15, 2055, valued at 99.657% of par.</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2025 Senior Notes are senior unsecured obligations and may be redeemed at our option at any time at 100% of the principal amount plus accrued interest and, until a specified period before maturity, a specified make-whole amount. Our 2025 Senior Notes contain a change-of-control provision that, under certain circumstances, may require us to purchase our 2025 Senior Notes at a price equal to 101% of the principal amount plus accrued and unpaid interest to the date of repurchase.</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incurred approximately $13.9 million of costs associated with this offering which have been recorded as a reduction to the carrying amount of the debt on our condensed consolidated balance sheets. These costs will be amortized as additional interest expense using the effective interest rate method over the period from issuance through maturity. The discounts will be amortized as additional interest expense over the period from issuance through maturity using the effective interest rate method.</w:t>
      </w:r>
    </w:p>
    <w:p>
      <w:pPr>
        <w:spacing w:after="0" w:line="68"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color w:val="auto"/>
        </w:rPr>
        <w:t>Interest on our 2031 Senior Notes is payable January 15 and July 15 of each year, which commenced on January 15, 2026. Interest on our 2035 Senior Notes and 2055 Senior Notes is payable May 15 and November 15 of each year, which commenced on November 15, 2025.</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4.050% Senior Notes due September 15, 2025</w:t>
      </w:r>
    </w:p>
    <w:p>
      <w:pPr>
        <w:spacing w:after="0" w:line="11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On September 15, 2015, we issued $1.75 billion aggregate principal amount of 4.050% Senior Notes due September 15, 2025, at 99.764% of par. In June 2025 we used the net proceeds from the sale of our 2025 Senior Notes to redeem our 4.050% Senior Notes due September 15, 2025, prior to maturity. No gain or loss was recognized upon redemption.</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2024 Revolving Credit Facility</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2024 we entered into a $1.5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We borrowed $400.0 million under our revolving credit facility during the second quarter of 2026 and this borrowing was repaid in full in June 2026. As of September 30, 2026 and December 31, 2025, we had no outstanding borrowings and were in compliance with all covenants under this facility.</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0587F"/>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14:</w:t>
      </w:r>
      <w:r>
        <w:rPr>
          <w:sz w:val="20"/>
          <w:szCs w:val="20"/>
          <w:color w:val="auto"/>
        </w:rPr>
        <w:tab/>
      </w:r>
      <w:r>
        <w:rPr>
          <w:rFonts w:ascii="Arial" w:cs="Arial" w:eastAsia="Arial" w:hAnsi="Arial"/>
          <w:sz w:val="21"/>
          <w:szCs w:val="21"/>
          <w:b w:val="1"/>
          <w:bCs w:val="1"/>
          <w:color w:val="0070C0"/>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Accumulated Other Comprehensive Income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changes in AOCI, net of tax by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103505</wp:posOffset>
            </wp:positionV>
            <wp:extent cx="478345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83455" cy="12890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802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June 30, 2026</w:t>
      </w:r>
    </w:p>
    <w:p>
      <w:pPr>
        <w:spacing w:after="0" w:line="42" w:lineRule="exact"/>
        <w:rPr>
          <w:sz w:val="20"/>
          <w:szCs w:val="20"/>
          <w:color w:val="auto"/>
        </w:rPr>
      </w:pPr>
    </w:p>
    <w:p>
      <w:pPr>
        <w:ind w:left="220" w:right="640"/>
        <w:spacing w:after="0" w:line="252" w:lineRule="auto"/>
        <w:rPr>
          <w:sz w:val="20"/>
          <w:szCs w:val="20"/>
          <w:color w:val="auto"/>
        </w:rPr>
      </w:pPr>
      <w:r>
        <w:rPr>
          <w:rFonts w:ascii="Arial" w:cs="Arial" w:eastAsia="Arial" w:hAnsi="Arial"/>
          <w:sz w:val="14"/>
          <w:szCs w:val="14"/>
          <w:color w:val="auto"/>
        </w:rPr>
        <w:t>Other comprehensive income (loss) before reclassifications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54" w:lineRule="exact"/>
        <w:rPr>
          <w:sz w:val="20"/>
          <w:szCs w:val="20"/>
          <w:color w:val="auto"/>
        </w:rPr>
      </w:pPr>
    </w:p>
    <w:p>
      <w:pPr>
        <w:ind w:left="20" w:firstLine="121"/>
        <w:spacing w:after="0" w:line="405" w:lineRule="auto"/>
        <w:rPr>
          <w:sz w:val="20"/>
          <w:szCs w:val="20"/>
          <w:color w:val="auto"/>
        </w:rPr>
      </w:pPr>
      <w:r>
        <w:rPr>
          <w:rFonts w:ascii="Arial" w:cs="Arial" w:eastAsia="Arial" w:hAnsi="Arial"/>
          <w:sz w:val="14"/>
          <w:szCs w:val="14"/>
          <w:color w:val="auto"/>
        </w:rPr>
        <w:t>Net current period other comprehensive income (loss) Balance,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802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2025</w:t>
      </w:r>
    </w:p>
    <w:p>
      <w:pPr>
        <w:spacing w:after="0" w:line="42" w:lineRule="exact"/>
        <w:rPr>
          <w:sz w:val="20"/>
          <w:szCs w:val="20"/>
          <w:color w:val="auto"/>
        </w:rPr>
      </w:pPr>
    </w:p>
    <w:p>
      <w:pPr>
        <w:ind w:left="220" w:right="640"/>
        <w:spacing w:after="0" w:line="252" w:lineRule="auto"/>
        <w:rPr>
          <w:sz w:val="20"/>
          <w:szCs w:val="20"/>
          <w:color w:val="auto"/>
        </w:rPr>
      </w:pPr>
      <w:r>
        <w:rPr>
          <w:rFonts w:ascii="Arial" w:cs="Arial" w:eastAsia="Arial" w:hAnsi="Arial"/>
          <w:sz w:val="14"/>
          <w:szCs w:val="14"/>
          <w:color w:val="auto"/>
        </w:rPr>
        <w:t>Other comprehensive income (loss) before reclassifications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54" w:lineRule="exact"/>
        <w:rPr>
          <w:sz w:val="20"/>
          <w:szCs w:val="20"/>
          <w:color w:val="auto"/>
        </w:rPr>
      </w:pPr>
    </w:p>
    <w:p>
      <w:pPr>
        <w:ind w:left="20" w:firstLine="121"/>
        <w:spacing w:after="0" w:line="405" w:lineRule="auto"/>
        <w:rPr>
          <w:sz w:val="20"/>
          <w:szCs w:val="20"/>
          <w:color w:val="auto"/>
        </w:rPr>
      </w:pPr>
      <w:r>
        <w:rPr>
          <w:rFonts w:ascii="Arial" w:cs="Arial" w:eastAsia="Arial" w:hAnsi="Arial"/>
          <w:sz w:val="14"/>
          <w:szCs w:val="14"/>
          <w:color w:val="auto"/>
        </w:rPr>
        <w:t>Net current period other comprehensive income (loss) Balance,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974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June 30, 2025</w:t>
      </w:r>
    </w:p>
    <w:p>
      <w:pPr>
        <w:spacing w:after="0" w:line="42" w:lineRule="exact"/>
        <w:rPr>
          <w:sz w:val="20"/>
          <w:szCs w:val="20"/>
          <w:color w:val="auto"/>
        </w:rPr>
      </w:pPr>
    </w:p>
    <w:p>
      <w:pPr>
        <w:ind w:left="220" w:right="640"/>
        <w:spacing w:after="0" w:line="252" w:lineRule="auto"/>
        <w:rPr>
          <w:sz w:val="20"/>
          <w:szCs w:val="20"/>
          <w:color w:val="auto"/>
        </w:rPr>
      </w:pPr>
      <w:r>
        <w:rPr>
          <w:rFonts w:ascii="Arial" w:cs="Arial" w:eastAsia="Arial" w:hAnsi="Arial"/>
          <w:sz w:val="14"/>
          <w:szCs w:val="14"/>
          <w:color w:val="auto"/>
        </w:rPr>
        <w:t>Other comprehensive income (loss) before reclassifications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54" w:lineRule="exact"/>
        <w:rPr>
          <w:sz w:val="20"/>
          <w:szCs w:val="20"/>
          <w:color w:val="auto"/>
        </w:rPr>
      </w:pPr>
    </w:p>
    <w:p>
      <w:pPr>
        <w:ind w:left="20" w:firstLine="121"/>
        <w:spacing w:after="0" w:line="405" w:lineRule="auto"/>
        <w:rPr>
          <w:sz w:val="20"/>
          <w:szCs w:val="20"/>
          <w:color w:val="auto"/>
        </w:rPr>
      </w:pPr>
      <w:r>
        <w:rPr>
          <w:rFonts w:ascii="Arial" w:cs="Arial" w:eastAsia="Arial" w:hAnsi="Arial"/>
          <w:sz w:val="14"/>
          <w:szCs w:val="14"/>
          <w:color w:val="auto"/>
        </w:rPr>
        <w:t>Net current period other comprehensive income (loss) Balance,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974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2024</w:t>
      </w:r>
    </w:p>
    <w:p>
      <w:pPr>
        <w:spacing w:after="0" w:line="42" w:lineRule="exact"/>
        <w:rPr>
          <w:sz w:val="20"/>
          <w:szCs w:val="20"/>
          <w:color w:val="auto"/>
        </w:rPr>
      </w:pPr>
    </w:p>
    <w:p>
      <w:pPr>
        <w:ind w:left="220" w:right="640"/>
        <w:spacing w:after="0" w:line="252" w:lineRule="auto"/>
        <w:rPr>
          <w:sz w:val="20"/>
          <w:szCs w:val="20"/>
          <w:color w:val="auto"/>
        </w:rPr>
      </w:pPr>
      <w:r>
        <w:rPr>
          <w:rFonts w:ascii="Arial" w:cs="Arial" w:eastAsia="Arial" w:hAnsi="Arial"/>
          <w:sz w:val="14"/>
          <w:szCs w:val="14"/>
          <w:color w:val="auto"/>
        </w:rPr>
        <w:t>Other comprehensive income (loss) before reclassifications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54" w:lineRule="exact"/>
        <w:rPr>
          <w:sz w:val="20"/>
          <w:szCs w:val="20"/>
          <w:color w:val="auto"/>
        </w:rPr>
      </w:pPr>
    </w:p>
    <w:p>
      <w:pPr>
        <w:ind w:left="20" w:firstLine="121"/>
        <w:spacing w:after="0" w:line="405" w:lineRule="auto"/>
        <w:rPr>
          <w:sz w:val="20"/>
          <w:szCs w:val="20"/>
          <w:color w:val="auto"/>
        </w:rPr>
      </w:pPr>
      <w:r>
        <w:rPr>
          <w:rFonts w:ascii="Arial" w:cs="Arial" w:eastAsia="Arial" w:hAnsi="Arial"/>
          <w:sz w:val="14"/>
          <w:szCs w:val="14"/>
          <w:color w:val="auto"/>
        </w:rPr>
        <w:t>Net current period other comprehensive income (loss) Balance, September 30, 2025</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70C0"/>
        </w:rPr>
        <w:t>For the Three Months Ended September 30, 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Unrealized Gains</w:t>
            </w: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rPr>
              <w:t>Unrealized Gains</w:t>
            </w: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Unrealized Gains</w:t>
            </w:r>
          </w:p>
        </w:tc>
        <w:tc>
          <w:tcPr>
            <w:tcW w:w="1300" w:type="dxa"/>
            <w:vAlign w:val="bottom"/>
            <w:tcBorders>
              <w:top w:val="single" w:sz="8" w:color="auto"/>
            </w:tcBorders>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Currency</w:t>
            </w: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(Losses) on Securities</w:t>
            </w:r>
          </w:p>
        </w:tc>
        <w:tc>
          <w:tcPr>
            <w:tcW w:w="100" w:type="dxa"/>
            <w:vAlign w:val="bottom"/>
          </w:tcPr>
          <w:p>
            <w:pPr>
              <w:spacing w:after="0"/>
              <w:rPr>
                <w:sz w:val="12"/>
                <w:szCs w:val="12"/>
                <w:color w:val="auto"/>
              </w:rPr>
            </w:pPr>
          </w:p>
        </w:tc>
        <w:tc>
          <w:tcPr>
            <w:tcW w:w="142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rPr>
              <w:t>(Losses) on Cash</w:t>
            </w:r>
          </w:p>
        </w:tc>
        <w:tc>
          <w:tcPr>
            <w:tcW w:w="100" w:type="dxa"/>
            <w:vAlign w:val="bottom"/>
          </w:tcPr>
          <w:p>
            <w:pPr>
              <w:spacing w:after="0"/>
              <w:rPr>
                <w:sz w:val="12"/>
                <w:szCs w:val="12"/>
                <w:color w:val="auto"/>
              </w:rPr>
            </w:pPr>
          </w:p>
        </w:tc>
        <w:tc>
          <w:tcPr>
            <w:tcW w:w="18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(Losses) on Pension</w:t>
            </w:r>
          </w:p>
        </w:tc>
        <w:tc>
          <w:tcPr>
            <w:tcW w:w="13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Translation</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6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Available for Sale, 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Flow Hedges,</w:t>
            </w:r>
          </w:p>
        </w:tc>
        <w:tc>
          <w:tcPr>
            <w:tcW w:w="100" w:type="dxa"/>
            <w:vAlign w:val="bottom"/>
          </w:tcPr>
          <w:p>
            <w:pPr>
              <w:spacing w:after="0"/>
              <w:rPr>
                <w:sz w:val="12"/>
                <w:szCs w:val="12"/>
                <w:color w:val="auto"/>
              </w:rPr>
            </w:pPr>
          </w:p>
        </w:tc>
        <w:tc>
          <w:tcPr>
            <w:tcW w:w="180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rPr>
              <w:t>Benefit Obligation, Net</w:t>
            </w:r>
          </w:p>
        </w:tc>
        <w:tc>
          <w:tcPr>
            <w:tcW w:w="130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rPr>
              <w:t>Adjustments,</w:t>
            </w:r>
          </w:p>
        </w:tc>
        <w:tc>
          <w:tcPr>
            <w:tcW w:w="380" w:type="dxa"/>
            <w:vAlign w:val="bottom"/>
          </w:tcPr>
          <w:p>
            <w:pPr>
              <w:spacing w:after="0"/>
              <w:rPr>
                <w:sz w:val="12"/>
                <w:szCs w:val="12"/>
                <w:color w:val="auto"/>
              </w:rPr>
            </w:pPr>
          </w:p>
        </w:tc>
        <w:tc>
          <w:tcPr>
            <w:tcW w:w="7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9"/>
        </w:trPr>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of Tax</w:t>
            </w:r>
          </w:p>
        </w:tc>
        <w:tc>
          <w:tcPr>
            <w:tcW w:w="1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of Tax</w:t>
            </w:r>
          </w:p>
        </w:tc>
        <w:tc>
          <w:tcPr>
            <w:tcW w:w="120" w:type="dxa"/>
            <w:vAlign w:val="bottom"/>
            <w:tcBorders>
              <w:bottom w:val="single" w:sz="8" w:color="DBDBDB"/>
            </w:tcBorders>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8.5</w:t>
            </w:r>
          </w:p>
        </w:tc>
        <w:tc>
          <w:tcPr>
            <w:tcW w:w="500" w:type="dxa"/>
            <w:vAlign w:val="bottom"/>
            <w:gridSpan w:val="2"/>
            <w:shd w:val="clear" w:color="auto" w:fill="DBDBDB"/>
          </w:tcPr>
          <w:p>
            <w:pPr>
              <w:jc w:val="right"/>
              <w:ind w:right="228"/>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6"/>
                <w:szCs w:val="16"/>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(10.2)</w:t>
            </w:r>
          </w:p>
        </w:tc>
        <w:tc>
          <w:tcPr>
            <w:tcW w:w="120" w:type="dxa"/>
            <w:vAlign w:val="bottom"/>
            <w:shd w:val="clear" w:color="auto" w:fill="DBDBDB"/>
          </w:tcPr>
          <w:p>
            <w:pPr>
              <w:spacing w:after="0"/>
              <w:rPr>
                <w:sz w:val="16"/>
                <w:szCs w:val="16"/>
                <w:color w:val="auto"/>
              </w:rPr>
            </w:pPr>
          </w:p>
        </w:tc>
        <w:tc>
          <w:tcPr>
            <w:tcW w:w="500" w:type="dxa"/>
            <w:vAlign w:val="bottom"/>
            <w:shd w:val="clear" w:color="auto" w:fill="DBDBDB"/>
          </w:tcPr>
          <w:p>
            <w:pPr>
              <w:jc w:val="right"/>
              <w:ind w:right="328"/>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6"/>
                <w:szCs w:val="16"/>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(126.0)</w:t>
            </w: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(127.7)</w:t>
            </w:r>
          </w:p>
        </w:tc>
        <w:tc>
          <w:tcPr>
            <w:tcW w:w="0" w:type="dxa"/>
            <w:vAlign w:val="bottom"/>
          </w:tcPr>
          <w:p>
            <w:pPr>
              <w:spacing w:after="0"/>
              <w:rPr>
                <w:sz w:val="1"/>
                <w:szCs w:val="1"/>
                <w:color w:val="auto"/>
              </w:rPr>
            </w:pPr>
          </w:p>
        </w:tc>
      </w:tr>
      <w:tr>
        <w:trPr>
          <w:trHeight w:val="338"/>
        </w:trPr>
        <w:tc>
          <w:tcPr>
            <w:tcW w:w="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42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13.4</w:t>
            </w:r>
          </w:p>
        </w:tc>
        <w:tc>
          <w:tcPr>
            <w:tcW w:w="100" w:type="dxa"/>
            <w:vAlign w:val="bottom"/>
            <w:shd w:val="clear" w:color="auto" w:fill="DBDBDB"/>
          </w:tcPr>
          <w:p>
            <w:pPr>
              <w:spacing w:after="0"/>
              <w:rPr>
                <w:sz w:val="24"/>
                <w:szCs w:val="24"/>
                <w:color w:val="auto"/>
              </w:rPr>
            </w:pPr>
          </w:p>
        </w:tc>
        <w:tc>
          <w:tcPr>
            <w:tcW w:w="40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20" w:type="dxa"/>
            <w:vAlign w:val="bottom"/>
            <w:shd w:val="clear" w:color="auto" w:fill="DBDBDB"/>
          </w:tcPr>
          <w:p>
            <w:pPr>
              <w:spacing w:after="0"/>
              <w:rPr>
                <w:sz w:val="24"/>
                <w:szCs w:val="24"/>
                <w:color w:val="auto"/>
              </w:rPr>
            </w:pPr>
          </w:p>
        </w:tc>
        <w:tc>
          <w:tcPr>
            <w:tcW w:w="50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(4.6)</w:t>
            </w:r>
          </w:p>
        </w:tc>
        <w:tc>
          <w:tcPr>
            <w:tcW w:w="100" w:type="dxa"/>
            <w:vAlign w:val="bottom"/>
            <w:shd w:val="clear" w:color="auto" w:fill="DBDBDB"/>
          </w:tcPr>
          <w:p>
            <w:pPr>
              <w:spacing w:after="0"/>
              <w:rPr>
                <w:sz w:val="24"/>
                <w:szCs w:val="24"/>
                <w:color w:val="auto"/>
              </w:rPr>
            </w:pPr>
          </w:p>
        </w:tc>
        <w:tc>
          <w:tcPr>
            <w:tcW w:w="380" w:type="dxa"/>
            <w:vAlign w:val="bottom"/>
            <w:shd w:val="clear" w:color="auto" w:fill="DBDBDB"/>
          </w:tcPr>
          <w:p>
            <w:pPr>
              <w:spacing w:after="0"/>
              <w:rPr>
                <w:sz w:val="24"/>
                <w:szCs w:val="24"/>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8.6</w:t>
            </w:r>
          </w:p>
        </w:tc>
        <w:tc>
          <w:tcPr>
            <w:tcW w:w="0" w:type="dxa"/>
            <w:vAlign w:val="bottom"/>
          </w:tcPr>
          <w:p>
            <w:pPr>
              <w:spacing w:after="0"/>
              <w:rPr>
                <w:sz w:val="1"/>
                <w:szCs w:val="1"/>
                <w:color w:val="auto"/>
              </w:rPr>
            </w:pPr>
          </w:p>
        </w:tc>
      </w:tr>
      <w:tr>
        <w:trPr>
          <w:trHeight w:val="207"/>
        </w:trPr>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00" w:type="dxa"/>
            <w:vAlign w:val="bottom"/>
            <w:gridSpan w:val="2"/>
            <w:shd w:val="clear" w:color="auto" w:fill="DBDBDB"/>
          </w:tcPr>
          <w:p>
            <w:pPr>
              <w:ind w:left="980"/>
              <w:spacing w:after="0"/>
              <w:rPr>
                <w:sz w:val="20"/>
                <w:szCs w:val="20"/>
                <w:color w:val="auto"/>
              </w:rPr>
            </w:pPr>
            <w:r>
              <w:rPr>
                <w:rFonts w:ascii="Arial" w:cs="Arial" w:eastAsia="Arial" w:hAnsi="Arial"/>
                <w:sz w:val="14"/>
                <w:szCs w:val="14"/>
                <w:color w:val="257ACB"/>
              </w:rPr>
              <w:t>—</w:t>
            </w:r>
          </w:p>
        </w:tc>
        <w:tc>
          <w:tcPr>
            <w:tcW w:w="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00" w:type="dxa"/>
            <w:vAlign w:val="bottom"/>
            <w:gridSpan w:val="2"/>
            <w:shd w:val="clear" w:color="auto" w:fill="DBDBDB"/>
          </w:tcPr>
          <w:p>
            <w:pPr>
              <w:ind w:left="380"/>
              <w:spacing w:after="0"/>
              <w:rPr>
                <w:sz w:val="20"/>
                <w:szCs w:val="20"/>
                <w:color w:val="auto"/>
              </w:rPr>
            </w:pPr>
            <w:r>
              <w:rPr>
                <w:rFonts w:ascii="Arial" w:cs="Arial" w:eastAsia="Arial" w:hAnsi="Arial"/>
                <w:sz w:val="14"/>
                <w:szCs w:val="14"/>
                <w:color w:val="257ACB"/>
              </w:rPr>
              <w:t>—</w:t>
            </w:r>
          </w:p>
        </w:tc>
        <w:tc>
          <w:tcPr>
            <w:tcW w:w="3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0" w:type="dxa"/>
            <w:vAlign w:val="bottom"/>
          </w:tcPr>
          <w:p>
            <w:pPr>
              <w:spacing w:after="0"/>
              <w:rPr>
                <w:sz w:val="1"/>
                <w:szCs w:val="1"/>
                <w:color w:val="auto"/>
              </w:rPr>
            </w:pPr>
          </w:p>
        </w:tc>
      </w:tr>
      <w:tr>
        <w:trPr>
          <w:trHeight w:val="196"/>
        </w:trPr>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148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1420" w:type="dxa"/>
            <w:vAlign w:val="bottom"/>
            <w:tcBorders>
              <w:top w:val="single" w:sz="8" w:color="auto"/>
              <w:bottom w:val="single" w:sz="8" w:color="auto"/>
            </w:tcBorders>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12.2</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40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50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(4.6)</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380" w:type="dxa"/>
            <w:vAlign w:val="bottom"/>
            <w:tcBorders>
              <w:top w:val="single" w:sz="8" w:color="auto"/>
              <w:bottom w:val="single" w:sz="8" w:color="auto"/>
            </w:tcBorders>
            <w:shd w:val="clear" w:color="auto" w:fill="DBDBDB"/>
          </w:tcPr>
          <w:p>
            <w:pPr>
              <w:spacing w:after="0"/>
              <w:rPr>
                <w:sz w:val="17"/>
                <w:szCs w:val="17"/>
                <w:color w:val="auto"/>
              </w:rPr>
            </w:pPr>
          </w:p>
        </w:tc>
        <w:tc>
          <w:tcPr>
            <w:tcW w:w="7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7.4</w:t>
            </w:r>
          </w:p>
        </w:tc>
        <w:tc>
          <w:tcPr>
            <w:tcW w:w="0" w:type="dxa"/>
            <w:vAlign w:val="bottom"/>
          </w:tcPr>
          <w:p>
            <w:pPr>
              <w:spacing w:after="0"/>
              <w:rPr>
                <w:sz w:val="1"/>
                <w:szCs w:val="1"/>
                <w:color w:val="auto"/>
              </w:rPr>
            </w:pPr>
          </w:p>
        </w:tc>
      </w:tr>
      <w:tr>
        <w:trPr>
          <w:trHeight w:val="216"/>
        </w:trPr>
        <w:tc>
          <w:tcPr>
            <w:tcW w:w="140" w:type="dxa"/>
            <w:vAlign w:val="bottom"/>
            <w:tcBorders>
              <w:bottom w:val="single" w:sz="8" w:color="auto"/>
            </w:tcBorders>
            <w:gridSpan w:val="2"/>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4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20.7</w:t>
            </w:r>
          </w:p>
        </w:tc>
        <w:tc>
          <w:tcPr>
            <w:tcW w:w="100" w:type="dxa"/>
            <w:vAlign w:val="bottom"/>
            <w:tcBorders>
              <w:bottom w:val="single" w:sz="8" w:color="DBDBDB"/>
            </w:tcBorders>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257ACB"/>
              </w:rPr>
              <w:t>$</w:t>
            </w:r>
          </w:p>
        </w:tc>
        <w:tc>
          <w:tcPr>
            <w:tcW w:w="10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(10.4)</w:t>
            </w:r>
          </w:p>
        </w:tc>
        <w:tc>
          <w:tcPr>
            <w:tcW w:w="12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jc w:val="right"/>
              <w:ind w:right="328"/>
              <w:spacing w:after="0"/>
              <w:rPr>
                <w:sz w:val="20"/>
                <w:szCs w:val="20"/>
                <w:color w:val="auto"/>
              </w:rPr>
            </w:pPr>
            <w:r>
              <w:rPr>
                <w:rFonts w:ascii="Arial" w:cs="Arial" w:eastAsia="Arial" w:hAnsi="Arial"/>
                <w:sz w:val="14"/>
                <w:szCs w:val="14"/>
                <w:color w:val="257ACB"/>
              </w:rPr>
              <w:t>$</w:t>
            </w:r>
          </w:p>
        </w:tc>
        <w:tc>
          <w:tcPr>
            <w:tcW w:w="100" w:type="dxa"/>
            <w:vAlign w:val="bottom"/>
            <w:tcBorders>
              <w:bottom w:val="single" w:sz="8" w:color="auto"/>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(130.6)</w:t>
            </w:r>
          </w:p>
        </w:tc>
        <w:tc>
          <w:tcPr>
            <w:tcW w:w="1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48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3800" w:type="dxa"/>
            <w:vAlign w:val="bottom"/>
            <w:tcBorders>
              <w:bottom w:val="single" w:sz="8" w:color="auto"/>
            </w:tcBorders>
            <w:gridSpan w:val="8"/>
            <w:shd w:val="clear" w:color="auto" w:fill="DBDBDB"/>
          </w:tcPr>
          <w:p>
            <w:pPr>
              <w:jc w:val="center"/>
              <w:ind w:right="140"/>
              <w:spacing w:after="0"/>
              <w:rPr>
                <w:sz w:val="20"/>
                <w:szCs w:val="20"/>
                <w:color w:val="auto"/>
              </w:rPr>
            </w:pPr>
            <w:r>
              <w:rPr>
                <w:rFonts w:ascii="Arial" w:cs="Arial" w:eastAsia="Arial" w:hAnsi="Arial"/>
                <w:sz w:val="14"/>
                <w:szCs w:val="14"/>
                <w:b w:val="1"/>
                <w:bCs w:val="1"/>
                <w:color w:val="0070C0"/>
              </w:rPr>
              <w:t>For the Nine Months Ended September 30, 2026</w:t>
            </w:r>
          </w:p>
        </w:tc>
        <w:tc>
          <w:tcPr>
            <w:tcW w:w="6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2"/>
                <w:szCs w:val="12"/>
                <w:color w:val="auto"/>
              </w:rPr>
            </w:pPr>
          </w:p>
        </w:tc>
        <w:tc>
          <w:tcPr>
            <w:tcW w:w="1420" w:type="dxa"/>
            <w:vAlign w:val="bottom"/>
            <w:gridSpan w:val="2"/>
          </w:tcPr>
          <w:p>
            <w:pPr>
              <w:jc w:val="center"/>
              <w:ind w:right="28"/>
              <w:spacing w:after="0" w:line="147" w:lineRule="exact"/>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2"/>
                <w:szCs w:val="12"/>
                <w:color w:val="auto"/>
              </w:rPr>
            </w:pPr>
          </w:p>
        </w:tc>
        <w:tc>
          <w:tcPr>
            <w:tcW w:w="1800" w:type="dxa"/>
            <w:vAlign w:val="bottom"/>
            <w:gridSpan w:val="4"/>
          </w:tcPr>
          <w:p>
            <w:pPr>
              <w:jc w:val="center"/>
              <w:ind w:right="120"/>
              <w:spacing w:after="0" w:line="147" w:lineRule="exact"/>
              <w:rPr>
                <w:sz w:val="20"/>
                <w:szCs w:val="20"/>
                <w:color w:val="auto"/>
              </w:rPr>
            </w:pPr>
            <w:r>
              <w:rPr>
                <w:rFonts w:ascii="Arial" w:cs="Arial" w:eastAsia="Arial" w:hAnsi="Arial"/>
                <w:sz w:val="14"/>
                <w:szCs w:val="14"/>
                <w:b w:val="1"/>
                <w:bCs w:val="1"/>
                <w:color w:val="auto"/>
              </w:rPr>
              <w:t>Unrealized Gains</w:t>
            </w:r>
          </w:p>
        </w:tc>
        <w:tc>
          <w:tcPr>
            <w:tcW w:w="130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rPr>
              <w:t>Currency</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(Losses) on Securities</w:t>
            </w:r>
          </w:p>
        </w:tc>
        <w:tc>
          <w:tcPr>
            <w:tcW w:w="100" w:type="dxa"/>
            <w:vAlign w:val="bottom"/>
          </w:tcPr>
          <w:p>
            <w:pPr>
              <w:spacing w:after="0"/>
              <w:rPr>
                <w:sz w:val="12"/>
                <w:szCs w:val="12"/>
                <w:color w:val="auto"/>
              </w:rPr>
            </w:pPr>
          </w:p>
        </w:tc>
        <w:tc>
          <w:tcPr>
            <w:tcW w:w="142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rPr>
              <w:t>(Losses) on Cash</w:t>
            </w:r>
          </w:p>
        </w:tc>
        <w:tc>
          <w:tcPr>
            <w:tcW w:w="100" w:type="dxa"/>
            <w:vAlign w:val="bottom"/>
          </w:tcPr>
          <w:p>
            <w:pPr>
              <w:spacing w:after="0"/>
              <w:rPr>
                <w:sz w:val="12"/>
                <w:szCs w:val="12"/>
                <w:color w:val="auto"/>
              </w:rPr>
            </w:pPr>
          </w:p>
        </w:tc>
        <w:tc>
          <w:tcPr>
            <w:tcW w:w="18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(Losses) on Pension</w:t>
            </w:r>
          </w:p>
        </w:tc>
        <w:tc>
          <w:tcPr>
            <w:tcW w:w="13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Translation</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6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Available for Sale, 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Flow Hedges,</w:t>
            </w:r>
          </w:p>
        </w:tc>
        <w:tc>
          <w:tcPr>
            <w:tcW w:w="100" w:type="dxa"/>
            <w:vAlign w:val="bottom"/>
          </w:tcPr>
          <w:p>
            <w:pPr>
              <w:spacing w:after="0"/>
              <w:rPr>
                <w:sz w:val="12"/>
                <w:szCs w:val="12"/>
                <w:color w:val="auto"/>
              </w:rPr>
            </w:pPr>
          </w:p>
        </w:tc>
        <w:tc>
          <w:tcPr>
            <w:tcW w:w="180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rPr>
              <w:t>Benefit Obligation, Net</w:t>
            </w:r>
          </w:p>
        </w:tc>
        <w:tc>
          <w:tcPr>
            <w:tcW w:w="130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rPr>
              <w:t>Adjustments,</w:t>
            </w:r>
          </w:p>
        </w:tc>
        <w:tc>
          <w:tcPr>
            <w:tcW w:w="380" w:type="dxa"/>
            <w:vAlign w:val="bottom"/>
          </w:tcPr>
          <w:p>
            <w:pPr>
              <w:spacing w:after="0"/>
              <w:rPr>
                <w:sz w:val="12"/>
                <w:szCs w:val="12"/>
                <w:color w:val="auto"/>
              </w:rPr>
            </w:pPr>
          </w:p>
        </w:tc>
        <w:tc>
          <w:tcPr>
            <w:tcW w:w="7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9"/>
        </w:trPr>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of Tax</w:t>
            </w:r>
          </w:p>
        </w:tc>
        <w:tc>
          <w:tcPr>
            <w:tcW w:w="1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of Tax</w:t>
            </w:r>
          </w:p>
        </w:tc>
        <w:tc>
          <w:tcPr>
            <w:tcW w:w="120" w:type="dxa"/>
            <w:vAlign w:val="bottom"/>
            <w:tcBorders>
              <w:bottom w:val="single" w:sz="8" w:color="DBDBDB"/>
            </w:tcBorders>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0.2</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(58.9)</w:t>
            </w:r>
          </w:p>
        </w:tc>
        <w:tc>
          <w:tcPr>
            <w:tcW w:w="500" w:type="dxa"/>
            <w:vAlign w:val="bottom"/>
            <w:gridSpan w:val="2"/>
            <w:shd w:val="clear" w:color="auto" w:fill="DBDBDB"/>
          </w:tcPr>
          <w:p>
            <w:pPr>
              <w:jc w:val="right"/>
              <w:ind w:right="228"/>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6"/>
                <w:szCs w:val="16"/>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(9.4)</w:t>
            </w:r>
          </w:p>
        </w:tc>
        <w:tc>
          <w:tcPr>
            <w:tcW w:w="120" w:type="dxa"/>
            <w:vAlign w:val="bottom"/>
            <w:shd w:val="clear" w:color="auto" w:fill="DBDBDB"/>
          </w:tcPr>
          <w:p>
            <w:pPr>
              <w:spacing w:after="0"/>
              <w:rPr>
                <w:sz w:val="16"/>
                <w:szCs w:val="16"/>
                <w:color w:val="auto"/>
              </w:rPr>
            </w:pPr>
          </w:p>
        </w:tc>
        <w:tc>
          <w:tcPr>
            <w:tcW w:w="500" w:type="dxa"/>
            <w:vAlign w:val="bottom"/>
            <w:shd w:val="clear" w:color="auto" w:fill="DBDBDB"/>
          </w:tcPr>
          <w:p>
            <w:pPr>
              <w:jc w:val="right"/>
              <w:ind w:right="328"/>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6"/>
                <w:szCs w:val="16"/>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(113.9)</w:t>
            </w: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(182.0)</w:t>
            </w:r>
          </w:p>
        </w:tc>
        <w:tc>
          <w:tcPr>
            <w:tcW w:w="0" w:type="dxa"/>
            <w:vAlign w:val="bottom"/>
          </w:tcPr>
          <w:p>
            <w:pPr>
              <w:spacing w:after="0"/>
              <w:rPr>
                <w:sz w:val="1"/>
                <w:szCs w:val="1"/>
                <w:color w:val="auto"/>
              </w:rPr>
            </w:pPr>
          </w:p>
        </w:tc>
      </w:tr>
      <w:tr>
        <w:trPr>
          <w:trHeight w:val="338"/>
        </w:trPr>
        <w:tc>
          <w:tcPr>
            <w:tcW w:w="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10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42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51.9</w:t>
            </w:r>
          </w:p>
        </w:tc>
        <w:tc>
          <w:tcPr>
            <w:tcW w:w="100" w:type="dxa"/>
            <w:vAlign w:val="bottom"/>
            <w:shd w:val="clear" w:color="auto" w:fill="DBDBDB"/>
          </w:tcPr>
          <w:p>
            <w:pPr>
              <w:spacing w:after="0"/>
              <w:rPr>
                <w:sz w:val="24"/>
                <w:szCs w:val="24"/>
                <w:color w:val="auto"/>
              </w:rPr>
            </w:pPr>
          </w:p>
        </w:tc>
        <w:tc>
          <w:tcPr>
            <w:tcW w:w="40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w:t>
            </w:r>
          </w:p>
        </w:tc>
        <w:tc>
          <w:tcPr>
            <w:tcW w:w="120" w:type="dxa"/>
            <w:vAlign w:val="bottom"/>
            <w:shd w:val="clear" w:color="auto" w:fill="DBDBDB"/>
          </w:tcPr>
          <w:p>
            <w:pPr>
              <w:spacing w:after="0"/>
              <w:rPr>
                <w:sz w:val="24"/>
                <w:szCs w:val="24"/>
                <w:color w:val="auto"/>
              </w:rPr>
            </w:pPr>
          </w:p>
        </w:tc>
        <w:tc>
          <w:tcPr>
            <w:tcW w:w="50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(16.7)</w:t>
            </w:r>
          </w:p>
        </w:tc>
        <w:tc>
          <w:tcPr>
            <w:tcW w:w="100" w:type="dxa"/>
            <w:vAlign w:val="bottom"/>
            <w:shd w:val="clear" w:color="auto" w:fill="DBDBDB"/>
          </w:tcPr>
          <w:p>
            <w:pPr>
              <w:spacing w:after="0"/>
              <w:rPr>
                <w:sz w:val="24"/>
                <w:szCs w:val="24"/>
                <w:color w:val="auto"/>
              </w:rPr>
            </w:pPr>
          </w:p>
        </w:tc>
        <w:tc>
          <w:tcPr>
            <w:tcW w:w="380" w:type="dxa"/>
            <w:vAlign w:val="bottom"/>
            <w:shd w:val="clear" w:color="auto" w:fill="DBDBDB"/>
          </w:tcPr>
          <w:p>
            <w:pPr>
              <w:spacing w:after="0"/>
              <w:rPr>
                <w:sz w:val="24"/>
                <w:szCs w:val="24"/>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33.0</w:t>
            </w:r>
          </w:p>
        </w:tc>
        <w:tc>
          <w:tcPr>
            <w:tcW w:w="0" w:type="dxa"/>
            <w:vAlign w:val="bottom"/>
          </w:tcPr>
          <w:p>
            <w:pPr>
              <w:spacing w:after="0"/>
              <w:rPr>
                <w:sz w:val="1"/>
                <w:szCs w:val="1"/>
                <w:color w:val="auto"/>
              </w:rPr>
            </w:pPr>
          </w:p>
        </w:tc>
      </w:tr>
      <w:tr>
        <w:trPr>
          <w:trHeight w:val="207"/>
        </w:trPr>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1.0</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27.7</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00" w:type="dxa"/>
            <w:vAlign w:val="bottom"/>
            <w:gridSpan w:val="2"/>
            <w:shd w:val="clear" w:color="auto" w:fill="DBDBDB"/>
          </w:tcPr>
          <w:p>
            <w:pPr>
              <w:ind w:left="980"/>
              <w:spacing w:after="0"/>
              <w:rPr>
                <w:sz w:val="20"/>
                <w:szCs w:val="20"/>
                <w:color w:val="auto"/>
              </w:rPr>
            </w:pPr>
            <w:r>
              <w:rPr>
                <w:rFonts w:ascii="Arial" w:cs="Arial" w:eastAsia="Arial" w:hAnsi="Arial"/>
                <w:sz w:val="14"/>
                <w:szCs w:val="14"/>
                <w:color w:val="257ACB"/>
              </w:rPr>
              <w:t>—</w:t>
            </w:r>
          </w:p>
        </w:tc>
        <w:tc>
          <w:tcPr>
            <w:tcW w:w="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00" w:type="dxa"/>
            <w:vAlign w:val="bottom"/>
            <w:gridSpan w:val="2"/>
            <w:shd w:val="clear" w:color="auto" w:fill="DBDBDB"/>
          </w:tcPr>
          <w:p>
            <w:pPr>
              <w:ind w:left="380"/>
              <w:spacing w:after="0"/>
              <w:rPr>
                <w:sz w:val="20"/>
                <w:szCs w:val="20"/>
                <w:color w:val="auto"/>
              </w:rPr>
            </w:pPr>
            <w:r>
              <w:rPr>
                <w:rFonts w:ascii="Arial" w:cs="Arial" w:eastAsia="Arial" w:hAnsi="Arial"/>
                <w:sz w:val="14"/>
                <w:szCs w:val="14"/>
                <w:color w:val="257ACB"/>
              </w:rPr>
              <w:t>—</w:t>
            </w:r>
          </w:p>
        </w:tc>
        <w:tc>
          <w:tcPr>
            <w:tcW w:w="3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28.7</w:t>
            </w:r>
          </w:p>
        </w:tc>
        <w:tc>
          <w:tcPr>
            <w:tcW w:w="0" w:type="dxa"/>
            <w:vAlign w:val="bottom"/>
          </w:tcPr>
          <w:p>
            <w:pPr>
              <w:spacing w:after="0"/>
              <w:rPr>
                <w:sz w:val="1"/>
                <w:szCs w:val="1"/>
                <w:color w:val="auto"/>
              </w:rPr>
            </w:pPr>
          </w:p>
        </w:tc>
      </w:tr>
      <w:tr>
        <w:trPr>
          <w:trHeight w:val="196"/>
        </w:trPr>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14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1420" w:type="dxa"/>
            <w:vAlign w:val="bottom"/>
            <w:tcBorders>
              <w:top w:val="single" w:sz="8" w:color="auto"/>
              <w:bottom w:val="single" w:sz="8" w:color="auto"/>
            </w:tcBorders>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79.6</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40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w:t>
            </w: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50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(16.7)</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380" w:type="dxa"/>
            <w:vAlign w:val="bottom"/>
            <w:tcBorders>
              <w:top w:val="single" w:sz="8" w:color="auto"/>
              <w:bottom w:val="single" w:sz="8" w:color="auto"/>
            </w:tcBorders>
            <w:shd w:val="clear" w:color="auto" w:fill="DBDBDB"/>
          </w:tcPr>
          <w:p>
            <w:pPr>
              <w:spacing w:after="0"/>
              <w:rPr>
                <w:sz w:val="17"/>
                <w:szCs w:val="17"/>
                <w:color w:val="auto"/>
              </w:rPr>
            </w:pPr>
          </w:p>
        </w:tc>
        <w:tc>
          <w:tcPr>
            <w:tcW w:w="7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61.7</w:t>
            </w:r>
          </w:p>
        </w:tc>
        <w:tc>
          <w:tcPr>
            <w:tcW w:w="0" w:type="dxa"/>
            <w:vAlign w:val="bottom"/>
          </w:tcPr>
          <w:p>
            <w:pPr>
              <w:spacing w:after="0"/>
              <w:rPr>
                <w:sz w:val="1"/>
                <w:szCs w:val="1"/>
                <w:color w:val="auto"/>
              </w:rPr>
            </w:pPr>
          </w:p>
        </w:tc>
      </w:tr>
      <w:tr>
        <w:trPr>
          <w:trHeight w:val="216"/>
        </w:trPr>
        <w:tc>
          <w:tcPr>
            <w:tcW w:w="140" w:type="dxa"/>
            <w:vAlign w:val="bottom"/>
            <w:tcBorders>
              <w:bottom w:val="single" w:sz="8" w:color="auto"/>
            </w:tcBorders>
            <w:gridSpan w:val="2"/>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4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20.7</w:t>
            </w:r>
          </w:p>
        </w:tc>
        <w:tc>
          <w:tcPr>
            <w:tcW w:w="100" w:type="dxa"/>
            <w:vAlign w:val="bottom"/>
            <w:tcBorders>
              <w:bottom w:val="single" w:sz="8" w:color="DBDBDB"/>
            </w:tcBorders>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257ACB"/>
              </w:rPr>
              <w:t>$</w:t>
            </w:r>
          </w:p>
        </w:tc>
        <w:tc>
          <w:tcPr>
            <w:tcW w:w="10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(10.4)</w:t>
            </w:r>
          </w:p>
        </w:tc>
        <w:tc>
          <w:tcPr>
            <w:tcW w:w="12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jc w:val="right"/>
              <w:ind w:right="328"/>
              <w:spacing w:after="0"/>
              <w:rPr>
                <w:sz w:val="20"/>
                <w:szCs w:val="20"/>
                <w:color w:val="auto"/>
              </w:rPr>
            </w:pPr>
            <w:r>
              <w:rPr>
                <w:rFonts w:ascii="Arial" w:cs="Arial" w:eastAsia="Arial" w:hAnsi="Arial"/>
                <w:sz w:val="14"/>
                <w:szCs w:val="14"/>
                <w:color w:val="257ACB"/>
              </w:rPr>
              <w:t>$</w:t>
            </w:r>
          </w:p>
        </w:tc>
        <w:tc>
          <w:tcPr>
            <w:tcW w:w="100" w:type="dxa"/>
            <w:vAlign w:val="bottom"/>
            <w:tcBorders>
              <w:bottom w:val="single" w:sz="8" w:color="auto"/>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(130.6)</w:t>
            </w:r>
          </w:p>
        </w:tc>
        <w:tc>
          <w:tcPr>
            <w:tcW w:w="1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(120.3)</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4"/>
                <w:szCs w:val="14"/>
                <w:b w:val="1"/>
                <w:bCs w:val="1"/>
                <w:color w:val="auto"/>
              </w:rPr>
              <w:t>For the Three Months Ended September 30, 2025</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rPr>
              <w:t>Unrealized Gains</w:t>
            </w:r>
          </w:p>
        </w:tc>
        <w:tc>
          <w:tcPr>
            <w:tcW w:w="1300" w:type="dxa"/>
            <w:vAlign w:val="bottom"/>
            <w:gridSpan w:val="2"/>
            <w:vMerge w:val="restart"/>
          </w:tcPr>
          <w:p>
            <w:pPr>
              <w:jc w:val="center"/>
              <w:ind w:left="428"/>
              <w:spacing w:after="0"/>
              <w:rPr>
                <w:sz w:val="20"/>
                <w:szCs w:val="20"/>
                <w:color w:val="auto"/>
              </w:rPr>
            </w:pPr>
            <w:r>
              <w:rPr>
                <w:rFonts w:ascii="Arial" w:cs="Arial" w:eastAsia="Arial" w:hAnsi="Arial"/>
                <w:sz w:val="14"/>
                <w:szCs w:val="14"/>
                <w:b w:val="1"/>
                <w:bCs w:val="1"/>
                <w:color w:val="auto"/>
              </w:rPr>
              <w:t>Currency</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(Losses) on Cash Flow</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rPr>
              <w:t>(Losses) on Pension</w:t>
            </w:r>
          </w:p>
        </w:tc>
        <w:tc>
          <w:tcPr>
            <w:tcW w:w="13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Hedges,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Benefit Obligation,</w:t>
            </w:r>
          </w:p>
        </w:tc>
        <w:tc>
          <w:tcPr>
            <w:tcW w:w="19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Translation Adjustments,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Total</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gridSpan w:val="2"/>
          </w:tcPr>
          <w:p>
            <w:pPr>
              <w:jc w:val="center"/>
              <w:ind w:left="428"/>
              <w:spacing w:after="0"/>
              <w:rPr>
                <w:sz w:val="20"/>
                <w:szCs w:val="20"/>
                <w:color w:val="auto"/>
              </w:rPr>
            </w:pPr>
            <w:r>
              <w:rPr>
                <w:rFonts w:ascii="Arial" w:cs="Arial" w:eastAsia="Arial" w:hAnsi="Arial"/>
                <w:sz w:val="14"/>
                <w:szCs w:val="14"/>
                <w:b w:val="1"/>
                <w:bCs w:val="1"/>
                <w:color w:val="auto"/>
              </w:rPr>
              <w:t>Net of Tax</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(112.0)</w:t>
            </w:r>
          </w:p>
        </w:tc>
        <w:tc>
          <w:tcPr>
            <w:tcW w:w="1420" w:type="dxa"/>
            <w:vAlign w:val="bottom"/>
            <w:gridSpan w:val="2"/>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9"/>
              </w:rPr>
              <w:t>(110.5)</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(238.1)</w:t>
            </w:r>
          </w:p>
        </w:tc>
        <w:tc>
          <w:tcPr>
            <w:tcW w:w="0" w:type="dxa"/>
            <w:vAlign w:val="bottom"/>
          </w:tcPr>
          <w:p>
            <w:pPr>
              <w:spacing w:after="0"/>
              <w:rPr>
                <w:sz w:val="1"/>
                <w:szCs w:val="1"/>
                <w:color w:val="auto"/>
              </w:rPr>
            </w:pPr>
          </w:p>
        </w:tc>
      </w:tr>
      <w:tr>
        <w:trPr>
          <w:trHeight w:val="337"/>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(85.5)</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(113.7)</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4"/>
                <w:szCs w:val="14"/>
                <w:b w:val="1"/>
                <w:bCs w:val="1"/>
                <w:color w:val="auto"/>
              </w:rPr>
              <w:t>For the Nine Months Ended September 30, 2025</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rPr>
              <w:t>Unrealized Gains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rPr>
              <w:t>(Losses) on Pension</w:t>
            </w:r>
          </w:p>
        </w:tc>
        <w:tc>
          <w:tcPr>
            <w:tcW w:w="19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Currency Translation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(Losses) on Cash Flow</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Benefit Obligation, Net of</w:t>
            </w:r>
          </w:p>
        </w:tc>
        <w:tc>
          <w:tcPr>
            <w:tcW w:w="190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Total</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Hedges, Net of Tax</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9"/>
              </w:rPr>
              <w:t>Tax</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51.6</w:t>
            </w:r>
          </w:p>
        </w:tc>
        <w:tc>
          <w:tcPr>
            <w:tcW w:w="1420" w:type="dxa"/>
            <w:vAlign w:val="bottom"/>
            <w:gridSpan w:val="2"/>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9"/>
              </w:rPr>
              <w:t>(171.2)</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(161.6)</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(137.1)</w:t>
            </w:r>
          </w:p>
        </w:tc>
        <w:tc>
          <w:tcPr>
            <w:tcW w:w="120" w:type="dxa"/>
            <w:vAlign w:val="bottom"/>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96"/>
        </w:trPr>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(85.5)</w:t>
            </w:r>
          </w:p>
        </w:tc>
        <w:tc>
          <w:tcPr>
            <w:tcW w:w="1420" w:type="dxa"/>
            <w:vAlign w:val="bottom"/>
            <w:gridSpan w:val="2"/>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7"/>
                <w:szCs w:val="17"/>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9"/>
              </w:rPr>
              <w:t>(113.7)</w:t>
            </w:r>
          </w:p>
        </w:tc>
        <w:tc>
          <w:tcPr>
            <w:tcW w:w="100" w:type="dxa"/>
            <w:vAlign w:val="bottom"/>
          </w:tcPr>
          <w:p>
            <w:pPr>
              <w:spacing w:after="0"/>
              <w:rPr>
                <w:sz w:val="17"/>
                <w:szCs w:val="17"/>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(214.8)</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ectPr>
          <w:pgSz w:w="11900" w:h="16838" w:orient="portrait"/>
          <w:cols w:equalWidth="0" w:num="2">
            <w:col w:w="3580" w:space="120"/>
            <w:col w:w="7540"/>
          </w:cols>
          <w:pgMar w:left="320" w:top="130" w:right="339" w:bottom="1440" w:gutter="0" w:footer="0" w:header="0"/>
          <w:type w:val="continuous"/>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reclassified from AOCI:</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rPr>
              <w:t>Amounts Reclassified from AOCI</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161"/>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3"/>
                <w:szCs w:val="13"/>
                <w:color w:val="auto"/>
              </w:rPr>
            </w:pPr>
          </w:p>
        </w:tc>
        <w:tc>
          <w:tcPr>
            <w:tcW w:w="224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For the Nine Months Ended</w:t>
            </w: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185"/>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24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00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96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Location</w:t>
            </w:r>
          </w:p>
        </w:tc>
      </w:tr>
      <w:tr>
        <w:trPr>
          <w:trHeight w:val="189"/>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Gains (losses) on securities available for sale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84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86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r>
      <w:tr>
        <w:trPr>
          <w:trHeight w:val="257"/>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Gains (losses) on cash flow hedges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w:t>
            </w:r>
          </w:p>
        </w:tc>
        <w:tc>
          <w:tcPr>
            <w:tcW w:w="84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22"/>
                <w:szCs w:val="22"/>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(29.7)</w:t>
            </w:r>
          </w:p>
        </w:tc>
        <w:tc>
          <w:tcPr>
            <w:tcW w:w="86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8"/>
              </w:rPr>
              <w:t>(41.1)</w:t>
            </w:r>
          </w:p>
        </w:tc>
        <w:tc>
          <w:tcPr>
            <w:tcW w:w="8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Revenue</w:t>
            </w:r>
          </w:p>
        </w:tc>
      </w:t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7"/>
                <w:szCs w:val="17"/>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Operating expense</w:t>
            </w:r>
          </w:p>
        </w:tc>
      </w:t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r>
      <w:tr>
        <w:trPr>
          <w:trHeight w:val="207"/>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3.9</w:t>
            </w:r>
          </w:p>
        </w:tc>
        <w:tc>
          <w:tcPr>
            <w:tcW w:w="1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r>
      <w:tr>
        <w:trPr>
          <w:trHeight w:val="220"/>
        </w:trPr>
        <w:tc>
          <w:tcPr>
            <w:tcW w:w="3720" w:type="dxa"/>
            <w:vAlign w:val="bottom"/>
            <w:gridSpan w:val="2"/>
          </w:tcPr>
          <w:p>
            <w:pPr>
              <w:ind w:left="40"/>
              <w:spacing w:after="0"/>
              <w:rPr>
                <w:sz w:val="20"/>
                <w:szCs w:val="20"/>
                <w:color w:val="auto"/>
              </w:rPr>
            </w:pPr>
            <w:r>
              <w:rPr>
                <w:rFonts w:ascii="Arial" w:cs="Arial" w:eastAsia="Arial" w:hAnsi="Arial"/>
                <w:sz w:val="14"/>
                <w:szCs w:val="14"/>
                <w:color w:val="auto"/>
              </w:rPr>
              <w:t>Total reclassifications, net of tax</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84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(28.7)</w:t>
            </w:r>
          </w:p>
        </w:tc>
        <w:tc>
          <w:tcPr>
            <w:tcW w:w="86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8"/>
              </w:rPr>
              <w:t>(24.5)</w:t>
            </w:r>
          </w:p>
        </w:tc>
        <w:tc>
          <w:tcPr>
            <w:tcW w:w="8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96925" cy="342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15:</w:t>
      </w:r>
      <w:r>
        <w:rPr>
          <w:sz w:val="20"/>
          <w:szCs w:val="20"/>
          <w:color w:val="auto"/>
        </w:rPr>
        <w:tab/>
      </w:r>
      <w:r>
        <w:rPr>
          <w:rFonts w:ascii="Arial" w:cs="Arial" w:eastAsia="Arial" w:hAnsi="Arial"/>
          <w:sz w:val="21"/>
          <w:szCs w:val="21"/>
          <w:b w:val="1"/>
          <w:bCs w:val="1"/>
          <w:color w:val="0070C0"/>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29210</wp:posOffset>
            </wp:positionV>
            <wp:extent cx="60261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shares outstanding used in our earnings per share calculation are calculated as follows: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97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Numerator:</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(loss) income attributable to Biogen Inc.</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Denominator:</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Weighted average number of common shares outstanding</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Effect of dilutive securities: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Time-vested restricted stock units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Performance stock units settled in stock</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Dilutive potential common shares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Shares used in calculating diluted earnings per share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For the Three Months Ended September</w:t>
            </w:r>
          </w:p>
        </w:tc>
        <w:tc>
          <w:tcPr>
            <w:tcW w:w="29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85"/>
        </w:trPr>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30,</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 w:type="dxa"/>
            <w:vAlign w:val="bottom"/>
            <w:tcBorders>
              <w:bottom w:val="single" w:sz="8" w:color="auto"/>
            </w:tcBorders>
            <w:shd w:val="clear" w:color="auto" w:fill="DDDDDD"/>
          </w:tcPr>
          <w:p>
            <w:pPr>
              <w:spacing w:after="0"/>
              <w:rPr>
                <w:sz w:val="16"/>
                <w:szCs w:val="16"/>
                <w:color w:val="auto"/>
              </w:rPr>
            </w:pPr>
          </w:p>
        </w:tc>
        <w:tc>
          <w:tcPr>
            <w:tcW w:w="1320" w:type="dxa"/>
            <w:vAlign w:val="bottom"/>
            <w:tcBorders>
              <w:bottom w:val="single" w:sz="8" w:color="auto"/>
            </w:tcBorders>
            <w:shd w:val="clear" w:color="auto" w:fill="DDDDDD"/>
          </w:tcPr>
          <w:p>
            <w:pPr>
              <w:jc w:val="right"/>
              <w:ind w:right="488"/>
              <w:spacing w:after="0"/>
              <w:rPr>
                <w:sz w:val="20"/>
                <w:szCs w:val="20"/>
                <w:color w:val="auto"/>
              </w:rPr>
            </w:pPr>
            <w:r>
              <w:rPr>
                <w:rFonts w:ascii="Arial" w:cs="Arial" w:eastAsia="Arial" w:hAnsi="Arial"/>
                <w:sz w:val="14"/>
                <w:szCs w:val="14"/>
                <w:b w:val="1"/>
                <w:bCs w:val="1"/>
                <w:color w:val="257ACB"/>
              </w:rPr>
              <w:t>2026</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320" w:type="dxa"/>
            <w:vAlign w:val="bottom"/>
            <w:tcBorders>
              <w:bottom w:val="single" w:sz="8" w:color="auto"/>
            </w:tcBorders>
            <w:shd w:val="clear" w:color="auto" w:fill="DDDDDD"/>
          </w:tcPr>
          <w:p>
            <w:pPr>
              <w:spacing w:after="0"/>
              <w:rPr>
                <w:sz w:val="16"/>
                <w:szCs w:val="16"/>
                <w:color w:val="auto"/>
              </w:rPr>
            </w:pPr>
          </w:p>
        </w:tc>
        <w:tc>
          <w:tcPr>
            <w:tcW w:w="1100" w:type="dxa"/>
            <w:vAlign w:val="bottom"/>
            <w:tcBorders>
              <w:bottom w:val="single" w:sz="8" w:color="auto"/>
            </w:tcBorders>
            <w:shd w:val="clear" w:color="auto" w:fill="DDDDDD"/>
          </w:tcPr>
          <w:p>
            <w:pPr>
              <w:jc w:val="right"/>
              <w:ind w:right="48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440"/>
        </w:trPr>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(20.6)</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466.5</w:t>
            </w:r>
          </w:p>
        </w:tc>
        <w:tc>
          <w:tcPr>
            <w:tcW w:w="120" w:type="dxa"/>
            <w:vAlign w:val="bottom"/>
          </w:tcPr>
          <w:p>
            <w:pPr>
              <w:spacing w:after="0"/>
              <w:rPr>
                <w:sz w:val="24"/>
                <w:szCs w:val="24"/>
                <w:color w:val="auto"/>
              </w:rPr>
            </w:pPr>
          </w:p>
        </w:tc>
        <w:tc>
          <w:tcPr>
            <w:tcW w:w="32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396.4</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1,341.8</w:t>
            </w:r>
          </w:p>
        </w:tc>
        <w:tc>
          <w:tcPr>
            <w:tcW w:w="0" w:type="dxa"/>
            <w:vAlign w:val="bottom"/>
          </w:tcPr>
          <w:p>
            <w:pPr>
              <w:spacing w:after="0"/>
              <w:rPr>
                <w:sz w:val="1"/>
                <w:szCs w:val="1"/>
                <w:color w:val="auto"/>
              </w:rPr>
            </w:pPr>
          </w:p>
        </w:tc>
      </w:tr>
      <w:tr>
        <w:trPr>
          <w:trHeight w:val="363"/>
        </w:trPr>
        <w:tc>
          <w:tcPr>
            <w:tcW w:w="100" w:type="dxa"/>
            <w:vAlign w:val="bottom"/>
            <w:tcBorders>
              <w:top w:val="single" w:sz="8" w:color="auto"/>
            </w:tcBorders>
            <w:shd w:val="clear" w:color="auto" w:fill="DBDBDB"/>
          </w:tcPr>
          <w:p>
            <w:pPr>
              <w:spacing w:after="0"/>
              <w:rPr>
                <w:sz w:val="24"/>
                <w:szCs w:val="24"/>
                <w:color w:val="auto"/>
              </w:rPr>
            </w:pPr>
          </w:p>
        </w:tc>
        <w:tc>
          <w:tcPr>
            <w:tcW w:w="132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147.8</w:t>
            </w: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146.6</w:t>
            </w:r>
          </w:p>
        </w:tc>
        <w:tc>
          <w:tcPr>
            <w:tcW w:w="120" w:type="dxa"/>
            <w:vAlign w:val="bottom"/>
          </w:tcPr>
          <w:p>
            <w:pPr>
              <w:spacing w:after="0"/>
              <w:rPr>
                <w:sz w:val="24"/>
                <w:szCs w:val="24"/>
                <w:color w:val="auto"/>
              </w:rPr>
            </w:pPr>
          </w:p>
        </w:tc>
        <w:tc>
          <w:tcPr>
            <w:tcW w:w="320" w:type="dxa"/>
            <w:vAlign w:val="bottom"/>
            <w:tcBorders>
              <w:top w:val="single" w:sz="8" w:color="auto"/>
            </w:tcBorders>
            <w:shd w:val="clear" w:color="auto" w:fill="DBDBDB"/>
          </w:tcPr>
          <w:p>
            <w:pPr>
              <w:spacing w:after="0"/>
              <w:rPr>
                <w:sz w:val="24"/>
                <w:szCs w:val="24"/>
                <w:color w:val="auto"/>
              </w:rPr>
            </w:pPr>
          </w:p>
        </w:tc>
        <w:tc>
          <w:tcPr>
            <w:tcW w:w="110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147.5</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146.4</w:t>
            </w:r>
          </w:p>
        </w:tc>
        <w:tc>
          <w:tcPr>
            <w:tcW w:w="0" w:type="dxa"/>
            <w:vAlign w:val="bottom"/>
          </w:tcPr>
          <w:p>
            <w:pPr>
              <w:spacing w:after="0"/>
              <w:rPr>
                <w:sz w:val="1"/>
                <w:szCs w:val="1"/>
                <w:color w:val="auto"/>
              </w:rPr>
            </w:pPr>
          </w:p>
        </w:tc>
      </w:tr>
      <w:tr>
        <w:trPr>
          <w:trHeight w:val="405"/>
        </w:trPr>
        <w:tc>
          <w:tcPr>
            <w:tcW w:w="100" w:type="dxa"/>
            <w:vAlign w:val="bottom"/>
            <w:shd w:val="clear" w:color="auto" w:fill="DBDBDB"/>
          </w:tcPr>
          <w:p>
            <w:pPr>
              <w:spacing w:after="0"/>
              <w:rPr>
                <w:sz w:val="24"/>
                <w:szCs w:val="24"/>
                <w:color w:val="auto"/>
              </w:rPr>
            </w:pP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7"/>
        </w:trPr>
        <w:tc>
          <w:tcPr>
            <w:tcW w:w="100" w:type="dxa"/>
            <w:vAlign w:val="bottom"/>
            <w:shd w:val="clear" w:color="auto" w:fill="DBDBDB"/>
          </w:tcPr>
          <w:p>
            <w:pPr>
              <w:spacing w:after="0"/>
              <w:rPr>
                <w:sz w:val="17"/>
                <w:szCs w:val="17"/>
                <w:color w:val="auto"/>
              </w:rPr>
            </w:pP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132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shd w:val="clear" w:color="auto" w:fill="DBDBDB"/>
          </w:tcPr>
          <w:p>
            <w:pPr>
              <w:spacing w:after="0"/>
              <w:rPr>
                <w:sz w:val="17"/>
                <w:szCs w:val="17"/>
                <w:color w:val="auto"/>
              </w:rPr>
            </w:pPr>
          </w:p>
        </w:tc>
        <w:tc>
          <w:tcPr>
            <w:tcW w:w="110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1.4</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6"/>
        </w:trPr>
        <w:tc>
          <w:tcPr>
            <w:tcW w:w="10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147.8</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147.1</w:t>
            </w:r>
          </w:p>
        </w:tc>
        <w:tc>
          <w:tcPr>
            <w:tcW w:w="120" w:type="dxa"/>
            <w:vAlign w:val="bottom"/>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148.9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146.8</w:t>
            </w:r>
          </w:p>
        </w:tc>
        <w:tc>
          <w:tcPr>
            <w:tcW w:w="0" w:type="dxa"/>
            <w:vAlign w:val="bottom"/>
          </w:tcPr>
          <w:p>
            <w:pPr>
              <w:spacing w:after="0"/>
              <w:rPr>
                <w:sz w:val="1"/>
                <w:szCs w:val="1"/>
                <w:color w:val="auto"/>
              </w:rPr>
            </w:pPr>
          </w:p>
        </w:tc>
      </w:tr>
      <w:tr>
        <w:trPr>
          <w:trHeight w:val="20"/>
        </w:trPr>
        <w:tc>
          <w:tcPr>
            <w:tcW w:w="1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4420" w:space="720"/>
            <w:col w:w="6100"/>
          </w:cols>
          <w:pgMar w:left="320" w:top="130" w:right="339" w:bottom="1440" w:gutter="0" w:footer="0" w:header="0"/>
          <w:type w:val="continuous"/>
        </w:sectPr>
      </w:pPr>
    </w:p>
    <w:p>
      <w:pPr>
        <w:spacing w:after="0"/>
        <w:rPr>
          <w:sz w:val="20"/>
          <w:szCs w:val="20"/>
          <w:color w:val="auto"/>
        </w:rPr>
      </w:pPr>
      <w:r>
        <w:rPr>
          <w:rFonts w:ascii="Arial" w:cs="Arial" w:eastAsia="Arial" w:hAnsi="Arial"/>
          <w:sz w:val="18"/>
          <w:szCs w:val="18"/>
          <w:color w:val="auto"/>
        </w:rPr>
        <w:t>Amounts excluded from the calculation of net income per diluted share because their effects were anti-dilutive were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96925" cy="3429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16:</w:t>
      </w:r>
      <w:r>
        <w:rPr>
          <w:sz w:val="20"/>
          <w:szCs w:val="20"/>
          <w:color w:val="auto"/>
        </w:rPr>
        <w:tab/>
      </w:r>
      <w:r>
        <w:rPr>
          <w:rFonts w:ascii="Arial" w:cs="Arial" w:eastAsia="Arial" w:hAnsi="Arial"/>
          <w:sz w:val="21"/>
          <w:szCs w:val="21"/>
          <w:b w:val="1"/>
          <w:bCs w:val="1"/>
          <w:color w:val="0070C0"/>
        </w:rPr>
        <w:t>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Share-based Compensation Expense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share-based compensation expense included in our condensed consolidated statements of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6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98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r>
      <w:tr>
        <w:trPr>
          <w:trHeight w:val="189"/>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33.3</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100.4</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91.0</w:t>
            </w:r>
          </w:p>
        </w:tc>
      </w:tr>
      <w:tr>
        <w:trPr>
          <w:trHeight w:val="204"/>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51.0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w:t>
            </w:r>
          </w:p>
        </w:tc>
      </w:tr>
      <w:tr>
        <w:trPr>
          <w:trHeight w:val="194"/>
        </w:trPr>
        <w:tc>
          <w:tcPr>
            <w:tcW w:w="626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16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240.6</w:t>
            </w:r>
          </w:p>
        </w:tc>
      </w:tr>
      <w:tr>
        <w:trPr>
          <w:trHeight w:val="204"/>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r>
      <w:tr>
        <w:trPr>
          <w:trHeight w:val="195"/>
        </w:trPr>
        <w:tc>
          <w:tcPr>
            <w:tcW w:w="62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16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231.2</w:t>
            </w:r>
          </w:p>
        </w:tc>
      </w:tr>
      <w:tr>
        <w:trPr>
          <w:trHeight w:val="207"/>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Income tax effect</w:t>
            </w: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(47.7)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w:t>
            </w:r>
          </w:p>
        </w:tc>
      </w:tr>
      <w:tr>
        <w:trPr>
          <w:trHeight w:val="220"/>
        </w:trPr>
        <w:tc>
          <w:tcPr>
            <w:tcW w:w="62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net income attributable to Biogen Inc.</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65.3</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194.9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185.9</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share-based compensation expense associated with each of our share-based compensation programs: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6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98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r>
      <w:tr>
        <w:trPr>
          <w:trHeight w:val="189"/>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Time-vested restricted stock units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69.4</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206.9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186.8</w:t>
            </w:r>
          </w:p>
        </w:tc>
      </w:tr>
      <w:tr>
        <w:trPr>
          <w:trHeight w:val="203"/>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Performance stock units settled in stock</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44.1</w:t>
            </w:r>
          </w:p>
        </w:tc>
      </w:tr>
      <w:tr>
        <w:trPr>
          <w:trHeight w:val="203"/>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Employee stock purchase plan</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04"/>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Stock options</w:t>
            </w: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194"/>
        </w:trPr>
        <w:tc>
          <w:tcPr>
            <w:tcW w:w="626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16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240.6</w:t>
            </w:r>
          </w:p>
        </w:tc>
      </w:tr>
      <w:tr>
        <w:trPr>
          <w:trHeight w:val="207"/>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r>
      <w:tr>
        <w:trPr>
          <w:trHeight w:val="220"/>
        </w:trPr>
        <w:tc>
          <w:tcPr>
            <w:tcW w:w="62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81.3</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242.6</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231.2</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17:</w:t>
      </w:r>
      <w:r>
        <w:rPr>
          <w:sz w:val="20"/>
          <w:szCs w:val="20"/>
          <w:color w:val="auto"/>
        </w:rPr>
        <w:tab/>
      </w:r>
      <w:r>
        <w:rPr>
          <w:rFonts w:ascii="Arial" w:cs="Arial" w:eastAsia="Arial" w:hAnsi="Arial"/>
          <w:sz w:val="21"/>
          <w:szCs w:val="21"/>
          <w:b w:val="1"/>
          <w:bCs w:val="1"/>
          <w:color w:val="0070C0"/>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Tax Rate</w:t>
      </w:r>
    </w:p>
    <w:p>
      <w:pPr>
        <w:spacing w:after="0" w:line="11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For the three and nine months ended September 30, 2026, our effective tax rate was (128.5)% and 20.9%, respectively, compared to 16.3% and 16.8%, respectively, in the prior year comparative periods. The effective tax rate of (128.5)% for the three months ended September 30, 2026, arises from a tax expense of $11.6 million on a pretax loss of $9.0 million.</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change in our effective tax rate for the three months ended September 30, 2026 was primarily driven by the non-deductible IPR&amp;D charge related to the RayThera stock acquisition, partially offset by a decrease in valuation allowances on Swiss loss carryforwards following a tax law change during the quarter. The nine months ended September 30, 2026, also reflects non-deductible expenses related to our Apellis acquisition, partially offset by favorable impacts of a current year settlement of a foreign tax audit and the vesting of certain share-based awards. The same period in 2025, also included favorable deferred tax impacts of decreases in foreign withholding taxes.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Accounting for Uncertainty in Income Taxes</w:t>
      </w:r>
    </w:p>
    <w:p>
      <w:pPr>
        <w:spacing w:after="0" w:line="12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and our subsidiaries are routinely examined by various taxing authorities. We file income tax returns in various U.S. states and in U.S. federal and other foreign jurisdictions. With few exceptions, we are no longer subject to U.S. federal tax examination for years before 2022 or state, local or non-U.S. income tax examinations for years before 2013.</w:t>
      </w:r>
    </w:p>
    <w:p>
      <w:pPr>
        <w:spacing w:after="0" w:line="63"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It is reasonably possible that we will adjust the value of our uncertain tax positions related to certain transfer pricing, collaboration matters, withholding taxes and other issues as we receive additional information from various taxing authorities, including reaching settlements with such authorities.</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For additional information on our income taxes, please read </w:t>
      </w:r>
      <w:r>
        <w:rPr>
          <w:rFonts w:ascii="Arial" w:cs="Arial" w:eastAsia="Arial" w:hAnsi="Arial"/>
          <w:sz w:val="18"/>
          <w:szCs w:val="18"/>
          <w:i w:val="1"/>
          <w:iCs w:val="1"/>
          <w:color w:val="auto"/>
        </w:rPr>
        <w:t>Note 17, Income Taxes</w:t>
      </w:r>
      <w:r>
        <w:rPr>
          <w:rFonts w:ascii="Arial" w:cs="Arial" w:eastAsia="Arial" w:hAnsi="Arial"/>
          <w:sz w:val="18"/>
          <w:szCs w:val="18"/>
          <w:color w:val="auto"/>
        </w:rPr>
        <w:t>, to our consolidated financial statements included in our 2025 Form 10-K.</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126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18:</w:t>
            </w:r>
          </w:p>
        </w:tc>
        <w:tc>
          <w:tcPr>
            <w:tcW w:w="5020" w:type="dxa"/>
            <w:vAlign w:val="bottom"/>
            <w:tcBorders>
              <w:bottom w:val="single" w:sz="8" w:color="0070C0"/>
            </w:tcBorders>
            <w:gridSpan w:val="2"/>
          </w:tcPr>
          <w:p>
            <w:pPr>
              <w:ind w:left="20"/>
              <w:spacing w:after="0"/>
              <w:rPr>
                <w:sz w:val="20"/>
                <w:szCs w:val="20"/>
                <w:color w:val="auto"/>
              </w:rPr>
            </w:pPr>
            <w:r>
              <w:rPr>
                <w:rFonts w:ascii="Arial" w:cs="Arial" w:eastAsia="Arial" w:hAnsi="Arial"/>
                <w:sz w:val="22"/>
                <w:szCs w:val="22"/>
                <w:b w:val="1"/>
                <w:bCs w:val="1"/>
                <w:color w:val="0070C0"/>
              </w:rPr>
              <w:t>Other Consolidated Financial Statement Detail</w:t>
            </w:r>
          </w:p>
        </w:tc>
        <w:tc>
          <w:tcPr>
            <w:tcW w:w="180" w:type="dxa"/>
            <w:vAlign w:val="bottom"/>
            <w:tcBorders>
              <w:bottom w:val="single" w:sz="8" w:color="0070C0"/>
            </w:tcBorders>
          </w:tcPr>
          <w:p>
            <w:pPr>
              <w:spacing w:after="0"/>
              <w:rPr>
                <w:sz w:val="24"/>
                <w:szCs w:val="24"/>
                <w:color w:val="auto"/>
              </w:rPr>
            </w:pPr>
          </w:p>
        </w:tc>
        <w:tc>
          <w:tcPr>
            <w:tcW w:w="980" w:type="dxa"/>
            <w:vAlign w:val="bottom"/>
            <w:tcBorders>
              <w:bottom w:val="single" w:sz="8" w:color="0070C0"/>
            </w:tcBorders>
          </w:tcPr>
          <w:p>
            <w:pPr>
              <w:spacing w:after="0"/>
              <w:rPr>
                <w:sz w:val="24"/>
                <w:szCs w:val="24"/>
                <w:color w:val="auto"/>
              </w:rPr>
            </w:pPr>
          </w:p>
        </w:tc>
        <w:tc>
          <w:tcPr>
            <w:tcW w:w="100" w:type="dxa"/>
            <w:vAlign w:val="bottom"/>
            <w:tcBorders>
              <w:bottom w:val="single" w:sz="8" w:color="0070C0"/>
            </w:tcBorders>
          </w:tcPr>
          <w:p>
            <w:pPr>
              <w:spacing w:after="0"/>
              <w:rPr>
                <w:sz w:val="24"/>
                <w:szCs w:val="24"/>
                <w:color w:val="auto"/>
              </w:rPr>
            </w:pPr>
          </w:p>
        </w:tc>
        <w:tc>
          <w:tcPr>
            <w:tcW w:w="260" w:type="dxa"/>
            <w:vAlign w:val="bottom"/>
            <w:tcBorders>
              <w:bottom w:val="single" w:sz="8" w:color="0070C0"/>
            </w:tcBorders>
          </w:tcPr>
          <w:p>
            <w:pPr>
              <w:spacing w:after="0"/>
              <w:rPr>
                <w:sz w:val="24"/>
                <w:szCs w:val="24"/>
                <w:color w:val="auto"/>
              </w:rPr>
            </w:pPr>
          </w:p>
        </w:tc>
        <w:tc>
          <w:tcPr>
            <w:tcW w:w="900" w:type="dxa"/>
            <w:vAlign w:val="bottom"/>
            <w:tcBorders>
              <w:bottom w:val="single" w:sz="8" w:color="0070C0"/>
            </w:tcBorders>
          </w:tcPr>
          <w:p>
            <w:pPr>
              <w:spacing w:after="0"/>
              <w:rPr>
                <w:sz w:val="24"/>
                <w:szCs w:val="24"/>
                <w:color w:val="auto"/>
              </w:rPr>
            </w:pPr>
          </w:p>
        </w:tc>
        <w:tc>
          <w:tcPr>
            <w:tcW w:w="100" w:type="dxa"/>
            <w:vAlign w:val="bottom"/>
            <w:tcBorders>
              <w:bottom w:val="single" w:sz="8" w:color="0070C0"/>
            </w:tcBorders>
          </w:tcPr>
          <w:p>
            <w:pPr>
              <w:spacing w:after="0"/>
              <w:rPr>
                <w:sz w:val="24"/>
                <w:szCs w:val="24"/>
                <w:color w:val="auto"/>
              </w:rPr>
            </w:pPr>
          </w:p>
        </w:tc>
        <w:tc>
          <w:tcPr>
            <w:tcW w:w="180" w:type="dxa"/>
            <w:vAlign w:val="bottom"/>
            <w:tcBorders>
              <w:bottom w:val="single" w:sz="8" w:color="0070C0"/>
            </w:tcBorders>
          </w:tcPr>
          <w:p>
            <w:pPr>
              <w:spacing w:after="0"/>
              <w:rPr>
                <w:sz w:val="24"/>
                <w:szCs w:val="24"/>
                <w:color w:val="auto"/>
              </w:rPr>
            </w:pPr>
          </w:p>
        </w:tc>
        <w:tc>
          <w:tcPr>
            <w:tcW w:w="1000" w:type="dxa"/>
            <w:vAlign w:val="bottom"/>
            <w:tcBorders>
              <w:bottom w:val="single" w:sz="8" w:color="0070C0"/>
            </w:tcBorders>
          </w:tcPr>
          <w:p>
            <w:pPr>
              <w:spacing w:after="0"/>
              <w:rPr>
                <w:sz w:val="24"/>
                <w:szCs w:val="24"/>
                <w:color w:val="auto"/>
              </w:rPr>
            </w:pPr>
          </w:p>
        </w:tc>
        <w:tc>
          <w:tcPr>
            <w:tcW w:w="80" w:type="dxa"/>
            <w:vAlign w:val="bottom"/>
            <w:tcBorders>
              <w:bottom w:val="single" w:sz="8" w:color="0070C0"/>
            </w:tcBorders>
          </w:tcPr>
          <w:p>
            <w:pPr>
              <w:spacing w:after="0"/>
              <w:rPr>
                <w:sz w:val="24"/>
                <w:szCs w:val="24"/>
                <w:color w:val="auto"/>
              </w:rPr>
            </w:pPr>
          </w:p>
        </w:tc>
        <w:tc>
          <w:tcPr>
            <w:tcW w:w="260" w:type="dxa"/>
            <w:vAlign w:val="bottom"/>
            <w:tcBorders>
              <w:bottom w:val="single" w:sz="8" w:color="0070C0"/>
            </w:tcBorders>
          </w:tcPr>
          <w:p>
            <w:pPr>
              <w:spacing w:after="0"/>
              <w:rPr>
                <w:sz w:val="24"/>
                <w:szCs w:val="24"/>
                <w:color w:val="auto"/>
              </w:rPr>
            </w:pPr>
          </w:p>
        </w:tc>
        <w:tc>
          <w:tcPr>
            <w:tcW w:w="440" w:type="dxa"/>
            <w:vAlign w:val="bottom"/>
            <w:tcBorders>
              <w:bottom w:val="single" w:sz="8" w:color="0070C0"/>
            </w:tcBorders>
          </w:tcPr>
          <w:p>
            <w:pPr>
              <w:spacing w:after="0"/>
              <w:rPr>
                <w:sz w:val="24"/>
                <w:szCs w:val="24"/>
                <w:color w:val="auto"/>
              </w:rPr>
            </w:pPr>
          </w:p>
        </w:tc>
        <w:tc>
          <w:tcPr>
            <w:tcW w:w="480" w:type="dxa"/>
            <w:vAlign w:val="bottom"/>
          </w:tcPr>
          <w:p>
            <w:pPr>
              <w:spacing w:after="0"/>
              <w:rPr>
                <w:sz w:val="24"/>
                <w:szCs w:val="24"/>
                <w:color w:val="auto"/>
              </w:rPr>
            </w:pPr>
          </w:p>
        </w:tc>
      </w:tr>
      <w:tr>
        <w:trPr>
          <w:trHeight w:val="446"/>
        </w:trPr>
        <w:tc>
          <w:tcPr>
            <w:tcW w:w="6280" w:type="dxa"/>
            <w:vAlign w:val="bottom"/>
            <w:gridSpan w:val="3"/>
          </w:tcPr>
          <w:p>
            <w:pPr>
              <w:spacing w:after="0"/>
              <w:rPr>
                <w:sz w:val="20"/>
                <w:szCs w:val="20"/>
                <w:color w:val="auto"/>
              </w:rPr>
            </w:pPr>
            <w:r>
              <w:rPr>
                <w:rFonts w:ascii="Arial" w:cs="Arial" w:eastAsia="Arial" w:hAnsi="Arial"/>
                <w:sz w:val="20"/>
                <w:szCs w:val="20"/>
                <w:b w:val="1"/>
                <w:bCs w:val="1"/>
                <w:color w:val="2573BA"/>
              </w:rPr>
              <w:t>Other (Income) Expense, Net</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08"/>
        </w:trPr>
        <w:tc>
          <w:tcPr>
            <w:tcW w:w="6280" w:type="dxa"/>
            <w:vAlign w:val="bottom"/>
            <w:gridSpan w:val="3"/>
          </w:tcPr>
          <w:p>
            <w:pPr>
              <w:spacing w:after="0"/>
              <w:rPr>
                <w:sz w:val="20"/>
                <w:szCs w:val="20"/>
                <w:color w:val="auto"/>
              </w:rPr>
            </w:pPr>
            <w:r>
              <w:rPr>
                <w:rFonts w:ascii="Arial" w:cs="Arial" w:eastAsia="Arial" w:hAnsi="Arial"/>
                <w:sz w:val="18"/>
                <w:szCs w:val="18"/>
                <w:color w:val="auto"/>
              </w:rPr>
              <w:t>Components of other (income) expense, net, are summarized as follows: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6"/>
        </w:trPr>
        <w:tc>
          <w:tcPr>
            <w:tcW w:w="12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5"/>
                <w:szCs w:val="15"/>
                <w:color w:val="auto"/>
              </w:rPr>
            </w:pPr>
          </w:p>
        </w:tc>
        <w:tc>
          <w:tcPr>
            <w:tcW w:w="22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12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98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DDDDD"/>
          </w:tcPr>
          <w:p>
            <w:pPr>
              <w:spacing w:after="0"/>
              <w:rPr>
                <w:sz w:val="16"/>
                <w:szCs w:val="16"/>
                <w:color w:val="auto"/>
              </w:rPr>
            </w:pPr>
          </w:p>
        </w:tc>
        <w:tc>
          <w:tcPr>
            <w:tcW w:w="1000" w:type="dxa"/>
            <w:vAlign w:val="bottom"/>
            <w:tcBorders>
              <w:top w:val="single" w:sz="8" w:color="auto"/>
              <w:bottom w:val="single" w:sz="8" w:color="auto"/>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257ACB"/>
              </w:rPr>
              <w:t>2026</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2025</w:t>
            </w:r>
          </w:p>
        </w:tc>
      </w:tr>
      <w:tr>
        <w:trPr>
          <w:trHeight w:val="189"/>
        </w:trPr>
        <w:tc>
          <w:tcPr>
            <w:tcW w:w="12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(9.3)</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(72.5)</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(87.8)</w:t>
            </w: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4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237.4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200.0</w:t>
            </w:r>
          </w:p>
        </w:tc>
      </w:tr>
      <w:tr>
        <w:trPr>
          <w:trHeight w:val="203"/>
        </w:trPr>
        <w:tc>
          <w:tcPr>
            <w:tcW w:w="6280" w:type="dxa"/>
            <w:vAlign w:val="bottom"/>
            <w:gridSpan w:val="3"/>
          </w:tcPr>
          <w:p>
            <w:pPr>
              <w:ind w:left="20"/>
              <w:spacing w:after="0"/>
              <w:rPr>
                <w:sz w:val="20"/>
                <w:szCs w:val="20"/>
                <w:color w:val="auto"/>
              </w:rPr>
            </w:pPr>
            <w:r>
              <w:rPr>
                <w:rFonts w:ascii="Arial" w:cs="Arial" w:eastAsia="Arial" w:hAnsi="Arial"/>
                <w:sz w:val="14"/>
                <w:szCs w:val="14"/>
                <w:color w:val="auto"/>
              </w:rPr>
              <w:t>(Gains) losses on investments, net</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34.1</w:t>
            </w:r>
          </w:p>
        </w:tc>
      </w:tr>
      <w:tr>
        <w:trPr>
          <w:trHeight w:val="203"/>
        </w:trPr>
        <w:tc>
          <w:tcPr>
            <w:tcW w:w="6280" w:type="dxa"/>
            <w:vAlign w:val="bottom"/>
            <w:gridSpan w:val="3"/>
          </w:tcPr>
          <w:p>
            <w:pPr>
              <w:ind w:left="20"/>
              <w:spacing w:after="0"/>
              <w:rPr>
                <w:sz w:val="20"/>
                <w:szCs w:val="20"/>
                <w:color w:val="auto"/>
              </w:rPr>
            </w:pPr>
            <w:r>
              <w:rPr>
                <w:rFonts w:ascii="Arial" w:cs="Arial" w:eastAsia="Arial" w:hAnsi="Arial"/>
                <w:sz w:val="14"/>
                <w:szCs w:val="14"/>
                <w:color w:val="auto"/>
              </w:rPr>
              <w:t>Litigation related expense</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35.1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9.0</w:t>
            </w:r>
          </w:p>
        </w:tc>
      </w:tr>
      <w:tr>
        <w:trPr>
          <w:trHeight w:val="203"/>
        </w:trPr>
        <w:tc>
          <w:tcPr>
            <w:tcW w:w="6280" w:type="dxa"/>
            <w:vAlign w:val="bottom"/>
            <w:gridSpan w:val="3"/>
          </w:tcPr>
          <w:p>
            <w:pPr>
              <w:ind w:left="20"/>
              <w:spacing w:after="0"/>
              <w:rPr>
                <w:sz w:val="20"/>
                <w:szCs w:val="20"/>
                <w:color w:val="auto"/>
              </w:rPr>
            </w:pPr>
            <w:r>
              <w:rPr>
                <w:rFonts w:ascii="Arial" w:cs="Arial" w:eastAsia="Arial" w:hAnsi="Arial"/>
                <w:sz w:val="14"/>
                <w:szCs w:val="14"/>
                <w:color w:val="auto"/>
              </w:rPr>
              <w:t>Foreign exchange (gains) losses, net</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19.3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16.9</w:t>
            </w:r>
          </w:p>
        </w:tc>
      </w:tr>
      <w:tr>
        <w:trPr>
          <w:trHeight w:val="207"/>
        </w:trPr>
        <w:tc>
          <w:tcPr>
            <w:tcW w:w="1260" w:type="dxa"/>
            <w:vAlign w:val="bottom"/>
          </w:tcPr>
          <w:p>
            <w:pPr>
              <w:ind w:left="20"/>
              <w:spacing w:after="0"/>
              <w:rPr>
                <w:sz w:val="20"/>
                <w:szCs w:val="20"/>
                <w:color w:val="auto"/>
              </w:rPr>
            </w:pPr>
            <w:r>
              <w:rPr>
                <w:rFonts w:ascii="Arial" w:cs="Arial" w:eastAsia="Arial" w:hAnsi="Arial"/>
                <w:sz w:val="14"/>
                <w:szCs w:val="14"/>
                <w:color w:val="auto"/>
              </w:rPr>
              <w:t>Other, net</w:t>
            </w:r>
          </w:p>
        </w:tc>
        <w:tc>
          <w:tcPr>
            <w:tcW w:w="4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(11.2)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(13.1)</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(21.0)</w:t>
            </w:r>
          </w:p>
        </w:tc>
      </w:tr>
      <w:tr>
        <w:trPr>
          <w:trHeight w:val="220"/>
        </w:trPr>
        <w:tc>
          <w:tcPr>
            <w:tcW w:w="6280" w:type="dxa"/>
            <w:vAlign w:val="bottom"/>
            <w:gridSpan w:val="3"/>
          </w:tcPr>
          <w:p>
            <w:pPr>
              <w:ind w:left="240"/>
              <w:spacing w:after="0"/>
              <w:rPr>
                <w:sz w:val="20"/>
                <w:szCs w:val="20"/>
                <w:color w:val="auto"/>
              </w:rPr>
            </w:pPr>
            <w:r>
              <w:rPr>
                <w:rFonts w:ascii="Arial" w:cs="Arial" w:eastAsia="Arial" w:hAnsi="Arial"/>
                <w:sz w:val="14"/>
                <w:szCs w:val="14"/>
                <w:color w:val="auto"/>
              </w:rPr>
              <w:t>Total other (income) expense, net</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137.4</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175.6</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151.2</w:t>
            </w:r>
          </w:p>
        </w:tc>
      </w:tr>
      <w:tr>
        <w:trPr>
          <w:trHeight w:val="20"/>
        </w:trPr>
        <w:tc>
          <w:tcPr>
            <w:tcW w:w="12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The (gains) losses on investments, net, as reflected in the table above, relate to debt securities, equity securities of certain biotechnology companies, venture capital funds where the underlying investments are in equity securities of certain biotechnology companies and non-marketable equity securities.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(gains) losses on investments, net that relate to our equity securities held during the following periods: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6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98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r>
      <w:tr>
        <w:trPr>
          <w:trHeight w:val="189"/>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Net (gains) losses recognized on equity securities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33.3</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left="46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(31.8)</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34.1</w:t>
            </w:r>
          </w:p>
        </w:tc>
      </w:tr>
      <w:tr>
        <w:trPr>
          <w:trHeight w:val="207"/>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Less: Net (gains) losses realized on equity securities</w:t>
            </w: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220"/>
        </w:trPr>
        <w:tc>
          <w:tcPr>
            <w:tcW w:w="6260" w:type="dxa"/>
            <w:vAlign w:val="bottom"/>
            <w:gridSpan w:val="2"/>
          </w:tcPr>
          <w:p>
            <w:pPr>
              <w:ind w:left="140"/>
              <w:spacing w:after="0"/>
              <w:rPr>
                <w:sz w:val="20"/>
                <w:szCs w:val="20"/>
                <w:color w:val="auto"/>
              </w:rPr>
            </w:pPr>
            <w:r>
              <w:rPr>
                <w:rFonts w:ascii="Arial" w:cs="Arial" w:eastAsia="Arial" w:hAnsi="Arial"/>
                <w:sz w:val="14"/>
                <w:szCs w:val="14"/>
                <w:color w:val="auto"/>
              </w:rPr>
              <w:t>Net unrealized (gains) losses recognized on equity securities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25.1</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left="468"/>
              <w:spacing w:after="0"/>
              <w:rPr>
                <w:sz w:val="20"/>
                <w:szCs w:val="20"/>
                <w:color w:val="auto"/>
              </w:rPr>
            </w:pPr>
            <w:r>
              <w:rPr>
                <w:rFonts w:ascii="Arial" w:cs="Arial" w:eastAsia="Arial" w:hAnsi="Arial"/>
                <w:sz w:val="14"/>
                <w:szCs w:val="14"/>
                <w:color w:val="auto"/>
                <w:w w:val="97"/>
              </w:rPr>
              <w:t>(3.2)</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(36.8)</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32.5</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net unrealized losses recognized during the three months ended September 30, 2026, primarily reflect a decrease in the aggregate fair value of our investment in Denali common stock of approximately $23.7 million.</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net unrealized gains recognized during the three months ended September 30, 2025, primarily reflect an increase in the aggregate fair value of our investments in Denali common stock of approximately $3.8 million.</w:t>
      </w:r>
    </w:p>
    <w:p>
      <w:pPr>
        <w:spacing w:after="0" w:line="9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net unrealized gains recognized during the nine months ended September 30, 2026, primarily reflect an increase in the aggregate fair value of our investment in Denali common stock of approximately $42.2 million.</w:t>
      </w:r>
    </w:p>
    <w:p>
      <w:pPr>
        <w:spacing w:after="0" w:line="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net unrealized losses recognized during the nine months ended September 30, 2025, primarily reflect a decrease in the aggregate fair value of our investments in Denali common stock of approximately $41.9 million, partially offset by an increase in the fair value of Sage common stock of approximately $23.0 million.</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Other Current Assets</w:t>
      </w:r>
    </w:p>
    <w:p>
      <w:pPr>
        <w:spacing w:after="0" w:line="112"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Other current assets includes prepaid taxes of $943.7 million and $693.6 million as of September 30, 2026 and December 31, 2025,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Accrued Expense and Other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 and other consists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257ACB"/>
              </w:rPr>
              <w:t>As of September 30, 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2025</w:t>
            </w:r>
          </w:p>
        </w:tc>
      </w:tr>
      <w:tr>
        <w:trPr>
          <w:trHeight w:val="188"/>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Revenue-related reserves for discounts and allowances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1,019.5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1,000.4</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Employee compensation and benefits</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451.2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375.8</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Collaboration expense</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234.3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280.0</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Royalties and licensing fees</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348.4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302.4</w:t>
            </w:r>
          </w:p>
        </w:tc>
      </w:tr>
      <w:tr>
        <w:trPr>
          <w:trHeight w:val="207"/>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960.2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844.0</w:t>
            </w:r>
          </w:p>
        </w:tc>
      </w:tr>
      <w:tr>
        <w:trPr>
          <w:trHeight w:val="220"/>
        </w:trPr>
        <w:tc>
          <w:tcPr>
            <w:tcW w:w="6760" w:type="dxa"/>
            <w:vAlign w:val="bottom"/>
            <w:gridSpan w:val="2"/>
          </w:tcPr>
          <w:p>
            <w:pPr>
              <w:ind w:left="240"/>
              <w:spacing w:after="0"/>
              <w:rPr>
                <w:sz w:val="20"/>
                <w:szCs w:val="20"/>
                <w:color w:val="auto"/>
              </w:rPr>
            </w:pPr>
            <w:r>
              <w:rPr>
                <w:rFonts w:ascii="Arial" w:cs="Arial" w:eastAsia="Arial" w:hAnsi="Arial"/>
                <w:sz w:val="14"/>
                <w:szCs w:val="14"/>
                <w:color w:val="auto"/>
              </w:rPr>
              <w:t>Total accrued expense and other</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3,013.6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2,802.6</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For additional information on our acquisition of Apellis,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Long-term Liabilities</w:t>
      </w:r>
    </w:p>
    <w:p>
      <w:pPr>
        <w:spacing w:after="0" w:line="115"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Other long-term liabilities were $668.4 million and $748.5 million as of September 30, 2026 and December 31, 2025, respectively, and included accrued income taxes totaling $179.1 million and $166.4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96925" cy="342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53"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19:</w:t>
      </w:r>
      <w:r>
        <w:rPr>
          <w:sz w:val="20"/>
          <w:szCs w:val="20"/>
          <w:color w:val="auto"/>
        </w:rPr>
        <w:tab/>
      </w:r>
      <w:r>
        <w:rPr>
          <w:rFonts w:ascii="Arial" w:cs="Arial" w:eastAsia="Arial" w:hAnsi="Arial"/>
          <w:sz w:val="21"/>
          <w:szCs w:val="21"/>
          <w:b w:val="1"/>
          <w:bCs w:val="1"/>
          <w:color w:val="0070C0"/>
        </w:rPr>
        <w:t>Collaborative and Other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29210</wp:posOffset>
            </wp:positionV>
            <wp:extent cx="60261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Genentech, Inc. (Roche Group)</w:t>
      </w:r>
    </w:p>
    <w:p>
      <w:pPr>
        <w:spacing w:after="0" w:line="12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certain business and financial rights with respect to RITUXAN for the treatment of non-Hodgkin's lymphoma, CLL and other conditions; RITUXAN HYCELA for the treatment of non-Hodgkin's lymphoma and CLL; GAZYVA for the treatment of CLL, follicular lymphoma and lupus nephritis;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 owned member of the Roche Group. For purposes of this footnote, we refer to RITUXAN and RITUXAN HYCELA collectively as RITUXAN.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RITUXAN</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Under our collaboration with Genentech, we are entitled to a tiered share of co-promotion operating profits and losses of RITUXAN in the U.S., as summarized in the table below. Genentech and its affiliates are responsible for the worldwide manufacture of RITUXAN as well as all development and commercialization activities as follows:</w:t>
      </w:r>
    </w:p>
    <w:p>
      <w:pPr>
        <w:spacing w:after="0" w:line="22" w:lineRule="exact"/>
        <w:rPr>
          <w:sz w:val="20"/>
          <w:szCs w:val="20"/>
          <w:color w:val="auto"/>
        </w:rPr>
      </w:pPr>
    </w:p>
    <w:p>
      <w:pPr>
        <w:ind w:left="420" w:hanging="250"/>
        <w:spacing w:after="0"/>
        <w:tabs>
          <w:tab w:leader="none" w:pos="420" w:val="left"/>
        </w:tabs>
        <w:numPr>
          <w:ilvl w:val="0"/>
          <w:numId w:val="16"/>
        </w:numPr>
        <w:rPr>
          <w:rFonts w:ascii="Arial" w:cs="Arial" w:eastAsia="Arial" w:hAnsi="Arial"/>
          <w:sz w:val="20"/>
          <w:szCs w:val="20"/>
          <w:i w:val="1"/>
          <w:iCs w:val="1"/>
          <w:color w:val="0070C0"/>
        </w:rPr>
      </w:pPr>
      <w:r>
        <w:rPr>
          <w:rFonts w:ascii="Arial" w:cs="Arial" w:eastAsia="Arial" w:hAnsi="Arial"/>
          <w:sz w:val="18"/>
          <w:szCs w:val="18"/>
          <w:i w:val="1"/>
          <w:iCs w:val="1"/>
          <w:color w:val="0070C0"/>
        </w:rPr>
        <w:t xml:space="preserve">U.S.: </w:t>
      </w:r>
      <w:r>
        <w:rPr>
          <w:rFonts w:ascii="Arial" w:cs="Arial" w:eastAsia="Arial" w:hAnsi="Arial"/>
          <w:sz w:val="18"/>
          <w:szCs w:val="18"/>
          <w:color w:val="000000"/>
        </w:rPr>
        <w:t>We have co-exclusively licensed our rights to develop, commercialize and market RITUXAN in the U.S.</w:t>
      </w:r>
    </w:p>
    <w:p>
      <w:pPr>
        <w:spacing w:after="0" w:line="67" w:lineRule="exact"/>
        <w:rPr>
          <w:rFonts w:ascii="Arial" w:cs="Arial" w:eastAsia="Arial" w:hAnsi="Arial"/>
          <w:sz w:val="20"/>
          <w:szCs w:val="20"/>
          <w:i w:val="1"/>
          <w:iCs w:val="1"/>
          <w:color w:val="0070C0"/>
        </w:rPr>
      </w:pPr>
    </w:p>
    <w:p>
      <w:pPr>
        <w:ind w:left="420" w:hanging="250"/>
        <w:spacing w:after="0"/>
        <w:tabs>
          <w:tab w:leader="none" w:pos="420" w:val="left"/>
        </w:tabs>
        <w:numPr>
          <w:ilvl w:val="0"/>
          <w:numId w:val="16"/>
        </w:numPr>
        <w:rPr>
          <w:rFonts w:ascii="Arial" w:cs="Arial" w:eastAsia="Arial" w:hAnsi="Arial"/>
          <w:sz w:val="20"/>
          <w:szCs w:val="20"/>
          <w:i w:val="1"/>
          <w:iCs w:val="1"/>
          <w:color w:val="0070C0"/>
        </w:rPr>
      </w:pPr>
      <w:r>
        <w:rPr>
          <w:rFonts w:ascii="Arial" w:cs="Arial" w:eastAsia="Arial" w:hAnsi="Arial"/>
          <w:sz w:val="18"/>
          <w:szCs w:val="18"/>
          <w:i w:val="1"/>
          <w:iCs w:val="1"/>
          <w:color w:val="0070C0"/>
        </w:rPr>
        <w:t xml:space="preserve">Canada: </w:t>
      </w:r>
      <w:r>
        <w:rPr>
          <w:rFonts w:ascii="Arial" w:cs="Arial" w:eastAsia="Arial" w:hAnsi="Arial"/>
          <w:sz w:val="18"/>
          <w:szCs w:val="18"/>
          <w:color w:val="000000"/>
        </w:rPr>
        <w:t>We have co-exclusively licensed our rights to develop, commercialize and market RITUXAN in Canada.</w:t>
      </w:r>
    </w:p>
    <w:p>
      <w:pPr>
        <w:spacing w:after="0" w:line="96" w:lineRule="exact"/>
        <w:rPr>
          <w:rFonts w:ascii="Arial" w:cs="Arial" w:eastAsia="Arial" w:hAnsi="Arial"/>
          <w:sz w:val="20"/>
          <w:szCs w:val="20"/>
          <w:i w:val="1"/>
          <w:iCs w:val="1"/>
          <w:color w:val="0070C0"/>
        </w:rPr>
      </w:pPr>
    </w:p>
    <w:p>
      <w:pPr>
        <w:spacing w:after="0"/>
        <w:rPr>
          <w:rFonts w:ascii="Arial" w:cs="Arial" w:eastAsia="Arial" w:hAnsi="Arial"/>
          <w:sz w:val="20"/>
          <w:szCs w:val="20"/>
          <w:i w:val="1"/>
          <w:iCs w:val="1"/>
          <w:color w:val="0070C0"/>
        </w:rPr>
      </w:pPr>
      <w:r>
        <w:rPr>
          <w:rFonts w:ascii="Arial" w:cs="Arial" w:eastAsia="Arial" w:hAnsi="Arial"/>
          <w:sz w:val="18"/>
          <w:szCs w:val="18"/>
          <w:i w:val="1"/>
          <w:iCs w:val="1"/>
          <w:color w:val="0070C0"/>
        </w:rPr>
        <w:t>GAZYVA</w:t>
      </w:r>
    </w:p>
    <w:p>
      <w:pPr>
        <w:spacing w:after="0" w:line="115"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Roche Group and its sub-licensees maintain sole responsibility for the development, manufacture and commercialization of GAZYVA and we are entitled to a tiered share of co-promotion operating profits and losses of GAZYVA in the U.S. The level of gross sales of GAZYVA in the U.S. has impacted our percentage of the co-promotion profits for RITUXAN and LUNSUMIO, as summarized in the table below.</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OCREVUS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Pursuant to the terms of our collaboration arrangements with Genentech, we receive a tiered royalty on U.S. net sales from 13.5% and increasing up to 24.0% if annual net sales exceed $900.0 million. There will be a 50.0% reduction to these royalties upon the first entry of an FDA-approved biosimilar to OCREVUS.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addition, we receive a gross 3.0% royalty on net sales of OCREVUS outside the U.S., with the royalty period lasting 11 years from the first commercial sale of OCREVUS on a country-by-country basis.</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commercialization of OCREVUS does not impact the percentage of the co-promotion profits we receive for RITUXAN, LUNSUMIO or GAZYVA. Genentech is solely responsible for development and commercialization of OCREVUS and funding future costs. Genentech cannot develop OCREVUS in CLL, non-Hodgkin's lymphoma or rheumatoid arthritis.</w:t>
      </w:r>
    </w:p>
    <w:p>
      <w:pPr>
        <w:spacing w:after="0" w:line="6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LUNSUMIO</w:t>
      </w:r>
    </w:p>
    <w:p>
      <w:pPr>
        <w:spacing w:after="0" w:line="115"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Under our collaboration with Genentech, we are entitled to a tiered share of co-promotion operating profits and losses in the U.S., as summarized in the table below. In addition, we receive low-single digit royalties on sales of LUNSUMIO outside the U.S.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COLUMVI</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Genentech has sole decision-making rights on the commercialization of COLUMVI within the U.S. and we receive tiered royalties in the mid-single digit range on net sales of COLUMVI in the U.S. The commercialization of COLUMVI does not impact the percentage of the co-promotion profits we receive for RITUXAN, LUNSUMIO or GAZYVA.</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Profit-sharing Formulas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RITUXAN and LUNSUMIO Profit Share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current pre-tax co-promotion profit-sharing formula for RITUXAN and LUNSUMIO in the U.S. provides for a 30.0% share on the first</w:t>
      </w:r>
    </w:p>
    <w:p>
      <w:pPr>
        <w:spacing w:after="0" w:line="2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$50.0 million of combined co-promotion operating profits earned each calendar year. Our share of the combined annual co-promotion profits for RITUXAN and LUNSUMIO in excess of $50.0 million varies upon the following events, as summarized in the table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6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LUNSUMIO Approval until the First Threshold Date</w:t>
            </w:r>
          </w:p>
        </w:tc>
        <w:tc>
          <w:tcPr>
            <w:tcW w:w="35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37.5 %</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2573BA"/>
              </w:rPr>
              <w:t>After First Threshold Date until the Second Threshold Date</w:t>
            </w:r>
          </w:p>
        </w:tc>
        <w:tc>
          <w:tcPr>
            <w:tcW w:w="3560" w:type="dxa"/>
            <w:vAlign w:val="bottom"/>
          </w:tcPr>
          <w:p>
            <w:pPr>
              <w:jc w:val="right"/>
              <w:spacing w:after="0"/>
              <w:rPr>
                <w:sz w:val="20"/>
                <w:szCs w:val="20"/>
                <w:color w:val="auto"/>
              </w:rPr>
            </w:pPr>
            <w:r>
              <w:rPr>
                <w:rFonts w:ascii="Arial" w:cs="Arial" w:eastAsia="Arial" w:hAnsi="Arial"/>
                <w:sz w:val="18"/>
                <w:szCs w:val="18"/>
                <w:color w:val="2573BA"/>
              </w:rPr>
              <w:t>35.0 %</w:t>
            </w:r>
          </w:p>
        </w:tc>
      </w:tr>
      <w:tr>
        <w:trPr>
          <w:trHeight w:val="230"/>
        </w:trPr>
        <w:tc>
          <w:tcPr>
            <w:tcW w:w="766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Second Threshold Date</w:t>
            </w:r>
          </w:p>
        </w:tc>
        <w:tc>
          <w:tcPr>
            <w:tcW w:w="35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30.0 %</w:t>
            </w:r>
          </w:p>
        </w:tc>
      </w:tr>
    </w:tbl>
    <w:p>
      <w:pPr>
        <w:spacing w:after="0" w:line="184"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In March 2023 the First Threshold Date was achieved when U.S. gross sales of GAZYVA within a consecutive 12-month period reached $500.0 million. As a result, beginning in April 2023 the pre-tax profit share for RITUXAN and LUNSUMIO has been 35.0%. The Second Threshold Date would be achieved on the first date in any calendar year in which U.S. gross sales of LUNSUMIO have reached $350.0 million.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GAZYVA Profit Share</w:t>
      </w:r>
    </w:p>
    <w:p>
      <w:pPr>
        <w:spacing w:after="0" w:line="1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Our current pre-tax profit-sharing formula for GAZYVA provides for a 35.0% share of operating profits earned in the U.S. in each calendar year.</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Genentech,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our 2025 Form 10-K.</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Ionis Pharmaceuticals, Inc.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2018 Ionis Agreement</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the second quarter of 2026 we exercised our option with Ionis and obtained a worldwide, exclusive, royalty-bearing license to develop and commercialize BIIB147, an investigational ASO targeting stathmin 2 pre-mRNA in people with broad ALS. In connection with the option exercise, we made a payment of $15.0 million to Ionis, which was recorded in acquired in-process research and development, upfront and milestone expense within our consolidated statements of income for the nine months ended September 30, 2026.</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During the third quarter of 2026 we incurred a milestone of $7.5 million related to the advancement of a neurological target identified under this agreement, which was recorded as research and development expense in our consolidated statements of income for the three and nine months ended September 30, 2026.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2017 SMA Collaboration Agreement</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December 2017 we entered into a collaboration agreement with Ionis to identify new ASO drug candidates for the potential treatment of SMA. Under this agreement, we have options to license therapies arising out of this collaboration and will be responsible for the development and commercialization of such therapies.</w:t>
      </w:r>
    </w:p>
    <w:p>
      <w:pPr>
        <w:spacing w:after="0" w:line="63"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In December 2021 we exercised our option with Ionis and obtained a worldwide, exclusive, royalty-bearing license to develop and commercialize salanersen (BIIB115), an investigational ASO in development for SMA.</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2026 we recognized and paid a $45.0 million milestone payment due upon the initiation of a Phase 3 trial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salanersen, which was recorded in acquired in-process research and development, upfront and milestone expense within our consolidated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 of income for the three and nine months ended September 30, 2026. Additionally, we may pay Ionis up to $110.0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development and regulatory milestone payments related to this program. Upon commercialization, we may also pay Ionis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$400.0 million in additional performance-based milestone payments and tiered royalties on potential net sales of such therapies ranging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mid-teens to high-twenties percentages.</w:t>
      </w:r>
    </w:p>
    <w:p>
      <w:pPr>
        <w:spacing w:after="0" w:line="9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our 2025 Form 10-K.</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Eisai Co., Ltd.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LEQEMBI (lecanemab) Collaboration</w:t>
      </w:r>
    </w:p>
    <w:p>
      <w:pPr>
        <w:spacing w:after="0" w:line="1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a collaboration agreement with Eisai to jointly develop and commercialize LEQEMBI (lecanemab), an anti-amyloid antibody for the treatment of Alzheimer's disease. The FDA granted traditional approval of LEQEMBI in July 2023. Prior to receiving traditional approval, LEQEMBI had been granted accelerated approval by the FDA in January 2023, at which time it became commercially available in the U.S. Outside of the U.S., LEQEMBI is now approved in the E.U. (April 2025), Australia (September 2025), China (January 2024), Japan (September 2023) and other international markets. LEQEMBI monthly IV maintenance dosing for the treatment of early Alzheimer's disease was approved in the U.S. and China in January 2025 and September 2025, respectively, and LEQEMBI subcutaneous autoinjector (IQLIK) for weekly maintenance dosing and initiation dosing was approved in the U.S. in August 2025 and July 2026, respectively.</w:t>
      </w:r>
    </w:p>
    <w:p>
      <w:pPr>
        <w:spacing w:after="0" w:line="7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All costs, including research, development, sales and marketing expense, are shared equally between us and Eisai. We also share profits and losses equally. We currently have a supply agreement with Eisai to manufacture LEQEMBI drug substance and drug product through the end of 2031.</w:t>
      </w:r>
    </w:p>
    <w:p>
      <w:pPr>
        <w:spacing w:after="0" w:line="6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Subject to the limitations in the LEQEMBI Collaboration Agreement, Eisai has final decision-making authority on all matters relating to the collaboration and serves as the lead of LEQEMBI development and regulatory submissions globally. We co-commercialize and co-promote LEQEMBI with Eisai. The LEQEMBI Collaboration Agreement provides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that each commercialization plan shall allocate the responsibilities for the activities under the plan in an equitable fashion taking into account Biogen's and Eisai's respective capabilities and provide a meaningful role for each party.</w:t>
      </w:r>
    </w:p>
    <w:p>
      <w:pPr>
        <w:spacing w:after="0" w:line="4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Upon commercialization of LEQEMBI in the U.S., we began recognizing our 50.0% share of LEQEMBI product revenue, net and cost of sales, including royalties, within Alzheimer's collaboration revenue in our condensed consolidated statements of income, as we are not the principal.</w:t>
      </w:r>
    </w:p>
    <w:p>
      <w:pPr>
        <w:spacing w:after="0" w:line="6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share of LEQEMBI sales and marketing expense and development expense are recorded within selling, general and administrative expense and research and development expense, respectively, within our condensed consolidated statements of income.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and sales and marketing expense related to the LEQEMBI Collaboration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6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98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47"/>
        </w:trPr>
        <w:tc>
          <w:tcPr>
            <w:tcW w:w="62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Total development expense incurred by the collaboration related to the advancement of</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57.5</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2"/>
                <w:szCs w:val="12"/>
                <w:color w:val="auto"/>
              </w:rPr>
            </w:pPr>
          </w:p>
        </w:tc>
        <w:tc>
          <w:tcPr>
            <w:tcW w:w="200" w:type="dxa"/>
            <w:vAlign w:val="bottom"/>
            <w:vMerge w:val="restart"/>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188.3</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178.4</w:t>
            </w:r>
          </w:p>
        </w:tc>
        <w:tc>
          <w:tcPr>
            <w:tcW w:w="0" w:type="dxa"/>
            <w:vAlign w:val="bottom"/>
          </w:tcPr>
          <w:p>
            <w:pPr>
              <w:spacing w:after="0"/>
              <w:rPr>
                <w:sz w:val="1"/>
                <w:szCs w:val="1"/>
                <w:color w:val="auto"/>
              </w:rPr>
            </w:pPr>
          </w:p>
        </w:tc>
      </w:tr>
      <w:tr>
        <w:trPr>
          <w:trHeight w:val="185"/>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LEQEMBI</w:t>
            </w:r>
          </w:p>
        </w:tc>
        <w:tc>
          <w:tcPr>
            <w:tcW w:w="160" w:type="dxa"/>
            <w:vAlign w:val="bottom"/>
            <w:vMerge w:val="continue"/>
            <w:shd w:val="clear" w:color="auto" w:fill="DBDBDB"/>
          </w:tcPr>
          <w:p>
            <w:pPr>
              <w:spacing w:after="0"/>
              <w:rPr>
                <w:sz w:val="16"/>
                <w:szCs w:val="16"/>
                <w:color w:val="auto"/>
              </w:rPr>
            </w:pPr>
          </w:p>
        </w:tc>
        <w:tc>
          <w:tcPr>
            <w:tcW w:w="1000" w:type="dxa"/>
            <w:vAlign w:val="bottom"/>
            <w:vMerge w:val="continue"/>
            <w:shd w:val="clear" w:color="auto" w:fill="DBDBDB"/>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shd w:val="clear" w:color="auto" w:fill="DBDBDB"/>
          </w:tcPr>
          <w:p>
            <w:pPr>
              <w:spacing w:after="0"/>
              <w:rPr>
                <w:sz w:val="16"/>
                <w:szCs w:val="16"/>
                <w:color w:val="auto"/>
              </w:rPr>
            </w:pPr>
          </w:p>
        </w:tc>
        <w:tc>
          <w:tcPr>
            <w:tcW w:w="980" w:type="dxa"/>
            <w:vAlign w:val="bottom"/>
            <w:vMerge w:val="continue"/>
            <w:shd w:val="clear" w:color="auto" w:fill="DBDBDB"/>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2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the LEQEMBI Collaboration development expense reflected in research and</w:t>
            </w:r>
          </w:p>
        </w:tc>
        <w:tc>
          <w:tcPr>
            <w:tcW w:w="16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28.7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94.1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189"/>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condensed consolidated statements of income</w:t>
            </w:r>
          </w:p>
        </w:tc>
        <w:tc>
          <w:tcPr>
            <w:tcW w:w="160" w:type="dxa"/>
            <w:vAlign w:val="bottom"/>
            <w:shd w:val="clear" w:color="auto" w:fill="DBDBDB"/>
          </w:tcPr>
          <w:p>
            <w:pPr>
              <w:spacing w:after="0"/>
              <w:rPr>
                <w:sz w:val="16"/>
                <w:szCs w:val="16"/>
                <w:color w:val="auto"/>
              </w:rPr>
            </w:pPr>
          </w:p>
        </w:tc>
        <w:tc>
          <w:tcPr>
            <w:tcW w:w="100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8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LEQEMBI Collaboration</w:t>
            </w:r>
          </w:p>
        </w:tc>
        <w:tc>
          <w:tcPr>
            <w:tcW w:w="16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176.8</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525.7</w:t>
            </w:r>
          </w:p>
        </w:tc>
        <w:tc>
          <w:tcPr>
            <w:tcW w:w="0" w:type="dxa"/>
            <w:vAlign w:val="bottom"/>
          </w:tcPr>
          <w:p>
            <w:pPr>
              <w:spacing w:after="0"/>
              <w:rPr>
                <w:sz w:val="1"/>
                <w:szCs w:val="1"/>
                <w:color w:val="auto"/>
              </w:rPr>
            </w:pPr>
          </w:p>
        </w:tc>
      </w:tr>
      <w:tr>
        <w:trPr>
          <w:trHeight w:val="161"/>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Biogen's share of the LEQEMBI Collaboration sales and marketing expense reflected in selling,</w:t>
            </w:r>
          </w:p>
        </w:tc>
        <w:tc>
          <w:tcPr>
            <w:tcW w:w="16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83.9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246.2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262.8</w:t>
            </w:r>
          </w:p>
        </w:tc>
        <w:tc>
          <w:tcPr>
            <w:tcW w:w="0" w:type="dxa"/>
            <w:vAlign w:val="bottom"/>
          </w:tcPr>
          <w:p>
            <w:pPr>
              <w:spacing w:after="0"/>
              <w:rPr>
                <w:sz w:val="1"/>
                <w:szCs w:val="1"/>
                <w:color w:val="auto"/>
              </w:rPr>
            </w:pPr>
          </w:p>
        </w:tc>
      </w:tr>
      <w:tr>
        <w:trPr>
          <w:trHeight w:val="185"/>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 expense in our condensed consolidated statements of income</w:t>
            </w:r>
          </w:p>
        </w:tc>
        <w:tc>
          <w:tcPr>
            <w:tcW w:w="160" w:type="dxa"/>
            <w:vAlign w:val="bottom"/>
            <w:shd w:val="clear" w:color="auto" w:fill="DBDBDB"/>
          </w:tcPr>
          <w:p>
            <w:pPr>
              <w:spacing w:after="0"/>
              <w:rPr>
                <w:sz w:val="16"/>
                <w:szCs w:val="16"/>
                <w:color w:val="auto"/>
              </w:rPr>
            </w:pPr>
          </w:p>
        </w:tc>
        <w:tc>
          <w:tcPr>
            <w:tcW w:w="100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8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Amounts receivable from Eisai related to the agreements discussed above were approximately $14.3 million and $90.2 million as of September 30, 2026 and December 31, 2025, respectively. Amounts payable to Eisai related to the agreements discussed above were approximately $46.7 million and $95.5 million as of September 30, 2026 and December 31, 2025, respectively.</w:t>
      </w:r>
    </w:p>
    <w:p>
      <w:pPr>
        <w:spacing w:after="0" w:line="6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our 2025 Form 10-K.</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UCB</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 collaboration agreement with UCB, effective November 2003, to jointly develop and commercialize dapirolizumab pegol, an anti-CD40L pegylated Fab, for the potential treatment of SLE and other future agreed indications. Either we or UCB may propose development of dapirolizumab pegol in additional indications. If the parties do not agree to add an indication as an agreed indication to the collaboration, we or UCB may, at the sole expense of the applicable party, pursue development in such excluded indication(s), subject to an opt-in right of the non-pursuing party after proof of clinical activity.</w:t>
      </w:r>
    </w:p>
    <w:p>
      <w:pPr>
        <w:spacing w:after="0" w:line="71"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All costs incurred for agreed indications, including research, development, sales and marketing expense, are shared equally between us and UCB. If marketing approval is obtained, both companies will jointly commercialize dapirolizumab pegol and share profits and losses equally.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UCB collaboration agreement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4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spacing w:after="0"/>
              <w:rPr>
                <w:sz w:val="16"/>
                <w:szCs w:val="16"/>
                <w:color w:val="auto"/>
              </w:rPr>
            </w:pPr>
          </w:p>
        </w:tc>
        <w:tc>
          <w:tcPr>
            <w:tcW w:w="100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DDDDD"/>
          </w:tcPr>
          <w:p>
            <w:pPr>
              <w:spacing w:after="0"/>
              <w:rPr>
                <w:sz w:val="16"/>
                <w:szCs w:val="16"/>
                <w:color w:val="auto"/>
              </w:rPr>
            </w:pPr>
          </w:p>
        </w:tc>
        <w:tc>
          <w:tcPr>
            <w:tcW w:w="980" w:type="dxa"/>
            <w:vAlign w:val="bottom"/>
            <w:tcBorders>
              <w:top w:val="single" w:sz="8" w:color="auto"/>
              <w:bottom w:val="single" w:sz="8" w:color="auto"/>
              <w:right w:val="single" w:sz="8" w:color="DDDDDD"/>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9"/>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Total UCB collaboration development expense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38.4</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97.1</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61"/>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Biogen's share of the UCB collaboration development expense reflected in research and</w:t>
            </w:r>
          </w:p>
        </w:tc>
        <w:tc>
          <w:tcPr>
            <w:tcW w:w="16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19.2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98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48.5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85"/>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condensed consolidated statements of income</w:t>
            </w:r>
          </w:p>
        </w:tc>
        <w:tc>
          <w:tcPr>
            <w:tcW w:w="160" w:type="dxa"/>
            <w:vAlign w:val="bottom"/>
            <w:shd w:val="clear" w:color="auto" w:fill="DBDBDB"/>
          </w:tcPr>
          <w:p>
            <w:pPr>
              <w:spacing w:after="0"/>
              <w:rPr>
                <w:sz w:val="16"/>
                <w:szCs w:val="16"/>
                <w:color w:val="auto"/>
              </w:rPr>
            </w:pPr>
          </w:p>
        </w:tc>
        <w:tc>
          <w:tcPr>
            <w:tcW w:w="100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80" w:type="dxa"/>
            <w:vAlign w:val="bottom"/>
            <w:tcBorders>
              <w:right w:val="single" w:sz="8" w:color="DBDBDB"/>
            </w:tcBorders>
            <w:vMerge w:val="continue"/>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Supernus Pharmaceuticals, Inc. (previously Sage Therapeutics, Inc.)</w:t>
      </w:r>
    </w:p>
    <w:p>
      <w:pPr>
        <w:spacing w:after="0" w:line="126"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In November 2020 we entered into a global collaboration and license agreement with Sage to jointly develop and commercialize ZURZUVAE (zuranolone) for the treatment of PPD. In July 2025 Sage was acquired by Supernus. ZURZUVAE was approved in the U.S. in August 2023 and in the E.U. in September 2025.</w:t>
      </w:r>
    </w:p>
    <w:p>
      <w:pPr>
        <w:spacing w:after="0" w:line="63"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Under this collaboration, both companies will share equal responsibility and costs for development as well as profits and losses for commercialization in the U.S. Outside of the U.S., we are responsible for development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commercialization, excluding Japan, Taiwan and South Korea, with respect to zuranolone and may pay Supernus potential tiered royalties in the high-teens to low-twenties percentages.</w:t>
      </w:r>
    </w:p>
    <w:p>
      <w:pPr>
        <w:spacing w:after="0" w:line="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share 50.0% of the net collaboration results in the U.S. with Supernus, which are recognized in collaboration profit sharing/(loss reimbursement) in our condensed consolidated statements of income. For the three and nine months ended September 30, 2026, we recognized net profit-sharing expense of approximately $28.8 million and $69.7 million, respectively, to reflect Supernus' 50.0% share of the net collaboration results, compared to net profit-sharing expense of approximately $20.7 million and $48.6 million, respectively, in the prior year comparative periods.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and sales and marketing expense related to the Supernus collaboration is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2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6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6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98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right w:val="single" w:sz="8" w:color="DBDBDB"/>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257ACB"/>
              </w:rPr>
              <w:t>2026</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9"/>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Total Supernus collaboration development expense</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3.4</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1"/>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Biogen's share of the Supernus collaboration development expense reflected in research and</w:t>
            </w:r>
          </w:p>
        </w:tc>
        <w:tc>
          <w:tcPr>
            <w:tcW w:w="18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0.5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0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1.7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condensed consolidated statements of income</w:t>
            </w:r>
          </w:p>
        </w:tc>
        <w:tc>
          <w:tcPr>
            <w:tcW w:w="180" w:type="dxa"/>
            <w:vAlign w:val="bottom"/>
            <w:shd w:val="clear" w:color="auto" w:fill="DBDBDB"/>
          </w:tcPr>
          <w:p>
            <w:pPr>
              <w:spacing w:after="0"/>
              <w:rPr>
                <w:sz w:val="16"/>
                <w:szCs w:val="16"/>
                <w:color w:val="auto"/>
              </w:rPr>
            </w:pPr>
          </w:p>
        </w:tc>
        <w:tc>
          <w:tcPr>
            <w:tcW w:w="98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00" w:type="dxa"/>
            <w:vAlign w:val="bottom"/>
            <w:tcBorders>
              <w:right w:val="single" w:sz="8" w:color="DBDBDB"/>
            </w:tcBorders>
            <w:vMerge w:val="continue"/>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Supernus collaboration</w:t>
            </w:r>
          </w:p>
        </w:tc>
        <w:tc>
          <w:tcPr>
            <w:tcW w:w="18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157.2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161"/>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Biogen's share of the Supernus collaboration sales and marketing expense reflected in selling,</w:t>
            </w:r>
          </w:p>
        </w:tc>
        <w:tc>
          <w:tcPr>
            <w:tcW w:w="18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00" w:type="dxa"/>
            <w:vAlign w:val="bottom"/>
            <w:tcBorders>
              <w:right w:val="single" w:sz="8" w:color="DBDBDB"/>
            </w:tcBorders>
            <w:shd w:val="clear" w:color="auto" w:fill="DBDBDB"/>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general and administrative expense and collaboration profit sharing/(loss reimbursement) in our</w:t>
            </w:r>
          </w:p>
        </w:tc>
        <w:tc>
          <w:tcPr>
            <w:tcW w:w="180" w:type="dxa"/>
            <w:vAlign w:val="bottom"/>
            <w:shd w:val="clear" w:color="auto" w:fill="DBDBDB"/>
          </w:tcPr>
          <w:p>
            <w:pPr>
              <w:spacing w:after="0"/>
              <w:rPr>
                <w:sz w:val="12"/>
                <w:szCs w:val="12"/>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28.2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100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78.6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85"/>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condensed consolidated statements of income</w:t>
            </w:r>
          </w:p>
        </w:tc>
        <w:tc>
          <w:tcPr>
            <w:tcW w:w="180" w:type="dxa"/>
            <w:vAlign w:val="bottom"/>
            <w:shd w:val="clear" w:color="auto" w:fill="DBDBDB"/>
          </w:tcPr>
          <w:p>
            <w:pPr>
              <w:spacing w:after="0"/>
              <w:rPr>
                <w:sz w:val="16"/>
                <w:szCs w:val="16"/>
                <w:color w:val="auto"/>
              </w:rPr>
            </w:pPr>
          </w:p>
        </w:tc>
        <w:tc>
          <w:tcPr>
            <w:tcW w:w="98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00" w:type="dxa"/>
            <w:vAlign w:val="bottom"/>
            <w:tcBorders>
              <w:right w:val="single" w:sz="8" w:color="DBDBDB"/>
            </w:tcBorders>
            <w:vMerge w:val="continue"/>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Denali Therapeutics Inc.</w:t>
      </w:r>
    </w:p>
    <w:p>
      <w:pPr>
        <w:spacing w:after="0" w:line="126"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 August 2020 we entered into a collaboration and license agreement with Denali to co-develop and co-commercialize BIIB122, a small molecule inhibitor of LRRK2 for Parkinson's disease (LRRK2 Collaboration).</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Under the LRRK2 Collaboration, both companies share responsibility and costs for global development based on specified percentages as well as profits and losses for commercialization in the U.S. and China. Outside the U.S. and China we are responsible for commercialization and may pay Denali potential tiered royalties.</w:t>
      </w:r>
    </w:p>
    <w:p>
      <w:pPr>
        <w:spacing w:after="0" w:line="6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In May 2026 Biogen and Denali announced topline results from the Phase 2b LUMA study evaluating BIIB122, which showed that BIIB122 did not meet its primary and secondary endpoints. Based on these results we and Denali discontinued development of BIIB122 in idiopathic Parkinson's disease.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Denali collaboration is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4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980" w:type="dxa"/>
            <w:vAlign w:val="bottom"/>
            <w:tcBorders>
              <w:top w:val="single" w:sz="8" w:color="auto"/>
              <w:bottom w:val="single" w:sz="8" w:color="auto"/>
              <w:right w:val="single" w:sz="8" w:color="DBDBDB"/>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9"/>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Total Denali collaboration development expense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2.3</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26DCE"/>
              </w:rPr>
              <w:t>$</w:t>
            </w:r>
          </w:p>
        </w:tc>
        <w:tc>
          <w:tcPr>
            <w:tcW w:w="98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18.1</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61"/>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Biogen's share of the Denali collaboration development expense reflected in research and</w:t>
            </w:r>
          </w:p>
        </w:tc>
        <w:tc>
          <w:tcPr>
            <w:tcW w:w="16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1.4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98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10.9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85"/>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condensed consolidated statements of income</w:t>
            </w:r>
          </w:p>
        </w:tc>
        <w:tc>
          <w:tcPr>
            <w:tcW w:w="160" w:type="dxa"/>
            <w:vAlign w:val="bottom"/>
            <w:shd w:val="clear" w:color="auto" w:fill="DBDBDB"/>
          </w:tcPr>
          <w:p>
            <w:pPr>
              <w:spacing w:after="0"/>
              <w:rPr>
                <w:sz w:val="16"/>
                <w:szCs w:val="16"/>
                <w:color w:val="auto"/>
              </w:rPr>
            </w:pPr>
          </w:p>
        </w:tc>
        <w:tc>
          <w:tcPr>
            <w:tcW w:w="100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80" w:type="dxa"/>
            <w:vAlign w:val="bottom"/>
            <w:tcBorders>
              <w:right w:val="single" w:sz="8" w:color="DBDBDB"/>
            </w:tcBorders>
            <w:vMerge w:val="continue"/>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Stoke Therapeutics, Inc.</w:t>
      </w:r>
    </w:p>
    <w:p>
      <w:pPr>
        <w:spacing w:after="0" w:line="1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February 2025 we entered into a collaboration and license agreement with Stoke to co-develop and commercialize zorevunersen, an investigational ASO that targets the SCN1A gene for the potential treatment of Dravet syndrome, a rare form of genetic epilepsy associated with refractory seizures and neurodevelopmental impairments. Zorevunersen dosed its first patient in August 2025, advancing zorevunersen to a global Phase 3 trial.</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Under the terms of this agreement, Stoke will continue to lead global development and retain exclusive development and commercialization rights for zorevunersen in the U.S., Canada and Mexico and we will have exclusive rights to commercialize zorevunersen in the rest of the world. Both companies will share responsibility for external clinical development costs, where Stoke is responsible for 70.0% of these development costs and we are responsible for the remaining 30.0% of these development costs.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In connection with the closing of this transaction we made an upfront payment of $165.0 million to Stoke, which was recognized in acquired in-process research and development, upfront and milestone expense within our condensed consolidated statements of income for the nine months ended September 30, 2025. We may also pay Stoke potential development and commercial milestone payments of up to</w:t>
      </w:r>
    </w:p>
    <w:p>
      <w:pPr>
        <w:spacing w:after="0" w:line="1"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$50.0 million and $335.0 million, respectively, if all the specified milestones set forth in this collaboration are achieved. In addition, we may pay Stoke tiered royalties on potential net sales of any products developed under this collaboration in the low-double digit to high-teen percentages.</w:t>
      </w:r>
    </w:p>
    <w:p>
      <w:pPr>
        <w:spacing w:after="0" w:line="7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also have an exclusive option to license certain future follow-on ASO products targeting the SCN1A gene in all territories worldwide other than the U.S., Canada and Mexico, in exchange for separate milestone, cost sharing and royalty considerations.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Stoke collaboration agreement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4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spacing w:after="0"/>
              <w:rPr>
                <w:sz w:val="16"/>
                <w:szCs w:val="16"/>
                <w:color w:val="auto"/>
              </w:rPr>
            </w:pPr>
          </w:p>
        </w:tc>
        <w:tc>
          <w:tcPr>
            <w:tcW w:w="100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980" w:type="dxa"/>
            <w:vAlign w:val="bottom"/>
            <w:tcBorders>
              <w:top w:val="single" w:sz="8" w:color="auto"/>
              <w:bottom w:val="single" w:sz="8" w:color="auto"/>
              <w:right w:val="single" w:sz="8" w:color="DBDBDB"/>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9"/>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Total Stoke collaboration development expense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28.6</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26DCE"/>
              </w:rPr>
              <w:t>$</w:t>
            </w:r>
          </w:p>
        </w:tc>
        <w:tc>
          <w:tcPr>
            <w:tcW w:w="98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55.1</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61"/>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Biogen's share of the Stoke collaboration development expense reflected in research and</w:t>
            </w:r>
          </w:p>
        </w:tc>
        <w:tc>
          <w:tcPr>
            <w:tcW w:w="16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8.5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98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16.5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5"/>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condensed consolidated statements of income</w:t>
            </w:r>
          </w:p>
        </w:tc>
        <w:tc>
          <w:tcPr>
            <w:tcW w:w="160" w:type="dxa"/>
            <w:vAlign w:val="bottom"/>
            <w:shd w:val="clear" w:color="auto" w:fill="DBDBDB"/>
          </w:tcPr>
          <w:p>
            <w:pPr>
              <w:spacing w:after="0"/>
              <w:rPr>
                <w:sz w:val="16"/>
                <w:szCs w:val="16"/>
                <w:color w:val="auto"/>
              </w:rPr>
            </w:pPr>
          </w:p>
        </w:tc>
        <w:tc>
          <w:tcPr>
            <w:tcW w:w="100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80" w:type="dxa"/>
            <w:vAlign w:val="bottom"/>
            <w:tcBorders>
              <w:right w:val="single" w:sz="8" w:color="DBDBDB"/>
            </w:tcBorders>
            <w:vMerge w:val="continue"/>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Samsung Bioepis Co., Ltd.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2019 Development and Commercialization Agreement</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December 2019 we completed a transaction with Samsung Bioepis and secured the exclusive rights to commercialize two potential ophthalmology biosimilar products, BYOOVIZ, a ranibizumab biosimilar referencing LUCENTIS, and OPUVIZ, an aflibercept biosimilar referencing EYLEA, in major markets worldwide, including the U.S., Canada, Europe, Japan and Australia. The agreement established that Samsung Bioepis will be responsible for development and will supply both products to us at a pre-specified gross margin of approximately 45.0%.</w:t>
      </w:r>
    </w:p>
    <w:p>
      <w:pPr>
        <w:spacing w:after="0" w:line="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October 2024 we notified Samsung Bioepis of our decision to terminate our 2019 Development and Commercialization Agreement (the DCA Agreement) solely within the U.S. and Canada. The transfer of commercialization rights for BYOOVIZ and OPUVIZ in the U.S. and Canada back to Samsung Bioepis was completed as of December 31, 2025.</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October 2025 we completed the sale of our remaining commercial rights to BYOOVIZ and OPUVIZ in Europe. Samsung Bioepis has full responsibility for commercialization of BYOOVIZ upon the transfer of commercial rights from Biogen back to Samsung Bioepis, which became effective as of January 2026.</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reflected revenue on sales of BYOOVIZ to third parties in product revenue, net in our condensed consolidated statements of income and recorded the related cost of revenue and sales and marketing expense in our condensed consolidated statements of income to their respective line items when these costs are incurred.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2013 Commercial Agreement</w:t>
      </w:r>
    </w:p>
    <w:p>
      <w:pPr>
        <w:spacing w:after="0" w:line="11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December 2013 we entered into an agreement with Samsung Bioepis to commercialize, over a 10-year term, three anti-TNF biosimilar product candidates which includes IMRALDI, an adalimumab biosimilar referencing HUMIRA, FLIXABI, an infliximab biosimilar referencing REMICADE, and BENEPALI, an etanercept biosimilar referencing ENBREL, in Europe. In July 2024 we exercised an option to extend this agreement by an additional five years.</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reflect revenue on sales of BENEPALI, IMRALDI and FLIXABI to third parties in product revenue, net in our condensed consolidated statements of income and record the related cost of revenue and sales and marketing expense in our condensed consolidated statements of income to their respective line items when these costs are incurred. Royalty payments to AbbVie on sales of IMRALDI are recognized in cost of sales within our condensed consolidated statements of income.</w:t>
      </w:r>
    </w:p>
    <w:p>
      <w:pPr>
        <w:spacing w:after="0" w:line="6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share 50.0% of the profit or loss related to our 2013 commercial agreement with Samsung Bioepis, which is recognized in collaboration profit sharing/(loss reimbursement) in our condensed consolidated statements of income. For the three and nine months ended September 30, 2026, we recognized net profit-sharing expense of approximately $49.0 million and $151.1 million, respectively, to reflect Samsung Bioepis' 50.0% sharing of the net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collaboration profits, compared to net profit-sharing expense of approximately $66.5 million and $171.7 million, respectively, in the prior year comparative periods.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Services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Simultaneous with the formation of Samsung Bioepis, we also entered into a license agreement with Samsung Bioepis. Under this license agreement, we granted Samsung Bioepis an exclusive license to use, develop, manufacture and commercialize biosimilar products created by Samsung Bioepis using Biogen product-specific technology. In exchange, we receive single-digit royalties on biosimilar products developed and commercialized by Samsung Bioepis. Royalty revenue under the license agreement is recognized as a component of contract manufacturing, royalty and other revenue in our condensed consolidated statements of income.</w:t>
      </w:r>
    </w:p>
    <w:p>
      <w:pPr>
        <w:spacing w:after="0" w:line="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Amounts receivable from Samsung Bioepis related to the agreements discussed above were approximately $3.8 million and $4.4 million as of September 30, 2026 and December 31, 2025, respectively. Amounts payable to Samsung Bioepis related to the agreements discussed above were approximately $145.9 million and $42.7 million as of September 30, 2026 and December 31, 2025, respectively.</w:t>
      </w:r>
    </w:p>
    <w:p>
      <w:pPr>
        <w:spacing w:after="0" w:line="6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and our other significant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our 2025 Form 10-K.</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Sobi</w:t>
      </w:r>
    </w:p>
    <w:p>
      <w:pPr>
        <w:spacing w:after="0" w:line="12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part of our acquisition of Apellis, we have a collaboration and license agreement with Sobi to jointly develop and commercialize pegcetacoplan for use systemically or for local non-ophthalmological administration. Under the agreement, we have commercialization rights for EMPAVELI in the U.S. and Sobi has exclusive rights to commercialize pegcetacoplan as ASPAVELI in the rest of the world.</w:t>
      </w:r>
    </w:p>
    <w:p>
      <w:pPr>
        <w:spacing w:after="0" w:line="6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We supply pegcetacoplan to Sobi for development and for commercialization outside of the United States in accordance with a supply agreement between the parties.</w:t>
      </w:r>
    </w:p>
    <w:p>
      <w:pPr>
        <w:spacing w:after="0" w:line="4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Pursuant to the terms of our collaboration and license arrangement, as amended by a buy-down agreement entered into in July 2025 which reduces Sobi's royalty obligations by 90% subject to a defined cap, we are eligible to receive tiered royalties in the low single digits on net sales of ASPAVELI outside of the United States. If the defined cap is exceeded in a future period, the royalty terms in the original agreement will be reinstated, and we will earn royalties ranging from the high teens to high twenties on such net sales.</w:t>
      </w:r>
    </w:p>
    <w:p>
      <w:pPr>
        <w:spacing w:after="0" w:line="6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 the three and nine months ended September 30, 2026, we recognized approximately $18.4 million and $31.8 million, respectively in revenues from Sobi related to the agreements above, which are reflected as a component of contract manufacturing, royalty and other revenue in our condensed consolidated statements of income.</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Other Research and Discovery Arrangements and Funding Arrangements</w:t>
      </w:r>
    </w:p>
    <w:p>
      <w:pPr>
        <w:spacing w:after="0" w:line="11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These arrangements may include the potential for future milestone payments based on the achievement of certain clinical and commercial development payable over a period of several years.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Alteogen Inc.</w:t>
      </w:r>
    </w:p>
    <w:p>
      <w:pPr>
        <w:spacing w:after="0" w:line="11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March 2026 we entered into an exclusive license agreement with Alteogen Inc. to enable the development of a subcutaneous formulation of two biologics using Alteogen's ALT-B4 hyaluronidase technology.</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connection with the closing of this transaction we accrued an upfront payment of $20.0 million to Alteogen, which was recognized in acquired in-process research and development, upfront and milestone expense within our condensed consolidated statements of income for the nine months ended September 30, 2026 and was paid during the second quarter of 2026.</w:t>
      </w:r>
    </w:p>
    <w:p>
      <w:pPr>
        <w:spacing w:after="0" w:line="6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Alteogen will also be eligible to receive a $10.0 million option payment if a second program is selected for development, as well as potential development, regulatory and commercial milestone payments and tiered royalties in the mid-single digit percentages on net sales of any combination products resulting from the collaboration.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Alloy Therapeutics, Inc.</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March 2026 we entered into a collaboration and license agreement with Alloy Therapeutics Inc. for the use of Alloy’s novel and proprietary AntiClastic ASO Platform. Through this collaboration, we plan to apply the platform to advance antisense therapeutics against multiple targets.</w:t>
      </w:r>
    </w:p>
    <w:p>
      <w:pPr>
        <w:spacing w:after="0" w:line="6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 connection with the closing of this transaction we accrued an upfront payment of $12.0 million to Alloy, which was recognized in acquired in-process research and development, upfront and milestone expense within our condensed consolidated statements of income for the nine months ended September 30, 2026 and was paid during the second quarter of 2026.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Alloy will also be eligible to receive potential milestone payments and tiered royalties on any products resulting from the collaboration.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Royalty Pharma Funding Arrangement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2025 we entered into a funding agreement with Royalty Pharma under which we received $200.0 million in 2025 and</w:t>
      </w:r>
    </w:p>
    <w:p>
      <w:pPr>
        <w:spacing w:after="0" w:line="27"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$50.0 million in 2026 to co-fund our development costs for the litifilimab program. As there is a substantive transfer of risk to the financial partner for the amount invested, the development funding was recognized by us as an obligation to perform contractual services. This funding was recognized as a reduction to research and development expense within our condensed consolidated statements of income, proportionate to the related expense. For the three and nine months ended September 30, 2026, we received zero and $50.0 million, respectively, from Royalty Pharma, compared to $ 50.0 million and $150.0 million, respectively, in the prior year comparative periods. All funding has been received and the funding period has concluded as of June 30, 2026.</w:t>
      </w:r>
    </w:p>
    <w:p>
      <w:pPr>
        <w:spacing w:after="0" w:line="7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If the litifilimab clinical trials are successful for the indications based on the applicable clinical trials, upon regulatory approval in the U.S. or certain major markets in the world, Royalty Pharma will be eligible to receive approval-based fixed milestone payments of up to</w:t>
      </w:r>
    </w:p>
    <w:p>
      <w:pPr>
        <w:spacing w:after="0" w:line="2"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$250.0 million. The milestone payments due upon approval will be recorded as a component of other (income) expense, net within our condensed consolidated statements of income, when incurred.</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If litifilimab receives regulatory approval, Royalty Pharma will be eligible to receive royalties of a mid-single digit percentage of the applicable net sales, which will be recorded as cost of sales within our condensed consolidated statements of income.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MorphoSys AG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our acquisition of HI-Bio in July 2024, we acquired HI-Bio's pre-existing in-license commitments under third-party agreements with MorphoSys (a wholly-owned subsidiary of Novartis), which included tiered royalties on potential future net sales ranging from high-single digit to mid-teen percentages, as well as potential development, regulatory and commercial milestone payments of up to $130.0 million,</w:t>
      </w:r>
    </w:p>
    <w:p>
      <w:pPr>
        <w:spacing w:after="0" w:line="1"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color w:val="auto"/>
        </w:rPr>
        <w:t>$230.0 million and $640.0 million, respectively. These amounts included milestone payments due upon the first patient dosed in a Phase 3 clinical trial of felzartamab in a first and second indication of $35.0 million and $ 30.0 million, respectively, which were earned during the first and second quarters of 2025 and recorded within acquired in-process research and development, upfront and milestone expense.</w:t>
      </w:r>
    </w:p>
    <w:p>
      <w:pPr>
        <w:spacing w:after="0" w:line="7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April 2026 we entered into a definitive agreement with TJ Bio, where we assumed regulatory and sales milestone obligations under a pre-existing agreement between TJ Bio and MorphoSys and may pay MorphoSys tiered royalties on potential net sales of felzartamab in the greater China region.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Other</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the three and nine months ended September 30, 2026, we recorded approximately $51.3 million and $57.3 million, respectively, as acquired in-process research and development, upfront and milestone expense in our condensed consolidated statements of income related to other research and discovery related arrangements, compared to $2.1 million and $19.4 million, respectively, in the prior year comparative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96925" cy="3429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90"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20:</w:t>
      </w:r>
      <w:r>
        <w:rPr>
          <w:sz w:val="20"/>
          <w:szCs w:val="20"/>
          <w:color w:val="auto"/>
        </w:rPr>
        <w:tab/>
      </w:r>
      <w:r>
        <w:rPr>
          <w:rFonts w:ascii="Arial" w:cs="Arial" w:eastAsia="Arial" w:hAnsi="Arial"/>
          <w:sz w:val="21"/>
          <w:szCs w:val="21"/>
          <w:b w:val="1"/>
          <w:bCs w:val="1"/>
          <w:color w:val="0070C0"/>
        </w:rPr>
        <w:t>Investments in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Unconsolidated Variable Interest Entities</w:t>
      </w:r>
    </w:p>
    <w:p>
      <w:pPr>
        <w:spacing w:after="0" w:line="11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have relationships with various variable interest entities that we do not consolidate as we lack the power to direct the activities that significantly impact the economic success of these entities. These relationships include investments in certain biotechnology companies and research collaboration agreements.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of September 30, 2026 and December 31, 2025, the carrying value of our investments in certain biotechnology companies representing potential unconsolidated variable interest entities totaled $54.1 million and $49.8 million, respectively. Our maximum exposure to loss related to these variable interest entities is limited to the carrying value of our investments.</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have also entered into research collaboration agreements with certain variable interest entities where we are required to fund certain development activities. These development activities are included in research and development expense in our condensed consolidated statements of income as they are incurred. We have provided no financing to these variable interest entities other than previous contractually required amounts.</w:t>
      </w:r>
    </w:p>
    <w:p>
      <w:pPr>
        <w:spacing w:after="0" w:line="5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 xml:space="preserve">For additional information on our investments in variable interest entities, please read </w:t>
      </w:r>
      <w:r>
        <w:rPr>
          <w:rFonts w:ascii="Arial" w:cs="Arial" w:eastAsia="Arial" w:hAnsi="Arial"/>
          <w:sz w:val="18"/>
          <w:szCs w:val="18"/>
          <w:i w:val="1"/>
          <w:iCs w:val="1"/>
          <w:color w:val="auto"/>
        </w:rPr>
        <w:t>Note 20, Investments in Variable Interest Entities,</w:t>
      </w:r>
      <w:r>
        <w:rPr>
          <w:rFonts w:ascii="Arial" w:cs="Arial" w:eastAsia="Arial" w:hAnsi="Arial"/>
          <w:sz w:val="18"/>
          <w:szCs w:val="18"/>
          <w:color w:val="auto"/>
        </w:rPr>
        <w:t xml:space="preserve"> to our consolidated financial statements included in our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96925" cy="342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80"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21:</w:t>
      </w:r>
      <w:r>
        <w:rPr>
          <w:sz w:val="20"/>
          <w:szCs w:val="20"/>
          <w:color w:val="auto"/>
        </w:rPr>
        <w:tab/>
      </w:r>
      <w:r>
        <w:rPr>
          <w:rFonts w:ascii="Arial" w:cs="Arial" w:eastAsia="Arial" w:hAnsi="Arial"/>
          <w:sz w:val="21"/>
          <w:szCs w:val="21"/>
          <w:b w:val="1"/>
          <w:bCs w:val="1"/>
          <w:color w:val="0070C0"/>
        </w:rPr>
        <w:t>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We are currently involved in various claims, investigations and legal proceedings, including the matters described below. For information as to our accounting policies relating to claims and legal proceedings, including use of estimates and contingencies, please read </w:t>
      </w:r>
      <w:r>
        <w:rPr>
          <w:rFonts w:ascii="Arial" w:cs="Arial" w:eastAsia="Arial" w:hAnsi="Arial"/>
          <w:sz w:val="18"/>
          <w:szCs w:val="18"/>
          <w:i w:val="1"/>
          <w:iCs w:val="1"/>
          <w:color w:val="auto"/>
        </w:rPr>
        <w:t>Note 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to our consolidated financial statements included in our 2025 Form 10-K.</w:t>
      </w:r>
    </w:p>
    <w:p>
      <w:pPr>
        <w:spacing w:after="0" w:line="6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With respect to some loss contingencies, an estimate of the possible loss or range of loss cannot be made until management has further information, including, for example, (i) which claims, if any, will survive dispositive motion practice; (ii) information to be obtained through discovery; (iii) information as to the parties' damages claims and supporting evidence; (iv) the parties’ legal theories; and (v) the parties' settlement positions. If an estimate of the possible loss or range of loss can be made at this time, it is included in the potential loss contingency description below.</w:t>
      </w:r>
    </w:p>
    <w:p>
      <w:pPr>
        <w:spacing w:after="0" w:line="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claims and legal proceedings in which we are involved also include challenges to the scope, validity or enforceability of the patents relating to our products, pipeline or processes and challenges to the scope, validity or enforceability of the patents held by others. These include claims by third parties that we infringe their patents. An adverse outcome in any of these proceedings could result in one or more of the following and have a material impact on our business or consolidated results of operations and financial position: (i) loss of patent protection; (ii) inability to continue to engage in certain activities; and (iii) payment of significant damages, royalties, penalties and/or license fees to third parties.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Loss Contingencies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Securities Litigation</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and certain current and former officers are or were defendants in four securities actions in the District Court, one filed in November 2020 (in which Albert Aftoora and Amjad Khan were appointed lead plaintiffs and were named with Nadia Shash as sole managing member of PolyCon Solutions LLC in an amended complaint filed in October 2026), which relates to statements about ADUHELM; one filed by the Oklahoma Firefighters Pension and Retirement System in February 2022, which relates to statements about ADUHELM; one filed in August 2023 (in which Ray Peleckas and the Michigan Laborers’ Pension Fund were appointed lead plaintiffs and named in an amended complaint filed in October 2023), which relates to statements made by Apellis Pharmaceuticals Inc. about SYFOVRE; and one filed in May 2024 (in which Frances Clarity Stokes was appointed lead plaintiff and was named with plaintiff Thomas Allen Gray in an amended complaint filed in December 2024), which relates to statements about LEQEMBI, TECFIDERA and VUMERITY. All allege violations of federal securities laws under 15 U.S.C. §78j(b) and §78t(a) and 17 C.F.R. §240.10b-5c and seek declarations of the actions as class actions and monetary relief.</w:t>
      </w:r>
    </w:p>
    <w:p>
      <w:pPr>
        <w:spacing w:after="0" w:line="5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March 2026 the District Court dismissed the action brought by Frances Clarity Stokes and Thomas Allen Gray and they appealed. In June 2026 Thomas Allen Gray requested voluntary dismissal of his appeal but the appeal by Frances Clarity Stokes continues. In August 2026 the U.S. Court of Appeals for the First Circuit affirmed dismissal of the action brought by Michigan Laborers' Pension Fund and Ray Peleckas.. In September 2026 the District Court granted final approval of a settlement of the action filed by Oklahoma Firefighters Pension and Retirement System. In October 2026 the District Court granted preliminary approval of a settlement of the action filed by Albert Aftoora, Amjad Kahn and Nadia Shash.</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Derivative Actions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and members of the Board of Directors are named as defendants in five derivative actions pending in the District Court, one filed by The Booth Family Trust (Booth) in February 2022, one filed by Elaine Wang (Wang) in July 2022, one filed by Jonathan Blaufarb (Blaufarb I) in July 2024, one filed by Lawrence Hollin (Hollin) in October 2024 and one filed by Jonathan Blaufarb (Blaufarb II) in October 2024. The Booth, Wang and Blaufarb II actions relate to ADUHELM and other matters, and the Blaufarb I and Hollin actions relate to statements about LEQEMBI, our compliance controls, 2023 earnings guidance and other matters. The actions allege breach of fiduciary duty, waste of corporate assets and other common law claims, and violations of the Securities Exchange Act of 1934, 15 U.S.C. §78a et seq. The actions seek declaratory and injunctive relief, monetary relief payable to Biogen and attorneys’ fees and costs payable to the plaintiffs. All derivative actions are stayed.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IMRALDI Patent Litigation</w:t>
      </w:r>
    </w:p>
    <w:p>
      <w:pPr>
        <w:spacing w:after="0" w:line="11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IMRALDI is an adalimumab biosimilar manufactured by Samsung Bioepis that Biogen commercializes in Europe. Fresenius Kabi alleges that IMRALDI infringes various national counterparts of its EP '3 145 488 Patent (the EP '488 Patent).</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June 2022, Fresenius Kabi filed a claim for damages and injunctive relief against Biogen France SAS in the Tribunal de Grande Instance de Paris alleging infringement of the French counterpart of the EP '488 Patent by a formulation of IMRALDI no longer commercialized in France and alleging damages of approximately €19.1 million plus interest and costs. Biogen disputes infringement and challenges the validity of the patent. Trial was held in June 2026 and a decision is pending.</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May 2025 the Higher Regional Court of Düsseldorf, Germany held that a formulation of IMRALDI we no longer commercialize in Germany infringed the German counterpart of the EP '488 Patent, enjoined infringement and declared Fresenius Kabi's right to seek damages. Biogen has requested review of the decision by Germany's Federal Court of Justice and has challenged the validity of the patent in a separate proceeding, and a hearing on validity is set for February 2027.</w:t>
      </w:r>
    </w:p>
    <w:p>
      <w:pPr>
        <w:spacing w:after="0" w:line="6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July 2026, Fresenius Kabi filed a claim for damages and injunctive relief against Biogen Inc., Biogen MA Inc., Biogen Netherlands B.V., Biogen Italia S.r.l., and Samsung Bioepis NL B.V. in the Court of Milan, Commercial Division, in Italy alleging infringement of the Italian counterpart of the EP '488 Patent by a formulation of IMRALDI no longer commercialized in Italy.</w:t>
      </w:r>
    </w:p>
    <w:p>
      <w:pPr>
        <w:spacing w:after="0" w:line="6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July 2026, Fresenius Kabi filed a claim for damages and injunctive relief against Biogen Spain, S.L., and Samsung Bioepis NL B.V. in the Barcelona Court, Commercial Division, in Spain alleging infringement of the Spanish counterpart of the EP '488 Patent by a formulation of IMRALDI no longer commercialized in Spain.</w:t>
      </w:r>
    </w:p>
    <w:p>
      <w:pPr>
        <w:spacing w:after="0" w:line="6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September 2026, Fresenius Kabi filed a claim for damages and injunctive relief against Biogen Switzerland AG and Biogen International GmbH in the Swiss Federal Patent Court alleging infringement of the Swiss counterpart of EP’488 in Switzerland and Liechtenstein by a formulation of IMRALDI no longer commercialized in those countries. In that action, Fresenius also seeks damages and injunctive relief for infringement of the national counterparts of EP ‘488 in France, Italy, and Spain under their respective national laws by a formulation of IMRALDI no longer commercialized in those countries.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Humana Patient Assistance Litigation</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February 2025 Humana filed suit against Biogen Inc., Biogen U.S. Corp. and Advanced Care Scripts, Inc. in Jefferson Circuit Court in Kentucky alleging damages related to providing MS patients with free medications and making charitable contributions to non-profit organizations that provide financial assistance to MS patients. Humana alleges breach of contract, fraud and other claims under various state laws and seeks damages, attorneys' fees and costs. Trial is scheduled for September 2028.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Genentech Litigation</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February 2023 Genentech Inc. filed suit in the U.S. District Court for the Northern District of California claiming that it was owed royalties on sales of TYSABRI that occurred after the expiration of a patent licensed by Genentech to Biogen. In November 2025 the court entered judgment against us for approximately $124.3 million. We appealed and the appeal is pending.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Antitrust Litigation</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October 2025 Local No. 1 Health Fund, the Mayor and City Council of Baltimore, Teamsters Local 237 Welfare Fund, Teamsters Local 237 Retirees' Benefit Fund, UFCW Local 1500 Welfare Fund and Jacksonville Police Officers and Fire Fighters Health Insurance Trust filed an amended complaint against us in now consolidated proceedings in the U.S. District Court for the Northern District of Illinois (the Illinois federal court). The first complaint was filed in August 2024. The plaintiffs allege violations of federal antitrust laws including 15 U.S.C. §§ 1, 2 and 13(c), the Racketeer Influenced and Corrupt Organizations Act, 18 U.S.C. §1962(c) and of various state laws, based on allegations about our contracts with pharmacy benefit managers related to TECFIDERA and VUMERITY and other allegations. Plaintiffs seek declarations of the actions as class actions, monetary, declaratory and equitable relief and attorneys' fees and costs.</w:t>
      </w:r>
    </w:p>
    <w:p>
      <w:pPr>
        <w:spacing w:after="0" w:line="7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in September 2025 Walgreen Co. and The Kroger Co. sued us in the Illinois federal court, alleging violations of 15 U.S.C. §§ 1 and 2 based on allegations about our contracts with pharmacy benefit managers related to TECFIDERA and VUMERITY and other allegations. They seek monetary, declaratory and equitable relief and attorneys' fees and costs.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Neurimmune Litigation</w:t>
      </w:r>
    </w:p>
    <w:p>
      <w:pPr>
        <w:spacing w:after="0" w:line="11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May 2025 we sued Neurimmune Holding AG and Neurimmune SubOne AG (collectively, "Neurimmune") in the District Court seeking declaratory judgment and permanent injunctive relief regarding our rights under a terminated collaboration agreement related to aducanumab. In September 2025 Neurimmune counterclaimed for declaratory judgment, breach of contract and unfair competition under Massachusetts G.L. 93A and seeks monetary, declaratory and equitable relief and attorneys' fees and costs.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TECFIDERA E.U. Litigation</w:t>
      </w:r>
    </w:p>
    <w:p>
      <w:pPr>
        <w:spacing w:after="0" w:line="11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sued certain generic companies for damages for sales of generic versions of TECFIDERA in violation of our regulatory market protection, including Neuraxpharm Pharmaceuticals S.L., Neuraxpharm Netherlands B.V., Zaklady Farmaceutyczne Polpharma S.A., Sandoz B.V., Mylan Ireland Ltd. and Mylan B.V. in the District Court of Amsterdam Netherlands in November 2023; Sandoz A/S in the Danish Maritime and Commercial High Court in June 2024; and STADA Arzneimittel AG, STADA Nordic ApS, Sandoz A/S, Sandoz (Denmark) and Sandoz A/S (Finland), Glenmark Arzneimittel AG and Glenmark Pharmaceuticals Nordic AB in the Finnish Market Court in July 2024. All of these parties have counterclaimed for damages based on our actions to enforce TECFIDERA's regulatory marketing protection.</w:t>
      </w:r>
    </w:p>
    <w:p>
      <w:pPr>
        <w:spacing w:after="0" w:line="6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September 2025 the European General Court annulled the May 2023 European Commission decision granting TECFIDERA an additional year of regulatory marketing protection extending until February 2025. We and the European Commission appealed and the appeal is pending.</w:t>
      </w:r>
    </w:p>
    <w:p>
      <w:pPr>
        <w:spacing w:after="0" w:line="6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November 2025 the Technical Boards of Appeal of the European Patent Office revoked our EP 2 653 873 patent related to TECFIDERA, after which we stopped enforcing this patent and its national counterparts. Certain generic companies have filed claims for damages based on injunctions we obtained prior to patent revocation. Such claims have been filed in the Danish Maritime and Commercial High Court by Viatris ApS in January 2024, Glenmark Pharmaceuticals Nordic AB in July 2025, Sandoz A/S in October 2025, Neuraxpharm Sweden AB and Neuraxpharm Pharmaceuticals S.L. in February 2026 and in the Prague Municipal Court, Czechia, by Glenmark Pharmaceuticals s.r.o., Glenmark Pharmaceuticals Distribution s.r.o. and Zakłady Farmaceutyczne Polpharma S.A. in May 2026, and Mylan Ireland Limited and Viatris CZ s.r.o. in June 2026.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Germany Tax Matter</w:t>
      </w:r>
    </w:p>
    <w:p>
      <w:pPr>
        <w:spacing w:after="0" w:line="115"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In December 2025 and January 2026 a German tax authority issued assessments against us of approximately €209.8 million including interest, which continues to accrue. We are challenging the assessments.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Other Matters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Government Investigations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 May 2024 the Italian Competition Authority informed us that it is investigating Biogen and other companies in relation to our biosimilar product BYOOVIZ.</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color w:val="auto"/>
        </w:rPr>
        <w:t>In September 2025 we received a Civil Investigative Demand from the Louisiana Department of Justice for information regarding our policies relating to the purchase of drugs by healthcare organizations that are covered entities under Section 340B of the Public Health Service Act.</w:t>
      </w:r>
    </w:p>
    <w:p>
      <w:pPr>
        <w:spacing w:after="0" w:line="2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In January 2026 we received a request for information regarding TECFIDERA from the European Commission Directorate-General for Competition. In July 2026 the Commission informed us that it has closed the matter.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 May 2026 the Italian Competition Authority announced that it is investigating Biogen in relation to our STRATIFY JCV assay.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2026 the Dutch Competition Authority informed us that it is investigating Biogen in relation to our STRATIFY JCV assay.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TYSABRI Biosimilar Patent Matter</w:t>
      </w:r>
    </w:p>
    <w:p>
      <w:pPr>
        <w:spacing w:after="0" w:line="11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 September 2022 we filed an action in the U.S. District Court for the District of Delaware against Sandoz Inc., other Sandoz entities and Polpharma Biologics S.A. under the Biologics Price Competition and Innovation Act, 42 U.S.C. §262, seeking a declaratory judgment of patent infringement. In January 2026 we filed an amended complaint against Sandoz Inc. alleging infringement of U.S. Patent Nos. 10,233,245 and U.S. 11,292,845 and seeking damages. Trial against Sandoz Inc. is scheduled for April 2027.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Hatch-Waxman Act Litigation relating to SPINRAZA</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May and June 2026, Biogen filed patent infringement proceedings relating to SPINRAZA Orange-Book listed patents (U.S. Patent Nos. 9,926,559, 10,436,802 and 12,013,403) pursuant to the Drug Price Competition and Patent Term Restoration Act of 1984 (the Hatch-Waxman Act) in the U.S. District Court for the District of Delaware against Somerset Therapeutics, LLC, Somerset Pharma, LLC, Somerset Therapeutics Private Limited f/k/a Somerset Therapeutics Limited and Odin Pharmaceuticals, LLC (collectively, Somerset) and Cipla Ltd. and Cipla USA, Inc. (collectively, Cipla).</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June 2026, Biogen, Cold Spring Harbor Laboratory and Ionis Pharmaceuticals, Inc. filed patent infringement proceedings relating to additional SPINRAZA Orange-Book listed patents (U.S. Patent Nos. 8,361,977, 8,980,853 and 9,717,750) pursuant to the Hatch-Waxman Act in the U.S. District Court for the District of Delaware against Somerset. The cases against Somerset and Cipla have been consolidated, and trial is scheduled for May 2028.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Eisai Matter</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June 2025 we filed a request for arbitration in the International Court of Arbitration of the International Chamber of Commerce seeking adoption of a budget and commercialization plan for the European Territory that allocates commercialization activities to Biogen and Eisai in an equitable fashion taking into account our respective capabilities and provides a meaningful role for each party. A hearing is set for May 2027.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Product Liability and Other Legal Proceedings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are also involved in product liability claims and other legal proceedings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96925" cy="342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84"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22:</w:t>
      </w:r>
      <w:r>
        <w:rPr>
          <w:sz w:val="20"/>
          <w:szCs w:val="20"/>
          <w:color w:val="auto"/>
        </w:rPr>
        <w:tab/>
      </w:r>
      <w:r>
        <w:rPr>
          <w:rFonts w:ascii="Arial" w:cs="Arial" w:eastAsia="Arial" w:hAnsi="Arial"/>
          <w:sz w:val="21"/>
          <w:szCs w:val="21"/>
          <w:b w:val="1"/>
          <w:bCs w:val="1"/>
          <w:color w:val="0070C0"/>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9"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We operate and are managed as one operating segment, and derive revenue from activities related to the discovery, development and delivery of innovative therapies for people living with serious and complex diseases.</w:t>
      </w:r>
    </w:p>
    <w:p>
      <w:pPr>
        <w:spacing w:after="0" w:line="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research and development organization is responsible for the research and discovery of new product candidates and supports development and registration efforts for potential future products. Our pharmaceutical, operations and technology organization manages the development of the manufacturing processes, clinical trial supply, commercial product supply, distribution, buildings and facilities. Our commercial organization is responsible for U.S. and international development of our commercial products. We are also supported by corporate staff functions.</w:t>
      </w:r>
    </w:p>
    <w:p>
      <w:pPr>
        <w:spacing w:after="0" w:line="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CEO, as the CODM, manages and allocates resources to the operations of our company on a total company basis by assessing the overall level of resources available and deciding how to best deploy these resources across functions, therapeutic areas and research and development projects that are in line with our long-term company-wide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strategic goals. In making these decisions, our CEO is provided with and uses consolidated financial information for purposes of evaluating performance, forecasting future period financial results, allocating resources and setting incentive targets. The CODM performs this assessment based on the segment’s net income. Through this analysis, which includes a comparison to budgeted results, the CODM assesses performance and how to allocate resources across the functions discussed above. The measure of segment assets used in determining how to manage and allocate resources is reported within our condensed consolidated balance sheets as total assets.</w:t>
      </w:r>
    </w:p>
    <w:p>
      <w:pPr>
        <w:spacing w:after="0" w:line="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 xml:space="preserve">The table presented below, which was prepared in accordance with the accounting policies discussed in </w:t>
      </w:r>
      <w:r>
        <w:rPr>
          <w:rFonts w:ascii="Arial" w:cs="Arial" w:eastAsia="Arial" w:hAnsi="Arial"/>
          <w:sz w:val="18"/>
          <w:szCs w:val="18"/>
          <w:i w:val="1"/>
          <w:iCs w:val="1"/>
          <w:color w:val="auto"/>
        </w:rPr>
        <w:t>Note 1, 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to our consolidated financial statements included in our 2025 Form 10-K, contains additional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segment’s revenue and profits, including significant segment expense and other segment items.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Additional Segment Information</w:t>
      </w:r>
    </w:p>
    <w:p>
      <w:pPr>
        <w:spacing w:after="0" w:line="99"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The following table includes additional information about reported segment revenue, significant segment expense and segment measure of profitability:</w:t>
      </w: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2"/>
                <w:szCs w:val="12"/>
                <w:color w:val="auto"/>
              </w:rPr>
            </w:pPr>
          </w:p>
        </w:tc>
        <w:tc>
          <w:tcPr>
            <w:tcW w:w="2260" w:type="dxa"/>
            <w:vAlign w:val="bottom"/>
            <w:gridSpan w:val="4"/>
          </w:tcPr>
          <w:p>
            <w:pPr>
              <w:jc w:val="right"/>
              <w:ind w:right="208"/>
              <w:spacing w:after="0" w:line="149" w:lineRule="exact"/>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4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6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3BA"/>
              </w:rPr>
              <w:t>2026</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0070C0"/>
              </w:rPr>
              <w:t>2026</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r>
      <w:tr>
        <w:trPr>
          <w:trHeight w:val="189"/>
        </w:trPr>
        <w:tc>
          <w:tcPr>
            <w:tcW w:w="6280" w:type="dxa"/>
            <w:vAlign w:val="bottom"/>
            <w:gridSpan w:val="3"/>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2,804.1</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2,534.7</w:t>
            </w:r>
          </w:p>
        </w:tc>
        <w:tc>
          <w:tcPr>
            <w:tcW w:w="100" w:type="dxa"/>
            <w:vAlign w:val="bottom"/>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8,017.9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7,611.2</w:t>
            </w:r>
          </w:p>
        </w:tc>
      </w:tr>
      <w:tr>
        <w:trPr>
          <w:trHeight w:val="203"/>
        </w:trPr>
        <w:tc>
          <w:tcPr>
            <w:tcW w:w="6280" w:type="dxa"/>
            <w:vAlign w:val="bottom"/>
            <w:gridSpan w:val="3"/>
          </w:tcPr>
          <w:p>
            <w:pPr>
              <w:ind w:left="20"/>
              <w:spacing w:after="0"/>
              <w:rPr>
                <w:sz w:val="20"/>
                <w:szCs w:val="20"/>
                <w:color w:val="auto"/>
              </w:rPr>
            </w:pPr>
            <w:r>
              <w:rPr>
                <w:rFonts w:ascii="Arial" w:cs="Arial" w:eastAsia="Arial" w:hAnsi="Arial"/>
                <w:sz w:val="14"/>
                <w:szCs w:val="14"/>
                <w:color w:val="auto"/>
              </w:rPr>
              <w:t>Less cost and expense:</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6280" w:type="dxa"/>
            <w:vAlign w:val="bottom"/>
            <w:gridSpan w:val="3"/>
          </w:tcPr>
          <w:p>
            <w:pPr>
              <w:ind w:left="140"/>
              <w:spacing w:after="0"/>
              <w:rPr>
                <w:sz w:val="20"/>
                <w:szCs w:val="20"/>
                <w:color w:val="auto"/>
              </w:rPr>
            </w:pPr>
            <w:r>
              <w:rPr>
                <w:rFonts w:ascii="Arial" w:cs="Arial" w:eastAsia="Arial" w:hAnsi="Arial"/>
                <w:sz w:val="14"/>
                <w:szCs w:val="14"/>
                <w:color w:val="auto"/>
              </w:rPr>
              <w:t>Cost of sales, excluding amortization and impairment of acquired intangible assets:</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6280" w:type="dxa"/>
            <w:vAlign w:val="bottom"/>
            <w:gridSpan w:val="3"/>
          </w:tcPr>
          <w:p>
            <w:pPr>
              <w:ind w:left="360"/>
              <w:spacing w:after="0"/>
              <w:rPr>
                <w:sz w:val="20"/>
                <w:szCs w:val="20"/>
                <w:color w:val="auto"/>
              </w:rPr>
            </w:pPr>
            <w:r>
              <w:rPr>
                <w:rFonts w:ascii="Arial" w:cs="Arial" w:eastAsia="Arial" w:hAnsi="Arial"/>
                <w:sz w:val="14"/>
                <w:szCs w:val="14"/>
                <w:color w:val="auto"/>
              </w:rPr>
              <w:t>Product cost of sales</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541.6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384.0</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1,602.6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1,261.2</w:t>
            </w:r>
          </w:p>
        </w:tc>
      </w:tr>
      <w:tr>
        <w:trPr>
          <w:trHeight w:val="203"/>
        </w:trPr>
        <w:tc>
          <w:tcPr>
            <w:tcW w:w="6280" w:type="dxa"/>
            <w:vAlign w:val="bottom"/>
            <w:gridSpan w:val="3"/>
          </w:tcPr>
          <w:p>
            <w:pPr>
              <w:ind w:left="360"/>
              <w:spacing w:after="0"/>
              <w:rPr>
                <w:sz w:val="20"/>
                <w:szCs w:val="20"/>
                <w:color w:val="auto"/>
              </w:rPr>
            </w:pPr>
            <w:r>
              <w:rPr>
                <w:rFonts w:ascii="Arial" w:cs="Arial" w:eastAsia="Arial" w:hAnsi="Arial"/>
                <w:sz w:val="14"/>
                <w:szCs w:val="14"/>
                <w:color w:val="auto"/>
              </w:rPr>
              <w:t>Royalty cost of sales</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206.8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290.4</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583.7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647.5</w:t>
            </w:r>
          </w:p>
        </w:tc>
      </w:tr>
      <w:tr>
        <w:trPr>
          <w:trHeight w:val="203"/>
        </w:trPr>
        <w:tc>
          <w:tcPr>
            <w:tcW w:w="6280" w:type="dxa"/>
            <w:vAlign w:val="bottom"/>
            <w:gridSpan w:val="3"/>
          </w:tcPr>
          <w:p>
            <w:pPr>
              <w:ind w:left="140"/>
              <w:spacing w:after="0"/>
              <w:rPr>
                <w:sz w:val="20"/>
                <w:szCs w:val="20"/>
                <w:color w:val="auto"/>
              </w:rPr>
            </w:pPr>
            <w:r>
              <w:rPr>
                <w:rFonts w:ascii="Arial" w:cs="Arial" w:eastAsia="Arial" w:hAnsi="Arial"/>
                <w:sz w:val="14"/>
                <w:szCs w:val="14"/>
                <w:color w:val="auto"/>
              </w:rPr>
              <w:t>Research and development:</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6280" w:type="dxa"/>
            <w:vAlign w:val="bottom"/>
            <w:gridSpan w:val="3"/>
          </w:tcPr>
          <w:p>
            <w:pPr>
              <w:ind w:left="360"/>
              <w:spacing w:after="0"/>
              <w:rPr>
                <w:sz w:val="20"/>
                <w:szCs w:val="20"/>
                <w:color w:val="auto"/>
              </w:rPr>
            </w:pPr>
            <w:r>
              <w:rPr>
                <w:rFonts w:ascii="Arial" w:cs="Arial" w:eastAsia="Arial" w:hAnsi="Arial"/>
                <w:sz w:val="14"/>
                <w:szCs w:val="14"/>
                <w:color w:val="auto"/>
              </w:rPr>
              <w:t>Research and discovery</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54.2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136.3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131.9</w:t>
            </w:r>
          </w:p>
        </w:tc>
      </w:tr>
      <w:tr>
        <w:trPr>
          <w:trHeight w:val="203"/>
        </w:trPr>
        <w:tc>
          <w:tcPr>
            <w:tcW w:w="6280" w:type="dxa"/>
            <w:vAlign w:val="bottom"/>
            <w:gridSpan w:val="3"/>
          </w:tcPr>
          <w:p>
            <w:pPr>
              <w:ind w:left="360"/>
              <w:spacing w:after="0"/>
              <w:rPr>
                <w:sz w:val="20"/>
                <w:szCs w:val="20"/>
                <w:color w:val="auto"/>
              </w:rPr>
            </w:pPr>
            <w:r>
              <w:rPr>
                <w:rFonts w:ascii="Arial" w:cs="Arial" w:eastAsia="Arial" w:hAnsi="Arial"/>
                <w:sz w:val="14"/>
                <w:szCs w:val="14"/>
                <w:color w:val="auto"/>
              </w:rPr>
              <w:t>Early stage programs</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87.1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205.4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184.2</w:t>
            </w:r>
          </w:p>
        </w:tc>
      </w:tr>
      <w:tr>
        <w:trPr>
          <w:trHeight w:val="203"/>
        </w:trPr>
        <w:tc>
          <w:tcPr>
            <w:tcW w:w="6280" w:type="dxa"/>
            <w:vAlign w:val="bottom"/>
            <w:gridSpan w:val="3"/>
          </w:tcPr>
          <w:p>
            <w:pPr>
              <w:ind w:left="360"/>
              <w:spacing w:after="0"/>
              <w:rPr>
                <w:sz w:val="20"/>
                <w:szCs w:val="20"/>
                <w:color w:val="auto"/>
              </w:rPr>
            </w:pPr>
            <w:r>
              <w:rPr>
                <w:rFonts w:ascii="Arial" w:cs="Arial" w:eastAsia="Arial" w:hAnsi="Arial"/>
                <w:sz w:val="14"/>
                <w:szCs w:val="14"/>
                <w:color w:val="auto"/>
              </w:rPr>
              <w:t>Late stage programs</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176.0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398.3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154.4</w:t>
            </w:r>
          </w:p>
        </w:tc>
      </w:tr>
      <w:tr>
        <w:trPr>
          <w:trHeight w:val="203"/>
        </w:trPr>
        <w:tc>
          <w:tcPr>
            <w:tcW w:w="6280" w:type="dxa"/>
            <w:vAlign w:val="bottom"/>
            <w:gridSpan w:val="3"/>
          </w:tcPr>
          <w:p>
            <w:pPr>
              <w:ind w:left="360"/>
              <w:spacing w:after="0"/>
              <w:rPr>
                <w:sz w:val="20"/>
                <w:szCs w:val="20"/>
                <w:color w:val="auto"/>
              </w:rPr>
            </w:pPr>
            <w:r>
              <w:rPr>
                <w:rFonts w:ascii="Arial" w:cs="Arial" w:eastAsia="Arial" w:hAnsi="Arial"/>
                <w:sz w:val="14"/>
                <w:szCs w:val="14"/>
                <w:color w:val="auto"/>
              </w:rPr>
              <w:t>Marketed products</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112.7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107.7</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418.7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284.9</w:t>
            </w:r>
          </w:p>
        </w:tc>
      </w:tr>
      <w:tr>
        <w:trPr>
          <w:trHeight w:val="203"/>
        </w:trPr>
        <w:tc>
          <w:tcPr>
            <w:tcW w:w="6280" w:type="dxa"/>
            <w:vAlign w:val="bottom"/>
            <w:gridSpan w:val="3"/>
          </w:tcPr>
          <w:p>
            <w:pPr>
              <w:ind w:left="360"/>
              <w:spacing w:after="0"/>
              <w:rPr>
                <w:sz w:val="20"/>
                <w:szCs w:val="20"/>
                <w:color w:val="auto"/>
              </w:rPr>
            </w:pPr>
            <w:r>
              <w:rPr>
                <w:rFonts w:ascii="Arial" w:cs="Arial" w:eastAsia="Arial" w:hAnsi="Arial"/>
                <w:sz w:val="14"/>
                <w:szCs w:val="14"/>
                <w:color w:val="auto"/>
              </w:rPr>
              <w:t>Other research and development costs</w:t>
            </w:r>
            <w:r>
              <w:rPr>
                <w:rFonts w:ascii="Arial" w:cs="Arial" w:eastAsia="Arial" w:hAnsi="Arial"/>
                <w:sz w:val="9"/>
                <w:szCs w:val="9"/>
                <w:color w:val="auto"/>
              </w:rPr>
              <w:t>(1)</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144.0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167.1</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483.9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513.8</w:t>
            </w:r>
          </w:p>
        </w:tc>
      </w:tr>
      <w:tr>
        <w:trPr>
          <w:trHeight w:val="203"/>
        </w:trPr>
        <w:tc>
          <w:tcPr>
            <w:tcW w:w="6280" w:type="dxa"/>
            <w:vAlign w:val="bottom"/>
            <w:gridSpan w:val="3"/>
          </w:tcPr>
          <w:p>
            <w:pPr>
              <w:ind w:left="140"/>
              <w:spacing w:after="0"/>
              <w:rPr>
                <w:sz w:val="20"/>
                <w:szCs w:val="20"/>
                <w:color w:val="auto"/>
              </w:rPr>
            </w:pPr>
            <w:r>
              <w:rPr>
                <w:rFonts w:ascii="Arial" w:cs="Arial" w:eastAsia="Arial" w:hAnsi="Arial"/>
                <w:sz w:val="14"/>
                <w:szCs w:val="14"/>
                <w:color w:val="auto"/>
              </w:rPr>
              <w:t>Acquired in-process research and development, upfront and milestone expense</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283.8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481.8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249.4</w:t>
            </w:r>
          </w:p>
        </w:tc>
      </w:tr>
      <w:tr>
        <w:trPr>
          <w:trHeight w:val="203"/>
        </w:trPr>
        <w:tc>
          <w:tcPr>
            <w:tcW w:w="6280" w:type="dxa"/>
            <w:vAlign w:val="bottom"/>
            <w:gridSpan w:val="3"/>
          </w:tcPr>
          <w:p>
            <w:pPr>
              <w:ind w:left="14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752.0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594.8</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2,069.0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1,751.1</w:t>
            </w:r>
          </w:p>
        </w:tc>
      </w:tr>
      <w:tr>
        <w:trPr>
          <w:trHeight w:val="206"/>
        </w:trPr>
        <w:tc>
          <w:tcPr>
            <w:tcW w:w="6280" w:type="dxa"/>
            <w:vAlign w:val="bottom"/>
            <w:gridSpan w:val="3"/>
          </w:tcPr>
          <w:p>
            <w:pPr>
              <w:ind w:left="140"/>
              <w:spacing w:after="0"/>
              <w:rPr>
                <w:sz w:val="20"/>
                <w:szCs w:val="20"/>
                <w:color w:val="auto"/>
              </w:rPr>
            </w:pPr>
            <w:r>
              <w:rPr>
                <w:rFonts w:ascii="Arial" w:cs="Arial" w:eastAsia="Arial" w:hAnsi="Arial"/>
                <w:sz w:val="14"/>
                <w:szCs w:val="14"/>
                <w:color w:val="auto"/>
              </w:rPr>
              <w:t>Other segment expense</w:t>
            </w:r>
            <w:r>
              <w:rPr>
                <w:rFonts w:ascii="Arial" w:cs="Arial" w:eastAsia="Arial" w:hAnsi="Arial"/>
                <w:sz w:val="9"/>
                <w:szCs w:val="9"/>
                <w:color w:val="auto"/>
              </w:rPr>
              <w:t>(2)</w:t>
            </w: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466.5</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360.8</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1,241.8</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1,091.0</w:t>
            </w:r>
          </w:p>
        </w:tc>
      </w:tr>
      <w:tr>
        <w:trPr>
          <w:trHeight w:val="220"/>
        </w:trPr>
        <w:tc>
          <w:tcPr>
            <w:tcW w:w="6280" w:type="dxa"/>
            <w:vAlign w:val="bottom"/>
            <w:gridSpan w:val="3"/>
          </w:tcPr>
          <w:p>
            <w:pPr>
              <w:ind w:left="20"/>
              <w:spacing w:after="0"/>
              <w:rPr>
                <w:sz w:val="20"/>
                <w:szCs w:val="20"/>
                <w:color w:val="auto"/>
              </w:rPr>
            </w:pPr>
            <w:r>
              <w:rPr>
                <w:rFonts w:ascii="Arial" w:cs="Arial" w:eastAsia="Arial" w:hAnsi="Arial"/>
                <w:sz w:val="14"/>
                <w:szCs w:val="14"/>
                <w:color w:val="auto"/>
              </w:rPr>
              <w:t>Net (loss) income attributable to Biogen Inc.</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(20.6)</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466.5</w:t>
            </w:r>
          </w:p>
        </w:tc>
        <w:tc>
          <w:tcPr>
            <w:tcW w:w="100" w:type="dxa"/>
            <w:vAlign w:val="bottom"/>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396.4</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1,341.8</w:t>
            </w:r>
          </w:p>
        </w:tc>
      </w:tr>
      <w:tr>
        <w:trPr>
          <w:trHeight w:val="20"/>
        </w:trPr>
        <w:tc>
          <w:tcPr>
            <w:tcW w:w="4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85" w:lineRule="exact"/>
        <w:rPr>
          <w:sz w:val="20"/>
          <w:szCs w:val="20"/>
          <w:color w:val="auto"/>
        </w:rPr>
      </w:pPr>
    </w:p>
    <w:p>
      <w:pPr>
        <w:jc w:val="both"/>
        <w:ind w:left="180" w:right="500" w:hanging="172"/>
        <w:spacing w:after="0" w:line="234" w:lineRule="auto"/>
        <w:tabs>
          <w:tab w:leader="none" w:pos="172"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Other research and development costs primarily consist of indirect costs incurred in support of overall research and development activities and non-specific programs, including activities that benefit multiple programs, such as management costs, as well as depreciation, information technology and facility-based expenses and are not allocated to a specific program or stage.</w:t>
      </w:r>
    </w:p>
    <w:p>
      <w:pPr>
        <w:spacing w:after="0" w:line="26" w:lineRule="exact"/>
        <w:rPr>
          <w:rFonts w:ascii="Arial" w:cs="Arial" w:eastAsia="Arial" w:hAnsi="Arial"/>
          <w:sz w:val="19"/>
          <w:szCs w:val="19"/>
          <w:color w:val="auto"/>
          <w:vertAlign w:val="superscript"/>
        </w:rPr>
      </w:pPr>
    </w:p>
    <w:p>
      <w:pPr>
        <w:ind w:left="180" w:right="500" w:hanging="172"/>
        <w:spacing w:after="0" w:line="222" w:lineRule="auto"/>
        <w:tabs>
          <w:tab w:leader="none" w:pos="172"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Other segment expense includes: amortization and impairment of acquired intangible assets; collaboration profit sharing/(loss reimbursement); (gain) loss on fair value remeasurement of contingent consideration; restructuring charges; other (income) expense, net; and income tax (benefit) expense.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393" w:lineRule="exact"/>
        <w:rPr>
          <w:sz w:val="20"/>
          <w:szCs w:val="20"/>
          <w:color w:val="auto"/>
        </w:rPr>
      </w:pPr>
    </w:p>
    <w:p>
      <w:pPr>
        <w:ind w:right="500"/>
        <w:spacing w:after="0" w:line="29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(condensed consolidated financial statements) and the accompanying notes beginning on page 9 of this quarterly report on Form 10-Q and our audited consolidated financial statements and the accompanying notes included in our 2025 Form 10-K.</w:t>
      </w:r>
    </w:p>
    <w:p>
      <w:pPr>
        <w:spacing w:after="0" w:line="6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results and operations of Apellis, along with the estimated fair values of the assets acquired and liabilities assumed in the Apellis acquisition, have been included in our condensed consolidated financial statements since the closing of the Apellis acquisition on May 14, 2026.</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color w:val="0070C0"/>
        </w:rPr>
        <w:t>EXECUTIVE SUMMARY</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0070C0"/>
        </w:rPr>
        <w:t>INTRODUCTION</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We are focused on advancing our pipeline, including significant late stage programs, in neurology, specialized immunology and rare diseases across multiple modalities. Our drug discovery and development efforts are supported by internal research and development programs, external collaborations and acquisitions of businesses and assets.</w:t>
      </w:r>
    </w:p>
    <w:p>
      <w:pPr>
        <w:spacing w:after="0" w:line="6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marketed products include VUMERITY, TYSABRI, TECFIDERA, AVONEX and PLEGRIDY for the treatment of MS; SPINRAZA for the treatment of SMA; SKYCLARYS for the treatment of FA; QALSODY for the treatment of ALS; SYFOVRE for the treatment of GA; and EMPAVELI for the treatment of PNH, C3G and primary IC-MPGN.</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collaborations with Eisai on the commercialization of LEQEMBI for the treatment of Alzheimer's disease and Supernus on the commercialization of ZURZUVAE for the treatment of PPD. We have certain business and financial rights with current and other potential anti-CD20 therapies, pursuant to our collaboration arrangements with Genentech, a wholly owned member of the Roche Group. Under the collaboration arrangements, we currently recognize revenue from the following products: OCREVUS, GAZYVA, RITUXAN, RITUXAN HYCELA, LUNSUMIO and COLUMVI.</w:t>
      </w:r>
    </w:p>
    <w:p>
      <w:pPr>
        <w:spacing w:after="0" w:line="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On May 14, 2026, we completed the acquisition of Apellis. As a result of this acquisition we acquired SYFOVRE for the treatment of geographic atrophy, or GA, an immune-mediated retinal disease; and EMPAVELI for the treatment of paroxysmal nocturnal hemoglobinuria, or PNH, a rare blood disorder, and C3 glomerulopathy, or C3G, and primary immune complex membranoproliferative glomerulonephritis, or primary IC-MPGN, in rare immune-mediated kidney diseases. For additional information on the acquisition of Apellis, please read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 to these condensed consolidated financial statements.</w:t>
      </w:r>
    </w:p>
    <w:p>
      <w:pPr>
        <w:spacing w:after="0" w:line="7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We commercialize a portfolio of biosimilars of advanced biologics including: BENEPALI, an etanercept biosimilar referencing ENBREL; IMRALDI, an adalimumab biosimilar referencing HUMIRA; and FLIXABI, an infliximab biosimilar referencing REMICADE.</w:t>
      </w:r>
    </w:p>
    <w:p>
      <w:pPr>
        <w:spacing w:after="0" w:line="4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BUSINESS ENVIRONMENT</w:t>
      </w:r>
    </w:p>
    <w:p>
      <w:pPr>
        <w:spacing w:after="0" w:line="106" w:lineRule="exact"/>
        <w:rPr>
          <w:sz w:val="20"/>
          <w:szCs w:val="20"/>
          <w:color w:val="auto"/>
        </w:rPr>
      </w:pPr>
    </w:p>
    <w:p>
      <w:pPr>
        <w:jc w:val="both"/>
        <w:ind w:right="520"/>
        <w:spacing w:after="0" w:line="291" w:lineRule="auto"/>
        <w:rPr>
          <w:sz w:val="20"/>
          <w:szCs w:val="20"/>
          <w:color w:val="auto"/>
        </w:rPr>
      </w:pPr>
      <w:r>
        <w:rPr>
          <w:rFonts w:ascii="Arial" w:cs="Arial" w:eastAsia="Arial" w:hAnsi="Arial"/>
          <w:sz w:val="17"/>
          <w:szCs w:val="17"/>
          <w:color w:val="auto"/>
        </w:rPr>
        <w:t>The biopharmaceutical industry and the markets in which we operate are intensely competitive. Many of our competitors are working to develop or have commercialized products similar to those we market. In addition, the commercialization of certain of our own approved products, products of our collaborators and pipeline product candidates may negatively impact future sales of our existing products.</w:t>
      </w:r>
    </w:p>
    <w:p>
      <w:pPr>
        <w:spacing w:after="0" w:line="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products and revenue streams continue to face increasing competition in many markets from the introduction of new originator therapies, generics, biosimilars of existing products and products approved under abbreviated regulatory pathways. Some of these products are likely to be sold at substantially lower prices than branded products. Accordingly, the introduction of such products as well as other lower-priced competing products has significantly reduced, and in the future may significantly reduce, both the price that we are able to charge for our products and the volume of products we sell, which can negatively impact our revenue. In addition, in some markets, when a generic or biosimilar version of one of our products is commercialized, it may be automatically substituted for our product and significantly reduce our revenue in a short period of time.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Sales of our products depend, to a significant extent, on the availability and extent of adequate coverage, pricing and reimbursement from government health administration authorities, private health insurers and other organizations. When a new pharmaceutical product is approved, the availability of government and private reimbursement for that product may be uncertain, as is the pricing and the amount for which that product will be reimbursed.</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future revenue growth will depend upon the successful clinical development, regulatory approval and launch of new commercial products as well as additional indications for our existing products, our ability to obtain and maintain patents and other rights related to our marketed products, assets originating from our research and development efforts and/or successful execution of external business development opportunities.</w:t>
      </w:r>
    </w:p>
    <w:p>
      <w:pPr>
        <w:spacing w:after="0" w:line="6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seek to ensure an uninterrupted supply of medicines to patients around the world. To that end, we regularly review our manufacturing capacity, capabilities, processes and facilities. In order to support our future growth and drug development pipeline, we expanded our large molecule production capacity and built a large-scale biologics manufacturing facility in Solothurn, Switzerland. The Solothurn facility is operational and has been approved for the manufacture of LEQEMBI and TYSABRI. We believe that the Solothurn facility will support our anticipated near to mid-term needs for the manufacturing of biologic assets. The plant represents a significant increase in our overall manufacturing capacity. Additionally, we continue to invest to modernize, automate and support the capacity requirements for our pipeline and existing products at our existing manufacturing facilities in RTP, North Carolina. If we are unable to fully utilize our manufacturing facilities, we will incur additional excess capacity charges which would have a negative effect on our financial condition and results of operations.</w:t>
      </w:r>
    </w:p>
    <w:p>
      <w:pPr>
        <w:spacing w:after="0" w:line="7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 xml:space="preserve">For a detailed discussion on our business environment, please read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in our 2025 Form 10-K. For additional information on our competition and pricing risks that could negatively impact our product sales, please read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TYSABRI</w:t>
      </w:r>
    </w:p>
    <w:p>
      <w:pPr>
        <w:spacing w:after="0" w:line="12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 biosimilar entrant of TYSABRI was approved in the U.S. and the E.U. in 2023. We expect the future sales of TYSABRI will continue to be adversely affected by the entrance of this biosimilar.</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TECFIDERA</w:t>
      </w:r>
    </w:p>
    <w:p>
      <w:pPr>
        <w:spacing w:after="0" w:line="110"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In November 2025 the Technical Boards of Appeal of the European Patent Office revoked our EP 2 653 873 patent related to TECFIDERA, after which we stopped enforcing this patent and its national counterparts. Multiple TECFIDERA generic entrants are now in North America, Brazil and the E.U. and have deeply discounted prices compared to TECFIDERA. The generic competition for TECFIDERA has significantly reduced our TECFIDERA revenue compared to prior periods, and we expect that TECFIDERA revenue will continue to decline.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to our condensed consolidated financial statements included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70C0"/>
        </w:rPr>
        <w:t>BUSINESS UPDATE REGARDING MACROECONOMIC CONDITIONS AND OTHER POTENTIAL DISRUPTIONS</w:t>
      </w:r>
    </w:p>
    <w:p>
      <w:pPr>
        <w:spacing w:after="0" w:line="10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Significant portions of our business are conducted in Europe, Asia and other international geographies. Factors such as global health outbreaks, adverse weather events, geopolitical events or conflicts, tariffs, inflation, labor or raw material shortages and other supply chain disruptions could result in product shortages or other difficulties and delays or increased costs in manufacturing or distributing our products.</w:t>
      </w:r>
    </w:p>
    <w:p>
      <w:pPr>
        <w:spacing w:after="0" w:line="6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Economic conditions remain uncertain as markets continue to be impacted in part by continued inflationary pressures, higher interest rates, extreme weather events, global supply chain uncertainties and risks associated with geopolitical conflicts. Global supply chain disruptions, such as strikes, work stoppages, port congestion, port closures, trade restrictions, capacity constraints and other logistical problems, may affect our ability to do business.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INTERNATIONAL TRADE</w:t>
      </w:r>
    </w:p>
    <w:p>
      <w:pPr>
        <w:spacing w:after="0" w:line="12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Global conflicts or disputes and interruptions in international relationships, including tariffs, trade protection measures, economic embargoes, import or export licensing requirements and the imposition of trade sanctions or similar restrictions, may affect our ability to do business and the costs that we incur in providing products to our patients.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2025 the U.S. imposed a series of tariffs on imports from nearly all countries, including tariffs pursuant to the IEEPA subject to certain exemptions. Trade-related tensions between the U.S. and China have also led to a series of tariffs and sanctions being imposed by the U.S. on imports from China and retaliatory tariffs imposed by China on U.S. imports, subject as well to exemptions.</w:t>
      </w:r>
    </w:p>
    <w:p>
      <w:pPr>
        <w:spacing w:after="0" w:line="6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Furthermore, in 2025, the U.S. reached a series of Framework Agreements with some countries and trading blocs including the E.U., Switzerland, the U.K., Japan and South Korea, carving U.S. tariff rates for certain import categories between 10.0% and 15.0%.</w:t>
      </w:r>
    </w:p>
    <w:p>
      <w:pPr>
        <w:spacing w:after="0" w:line="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February 2026 the U.S. Supreme Court issued a ruling striking down tariffs previously imposed under the IEEPA. The ultimate availability, timing and amount of any potential refunds of such tariffs remain highly uncertain and could be subject to further legal, regulatory and administrative developments. The amount of IEEPA tariff refunds, if any, that we ultimately recover may differ from the full amount we previously paid. Furthermore, any potential refunds or recoveries may be offset by refunds due to customers for payments made in connection with the IEEPA tariffs. As of this filing date, we have not recorded a receivable for any refund of IEEPA tariffs.</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Following the Supreme Court's decision, the U.S. Administration imposed a 10% baseline tariff on imports from nearly all countries, in addition to any existing non-IEEPA tariffs. The baseline tariff expired on July 24, 2026. Effective July 24, 2026, the U.S. Administration imposed new tariffs of 10.0% to 12.5% on goods from approximately 60 economies under Section 301 of the Trade Act of 1974, subject to certain exemptions, and reduced rates for goods from certain economies where we have significant operations or commercial presence, such as the E.U. and Switzerland.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w:t>
      </w:r>
    </w:p>
    <w:p>
      <w:pPr>
        <w:spacing w:after="0" w:line="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U.S. Secretary of Commerce previously initiated an investigation to determine the effects on the national security of imports of pharmaceuticals and pharmaceutical ingredients, including finished drug products, medical countermeasures, critical inputs such as active pharmaceutical ingredients, key starting materials and derivative products of those items, under Section 232 of the Trade Expansion Act of 1962. In April 2026 after the investigation concluded, the U.S. Administration issued a Proclamation imposing a 100% tariff on imports of patented pharmaceuticals, biologics and associated ingredients, subject to certain exemptions and reduced rates. The Proclamation tariffs went into effect for certain categories on July 31, 2026, and others on September 29, 2026.</w:t>
      </w:r>
    </w:p>
    <w:p>
      <w:pPr>
        <w:spacing w:after="0" w:line="7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June 2026, the EU Parliament published a list of tariffs’ exemptions for U.S. originating goods (including some pharmaceuticals) with an effective date of July 1, 2026, until December 31, 2029.</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There is a high degree of uncertainty concerning what future steps countries and economic blocs will take in response to changes in global trade rules and economics.</w:t>
      </w:r>
    </w:p>
    <w:p>
      <w:pPr>
        <w:spacing w:after="0" w:line="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a significant manufacturing presence in the U.S. While our portfolio is evolving, approximately three quarters of our 2026 and 2025 U.S. product revenue were attributable to products that were largely manufactured in the U.S. However, we, and the biopharmaceutical industry, do utilize partners and production facilities located outside the U.S. for certain raw materials, ingredients, processes and components for our products and their delivery technologies. Engaging alternative suppliers may involve seeking additional regulatory approvals and incurring additional costs and risks associated with new suppliers. This may be costly in terms of time and resources needed or result in delays.</w:t>
      </w:r>
    </w:p>
    <w:p>
      <w:pPr>
        <w:spacing w:after="0" w:line="7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Key products that are currently manufactured primarily outside the U.S. are EMPAVELI, LEQEMBI, TECFIDERA and VUMERITY. In 2024 we initiated a technology transfer process to enable us to manufacture LEQEMBI in the U.S., which was approved in January 2026.</w:t>
      </w:r>
    </w:p>
    <w:p>
      <w:pPr>
        <w:spacing w:after="0" w:line="4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Although certain starting materials for SKYCLARYS rely on a single supplier based in China, the manufacturing process, including active pharmaceutical ingredients and drug substance, is primarily conducted in the U.S.</w:t>
      </w:r>
    </w:p>
    <w:p>
      <w:pPr>
        <w:spacing w:after="0" w:line="4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working to mitigate potential exposure from tariffs across our network, and as of the date of this filing, we do not expect the tariffs currently applicable to our business to result in a material adverse effect on our operations in 2026. This is based on existing tariffs in place or potential tariffs as previously announced by the U.S. Administration, our manufacturing footprint and our inventory levels and market positioning. Should additional tariffs be enacted, our business could be impacted in the future and our results and operations could differ materially from our current expectations. We will continue to monitor the current and future global tariff landscape as it evolves.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GEOPOLITICAL TENSIONS</w:t>
      </w:r>
    </w:p>
    <w:p>
      <w:pPr>
        <w:spacing w:after="0" w:line="124"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The ongoing geopolitical tensions related to Russia's invasion of Ukraine and the military conflict in the Middle East and other global geopolitical developments have resulted in global business disruptions and economic volatility. For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example, sanctions and other restrictions have been levied on the government and businesses in Russia. Although we do not have affiliates or employees in either Russia or Ukraine, we do provide various therapies to patients in Russia through a distributor. Government sanctions on the export of certain manufacturing materials to Russia may delay or limit our ability to get new products approved. The impact of the conflict on our operations and financial performance remains uncertain and will depend on future developments, including the severity and duration of the conflict between Russia and Ukraine, its impact on regional and global economic conditions and whether the conflict spreads or has effects on countries outside Ukraine and Russia.</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closely monitoring ongoing geopolitical tensions in the Middle East, including the recent conflict involving the U.S., Israel and Iran, and the related regional instability. The ongoing geopolitical conflicts in the region could lead to significant disruption of fuel and energy supplies and increases in global fuel prices, which could heighten inflationary pressures, disrupt global supply chains and adversely impact the availability and pricing of raw materials. For example, our primary shipping method for resources and finished goods is through air freight. We will continue to evaluate and take actions to mitigate any potential impacts on our business, results of operations and financial condition. Although the long-term effects remain uncertain, this geopolitical conflict did not have any material effects on our results of operations for the three and nine months ended September 30, 2026.</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continue to monitor the ongoing conflict between Russia and Ukraine as well as the military conflict in the Middle East and other global geopolitical developments and assess any potential impacts on our business, supply chain, partners or customers, as well as any factors that could have an adverse effect on our results of operations. Revenue generated from sales in Russia and Ukraine represent less than 2.0% of total revenue for the three and nine months ended September 30, 2026 and 2025. Additionally, revenue generated from sales in the broader Middle East region represents less than 3.0% of total revenue for the three and nine months ended September 30, 2026 and 2025.</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FACTORS AFFECTING PHARMACEUTICAL PRICING AND OTHER DEVELOPMENTS</w:t>
      </w:r>
    </w:p>
    <w:p>
      <w:pPr>
        <w:spacing w:after="0" w:line="9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Drug prices are under significant scrutiny in many of the markets in which our products are prescribed. For example, legislation like the IRA has certain provisions related to drug pricing, including the ability for the U.S. government to exert considerable influence over prices for certain drugs in Medicare. Additional regulatory or executive actions in the U.S., including those relating to MFN pricing, have been issued or proposed concerning drug pricing and rebates. In addition, many European countries require negotiation of the commercial price within their country and the timelines associated with these pricing approvals has, in some cases, lengthened and have more uncertain outcomes. We expect drug pricing and other healthcare costs will continue to be subject to political and societal pressures on a global basis. As the policy environment remains dynamic, we will continue to monitor legislative and regulatory developments and how U.S. and international drug pricing may impact our business in the future.</w:t>
      </w:r>
    </w:p>
    <w:p>
      <w:pPr>
        <w:spacing w:after="0" w:line="72"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Increasingly, our ability to set or influence the price for our products varies significantly from country to country and, as a result, so can the price or reimbursement of our products. Governments are using a variety of cost-containment measures to control the cost of medicines and</w:t>
      </w:r>
    </w:p>
    <w:p>
      <w:pPr>
        <w:spacing w:after="0" w:line="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achieve economic and budgetary objectives, including price cuts, arbitration hearings, pharmaceutical taxes, mandatory rebates, volume caps, value-based pricing and reference pricing (i.e., referencing prices in other countries and using those reference prices to set a price).</w:t>
      </w:r>
    </w:p>
    <w:p>
      <w:pPr>
        <w:spacing w:after="0" w:line="4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If our efforts to obtain or maintain adequate coverage, pricing or reimbursement for our products are not successful, it could have an adverse effect on our business, reputation, revenue and results of operations, could curtail or eliminate our ability to adequately fund research and development programs for the discovery, launch or commercialization of new products and/or could cause a decline or volatility in our stock price.</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the impact of competition, pricing actions and other measures being taken worldwide designed to reduce healthcare costs and limit the overall level of government expenditures, our sales and operations could also be affected by other risks of doing business internationally, including the impact of public health epidemics on employees, the global economy and the delivery of healthcare treatments, geopolitical events, tariffs, supply chain disruptions, foreign currency exchange fluctuations, changes in intellectual property legal protections and changes in trade regulations and procedures.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August 2022 the IRA was signed into law in the U.S. The IRA introduced new tax provisions, including a 15.0% corporate alternative minimum tax and a 1.0% excise tax on stock repurchases. The provisions of the IRA are effective for periods after December 31, 2022. The IRA did not result in any material adjustments to our income tax provision or other income tax balances as of September 30, 2026 and December 31, 2025. Preliminary guidance has been issued by the IRS and we expect additional guidance and regulations to be issued in future periods. We continue to assess its potential impact on our business and results of operations as further information becomes available.</w:t>
      </w:r>
    </w:p>
    <w:p>
      <w:pPr>
        <w:spacing w:after="0" w:line="82" w:lineRule="exact"/>
        <w:rPr>
          <w:sz w:val="20"/>
          <w:szCs w:val="20"/>
          <w:color w:val="auto"/>
        </w:rPr>
      </w:pPr>
    </w:p>
    <w:p>
      <w:pPr>
        <w:ind w:right="380"/>
        <w:spacing w:after="0" w:line="281" w:lineRule="auto"/>
        <w:rPr>
          <w:sz w:val="20"/>
          <w:szCs w:val="20"/>
          <w:color w:val="auto"/>
        </w:rPr>
      </w:pPr>
      <w:r>
        <w:rPr>
          <w:rFonts w:ascii="Arial" w:cs="Arial" w:eastAsia="Arial" w:hAnsi="Arial"/>
          <w:sz w:val="18"/>
          <w:szCs w:val="18"/>
          <w:color w:val="auto"/>
        </w:rPr>
        <w:t>The IRA also contains substantial drug pricing reforms that may have a significant impact on the pharmaceutical industry in the U.S. This includes the following:</w:t>
      </w:r>
    </w:p>
    <w:p>
      <w:pPr>
        <w:spacing w:after="0" w:line="1" w:lineRule="exact"/>
        <w:rPr>
          <w:sz w:val="20"/>
          <w:szCs w:val="20"/>
          <w:color w:val="auto"/>
        </w:rPr>
      </w:pPr>
    </w:p>
    <w:p>
      <w:pPr>
        <w:ind w:left="660" w:right="20" w:hanging="409"/>
        <w:spacing w:after="0" w:line="268"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allowing CMS to negotiate prices for select high-cost Medicare Part D drugs (beginning in 2026) and Part B drugs (beginning in 2028) to reduce out-of-pocket prescription drug costs for beneficiaries, potentially resulting in higher contributions from plans and manufacturers;</w:t>
      </w:r>
    </w:p>
    <w:p>
      <w:pPr>
        <w:spacing w:after="0" w:line="8" w:lineRule="exact"/>
        <w:rPr>
          <w:rFonts w:ascii="Arial" w:cs="Arial" w:eastAsia="Arial" w:hAnsi="Arial"/>
          <w:sz w:val="18"/>
          <w:szCs w:val="18"/>
          <w:color w:val="auto"/>
        </w:rPr>
      </w:pPr>
    </w:p>
    <w:p>
      <w:pPr>
        <w:ind w:left="660" w:right="60" w:hanging="409"/>
        <w:spacing w:after="0" w:line="28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drug inflationary rebate requirements to penalize manufacturers from raising the prices of Medicare covered single-source drugs and biologics beyond the inflation-adjusted rate, beginning in 2022 for Part D drugs and 2023 for Part B drugs;</w:t>
      </w:r>
    </w:p>
    <w:p>
      <w:pPr>
        <w:spacing w:after="0" w:line="1" w:lineRule="exact"/>
        <w:rPr>
          <w:rFonts w:ascii="Arial" w:cs="Arial" w:eastAsia="Arial" w:hAnsi="Arial"/>
          <w:sz w:val="18"/>
          <w:szCs w:val="18"/>
          <w:color w:val="auto"/>
        </w:rPr>
      </w:pPr>
    </w:p>
    <w:p>
      <w:pPr>
        <w:ind w:left="660" w:right="160" w:hanging="409"/>
        <w:spacing w:after="0" w:line="281"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incentivize biosimilar development, the IRA provides an 8.0% Medicare Part B add-on payment for qualifying biosimilar products for a five-year period; and</w:t>
      </w:r>
    </w:p>
    <w:p>
      <w:pPr>
        <w:spacing w:after="0" w:line="1" w:lineRule="exact"/>
        <w:rPr>
          <w:rFonts w:ascii="Arial" w:cs="Arial" w:eastAsia="Arial" w:hAnsi="Arial"/>
          <w:sz w:val="18"/>
          <w:szCs w:val="18"/>
          <w:color w:val="auto"/>
        </w:rPr>
      </w:pPr>
    </w:p>
    <w:p>
      <w:pPr>
        <w:ind w:left="660" w:right="120" w:hanging="409"/>
        <w:spacing w:after="0" w:line="268"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Medicare Part D redesign which replaces the current coverage gap provisions and establishes a $2,000 cap for out-of-pocket costs for Medicare beneficiaries beginning in 2025, with manufacturers being responsible for up to 10.0% of costs up to the $2,000 cap and up to 20.0% after that cap is reached.</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IRA's drug pricing controls and Medicare Part D redesign have had an adverse impact on our sales, particularly for our products that are more substantially reliant on Medicare reimbursement. The IRA Medicare Part D redesign had a modest net unfavorable impact to our revenue, concentrated in our SKYCLARYS and MS portfolio product revenue.</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degree of impact from this legislation on our business depends on a number of forthcoming implementation actions by regulatory authorities, which may be further impacted by other legislative acts that may modify or replace the IRA. The full extent of the IRA's impact on our sales and, in turn, our business, remains uncertain.</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Additionally, in May 2025 the U.S. government issued an executive order aiming to establish an MFN drug pricing policy that would tie U.S. drug prices to the prices paid for drugs in other developed countries. HHS actions to set MFN pricing targets for prescription drugs, including the use of international reference pricing to set drug prices in the U.S. may result in reduced prices and reimbursement for certain of our products in the U.S.</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2026, CMS published a final rule establishing the Global Benchmark for Efficient Drug Pricing Model, a mandatory Medicare Part B drug payment model that implements the current administration’s MFN pricing policy for drugs reimbursed under that program. The final rule is narrower than the initial rule proposed in December 2025, with expanded exemptions. The model begins on January 1, 2027, with the collection of voluntary manufacturer-submitted international net pricing data. We do not currently believe this will have a material impact on our business in 2027.</w:t>
      </w:r>
    </w:p>
    <w:p>
      <w:pPr>
        <w:spacing w:after="0" w:line="71" w:lineRule="exact"/>
        <w:rPr>
          <w:sz w:val="20"/>
          <w:szCs w:val="20"/>
          <w:color w:val="auto"/>
        </w:rPr>
      </w:pPr>
    </w:p>
    <w:p>
      <w:pPr>
        <w:jc w:val="both"/>
        <w:ind w:right="580"/>
        <w:spacing w:after="0" w:line="291" w:lineRule="auto"/>
        <w:rPr>
          <w:sz w:val="20"/>
          <w:szCs w:val="20"/>
          <w:color w:val="auto"/>
        </w:rPr>
      </w:pPr>
      <w:r>
        <w:rPr>
          <w:rFonts w:ascii="Arial" w:cs="Arial" w:eastAsia="Arial" w:hAnsi="Arial"/>
          <w:sz w:val="17"/>
          <w:szCs w:val="17"/>
          <w:color w:val="auto"/>
        </w:rPr>
        <w:t>These items and any additional legislation, regulations or initiatives related to drug pricing, such as the additional CMS-proposed MFN initiative, the Guarding U.S. Medicare Against Rising Drug Costs for certain Medicare Part D drugs, could create additional uncertainty around the timing and prioritization of our worldwide commercial efforts and adversely impact our business and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evaluate the potential impact of the actions discussed above on our business and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5"/>
          <w:szCs w:val="25"/>
          <w:color w:val="0070C0"/>
        </w:rPr>
        <w:t>FINANCIAL HIGHLIGHTS</w:t>
      </w:r>
    </w:p>
    <w:p>
      <w:pPr>
        <w:spacing w:after="0" w:line="67" w:lineRule="exact"/>
        <w:rPr>
          <w:sz w:val="20"/>
          <w:szCs w:val="20"/>
          <w:color w:val="auto"/>
        </w:rPr>
      </w:pPr>
    </w:p>
    <w:p>
      <w:pPr>
        <w:ind w:right="380"/>
        <w:spacing w:after="0" w:line="281" w:lineRule="auto"/>
        <w:rPr>
          <w:sz w:val="20"/>
          <w:szCs w:val="20"/>
          <w:color w:val="auto"/>
        </w:rPr>
      </w:pPr>
      <w:r>
        <w:rPr>
          <w:rFonts w:ascii="Arial" w:cs="Arial" w:eastAsia="Arial" w:hAnsi="Arial"/>
          <w:sz w:val="18"/>
          <w:szCs w:val="18"/>
          <w:color w:val="auto"/>
        </w:rPr>
        <w:t xml:space="preserve">As described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 our net income and diluted earnings per share attributable to Biogen Inc. for the three months ended September 30, 2026, compared to the three months ended September 30, 2025, reflects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548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1880"/>
        <w:spacing w:after="0"/>
        <w:tabs>
          <w:tab w:leader="none" w:pos="7080" w:val="left"/>
        </w:tabs>
        <w:rPr>
          <w:sz w:val="20"/>
          <w:szCs w:val="20"/>
          <w:color w:val="auto"/>
        </w:rPr>
      </w:pPr>
      <w:r>
        <w:rPr>
          <w:rFonts w:ascii="Arial" w:cs="Arial" w:eastAsia="Arial" w:hAnsi="Arial"/>
          <w:sz w:val="18"/>
          <w:szCs w:val="18"/>
          <w:color w:val="0070C0"/>
        </w:rPr>
        <w:t>TOTAL REVENUE</w:t>
      </w:r>
      <w:r>
        <w:rPr>
          <w:sz w:val="20"/>
          <w:szCs w:val="20"/>
          <w:color w:val="auto"/>
        </w:rPr>
        <w:tab/>
      </w:r>
      <w:r>
        <w:rPr>
          <w:rFonts w:ascii="Arial" w:cs="Arial" w:eastAsia="Arial" w:hAnsi="Arial"/>
          <w:sz w:val="17"/>
          <w:szCs w:val="17"/>
          <w:color w:val="0070C0"/>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54850" cy="8483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5485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60"/>
        <w:spacing w:after="0"/>
        <w:tabs>
          <w:tab w:leader="none" w:pos="8100" w:val="left"/>
        </w:tabs>
        <w:rPr>
          <w:sz w:val="20"/>
          <w:szCs w:val="20"/>
          <w:color w:val="auto"/>
        </w:rPr>
      </w:pPr>
      <w:r>
        <w:rPr>
          <w:rFonts w:ascii="Arial" w:cs="Arial" w:eastAsia="Arial" w:hAnsi="Arial"/>
          <w:sz w:val="16"/>
          <w:szCs w:val="16"/>
          <w:color w:val="0070C0"/>
        </w:rPr>
        <w:t>Increased</w:t>
      </w:r>
      <w:r>
        <w:rPr>
          <w:sz w:val="20"/>
          <w:szCs w:val="20"/>
          <w:color w:val="auto"/>
        </w:rPr>
        <w:tab/>
      </w:r>
      <w:r>
        <w:rPr>
          <w:rFonts w:ascii="Arial" w:cs="Arial" w:eastAsia="Arial" w:hAnsi="Arial"/>
          <w:sz w:val="16"/>
          <w:szCs w:val="16"/>
          <w:color w:val="0070C0"/>
        </w:rPr>
        <w:t>Decreased</w:t>
      </w:r>
    </w:p>
    <w:p>
      <w:pPr>
        <w:spacing w:after="0" w:line="31" w:lineRule="exact"/>
        <w:rPr>
          <w:sz w:val="20"/>
          <w:szCs w:val="20"/>
          <w:color w:val="auto"/>
        </w:rPr>
      </w:pPr>
    </w:p>
    <w:p>
      <w:pPr>
        <w:ind w:left="1780"/>
        <w:spacing w:after="0"/>
        <w:tabs>
          <w:tab w:leader="none" w:pos="7900" w:val="left"/>
        </w:tabs>
        <w:rPr>
          <w:sz w:val="20"/>
          <w:szCs w:val="20"/>
          <w:color w:val="auto"/>
        </w:rPr>
      </w:pPr>
      <w:r>
        <w:rPr>
          <w:rFonts w:ascii="Arial" w:cs="Arial" w:eastAsia="Arial" w:hAnsi="Arial"/>
          <w:sz w:val="16"/>
          <w:szCs w:val="16"/>
          <w:color w:val="0070C0"/>
        </w:rPr>
        <w:t>$269.4 million or 10.6%</w:t>
      </w:r>
      <w:r>
        <w:rPr>
          <w:sz w:val="20"/>
          <w:szCs w:val="20"/>
          <w:color w:val="auto"/>
        </w:rPr>
        <w:tab/>
      </w:r>
      <w:r>
        <w:rPr>
          <w:rFonts w:ascii="Arial" w:cs="Arial" w:eastAsia="Arial" w:hAnsi="Arial"/>
          <w:sz w:val="16"/>
          <w:szCs w:val="16"/>
          <w:color w:val="0070C0"/>
        </w:rPr>
        <w:t>$3.31 or 104.4%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70C0"/>
        </w:rPr>
        <w:t>PRODUCT REVENUE,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55"/>
        <w:spacing w:after="0"/>
        <w:rPr>
          <w:sz w:val="20"/>
          <w:szCs w:val="20"/>
          <w:color w:val="auto"/>
        </w:rPr>
      </w:pPr>
      <w:r>
        <w:rPr>
          <w:rFonts w:ascii="Arial" w:cs="Arial" w:eastAsia="Arial" w:hAnsi="Arial"/>
          <w:sz w:val="16"/>
          <w:szCs w:val="16"/>
          <w:color w:val="0070C0"/>
        </w:rPr>
        <w:t>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-1144270</wp:posOffset>
            </wp:positionV>
            <wp:extent cx="2571750" cy="9855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71750" cy="985520"/>
                    </a:xfrm>
                    <a:prstGeom prst="rect">
                      <a:avLst/>
                    </a:prstGeom>
                    <a:noFill/>
                  </pic:spPr>
                </pic:pic>
              </a:graphicData>
            </a:graphic>
          </wp:anchor>
        </w:drawing>
      </w:r>
    </w:p>
    <w:p>
      <w:pPr>
        <w:spacing w:after="0" w:line="11" w:lineRule="exact"/>
        <w:rPr>
          <w:sz w:val="20"/>
          <w:szCs w:val="20"/>
          <w:color w:val="auto"/>
        </w:rPr>
      </w:pPr>
    </w:p>
    <w:p>
      <w:pPr>
        <w:jc w:val="center"/>
        <w:ind w:left="55"/>
        <w:spacing w:after="0"/>
        <w:rPr>
          <w:sz w:val="20"/>
          <w:szCs w:val="20"/>
          <w:color w:val="auto"/>
        </w:rPr>
      </w:pPr>
      <w:r>
        <w:rPr>
          <w:rFonts w:ascii="Arial" w:cs="Arial" w:eastAsia="Arial" w:hAnsi="Arial"/>
          <w:sz w:val="16"/>
          <w:szCs w:val="16"/>
          <w:color w:val="0070C0"/>
        </w:rPr>
        <w:t>$241.8 million or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33089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62" w:lineRule="exact"/>
        <w:rPr>
          <w:sz w:val="20"/>
          <w:szCs w:val="20"/>
          <w:color w:val="auto"/>
        </w:rPr>
      </w:pPr>
    </w:p>
    <w:p>
      <w:pPr>
        <w:ind w:left="120" w:hanging="112"/>
        <w:spacing w:after="0"/>
        <w:tabs>
          <w:tab w:leader="none" w:pos="120" w:val="left"/>
        </w:tabs>
        <w:numPr>
          <w:ilvl w:val="0"/>
          <w:numId w:val="19"/>
        </w:numPr>
        <w:rPr>
          <w:rFonts w:ascii="Arial" w:cs="Arial" w:eastAsia="Arial" w:hAnsi="Arial"/>
          <w:sz w:val="16"/>
          <w:szCs w:val="16"/>
          <w:color w:val="0070C0"/>
        </w:rPr>
      </w:pPr>
      <w:r>
        <w:rPr>
          <w:rFonts w:ascii="Arial" w:cs="Arial" w:eastAsia="Arial" w:hAnsi="Arial"/>
          <w:sz w:val="16"/>
          <w:szCs w:val="16"/>
          <w:color w:val="0070C0"/>
        </w:rPr>
        <w:t>Rare disease revenue increased $143.0 million, or 26.8%</w:t>
      </w:r>
    </w:p>
    <w:p>
      <w:pPr>
        <w:spacing w:after="0" w:line="21" w:lineRule="exact"/>
        <w:rPr>
          <w:rFonts w:ascii="Arial" w:cs="Arial" w:eastAsia="Arial" w:hAnsi="Arial"/>
          <w:sz w:val="16"/>
          <w:szCs w:val="16"/>
          <w:color w:val="0070C0"/>
        </w:rPr>
      </w:pPr>
    </w:p>
    <w:p>
      <w:pPr>
        <w:ind w:left="120" w:hanging="112"/>
        <w:spacing w:after="0"/>
        <w:tabs>
          <w:tab w:leader="none" w:pos="120" w:val="left"/>
        </w:tabs>
        <w:numPr>
          <w:ilvl w:val="0"/>
          <w:numId w:val="19"/>
        </w:numPr>
        <w:rPr>
          <w:rFonts w:ascii="Arial" w:cs="Arial" w:eastAsia="Arial" w:hAnsi="Arial"/>
          <w:sz w:val="16"/>
          <w:szCs w:val="16"/>
          <w:color w:val="0070C0"/>
        </w:rPr>
      </w:pPr>
      <w:r>
        <w:rPr>
          <w:rFonts w:ascii="Arial" w:cs="Arial" w:eastAsia="Arial" w:hAnsi="Arial"/>
          <w:sz w:val="16"/>
          <w:szCs w:val="16"/>
          <w:color w:val="0070C0"/>
        </w:rPr>
        <w:t>Specialized immunology revenue of $242.8 million</w:t>
      </w:r>
    </w:p>
    <w:p>
      <w:pPr>
        <w:spacing w:after="0" w:line="14" w:lineRule="exact"/>
        <w:rPr>
          <w:rFonts w:ascii="Arial" w:cs="Arial" w:eastAsia="Arial" w:hAnsi="Arial"/>
          <w:sz w:val="16"/>
          <w:szCs w:val="16"/>
          <w:color w:val="0070C0"/>
        </w:rPr>
      </w:pPr>
    </w:p>
    <w:p>
      <w:pPr>
        <w:ind w:left="120" w:hanging="112"/>
        <w:spacing w:after="0"/>
        <w:tabs>
          <w:tab w:leader="none" w:pos="120" w:val="left"/>
        </w:tabs>
        <w:numPr>
          <w:ilvl w:val="0"/>
          <w:numId w:val="19"/>
        </w:numPr>
        <w:rPr>
          <w:rFonts w:ascii="Arial" w:cs="Arial" w:eastAsia="Arial" w:hAnsi="Arial"/>
          <w:sz w:val="16"/>
          <w:szCs w:val="16"/>
          <w:color w:val="0070C0"/>
        </w:rPr>
      </w:pPr>
      <w:r>
        <w:rPr>
          <w:rFonts w:ascii="Arial" w:cs="Arial" w:eastAsia="Arial" w:hAnsi="Arial"/>
          <w:sz w:val="16"/>
          <w:szCs w:val="16"/>
          <w:color w:val="0070C0"/>
        </w:rPr>
        <w:t>MS revenue decreased $142.2 million, or 13.4%</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155" w:right="360" w:hanging="155"/>
        <w:spacing w:after="0" w:line="259" w:lineRule="auto"/>
        <w:tabs>
          <w:tab w:leader="none" w:pos="113" w:val="left"/>
        </w:tabs>
        <w:numPr>
          <w:ilvl w:val="0"/>
          <w:numId w:val="20"/>
        </w:numPr>
        <w:rPr>
          <w:rFonts w:ascii="Arial" w:cs="Arial" w:eastAsia="Arial" w:hAnsi="Arial"/>
          <w:sz w:val="15"/>
          <w:szCs w:val="15"/>
          <w:b w:val="1"/>
          <w:bCs w:val="1"/>
          <w:color w:val="0070C0"/>
        </w:rPr>
      </w:pPr>
      <w:r>
        <w:rPr>
          <w:rFonts w:ascii="Arial" w:cs="Arial" w:eastAsia="Arial" w:hAnsi="Arial"/>
          <w:sz w:val="15"/>
          <w:szCs w:val="15"/>
          <w:color w:val="auto"/>
        </w:rPr>
        <w:t>The increase in rare disease product revenue was primarily due to the continued launch of the high-dose regimen of SPINRAZA as well as revenue growth from our launch products, including SKYCLARYS, QALSODY and ZURZUVAE, partially offset by unfavorable inventory dynamics resulting from timing of shipments of SPINRAZA in certain international markets.</w:t>
      </w:r>
    </w:p>
    <w:p>
      <w:pPr>
        <w:spacing w:after="0" w:line="3" w:lineRule="exact"/>
        <w:rPr>
          <w:rFonts w:ascii="Arial" w:cs="Arial" w:eastAsia="Arial" w:hAnsi="Arial"/>
          <w:sz w:val="15"/>
          <w:szCs w:val="15"/>
          <w:b w:val="1"/>
          <w:bCs w:val="1"/>
          <w:color w:val="0070C0"/>
        </w:rPr>
      </w:pPr>
    </w:p>
    <w:p>
      <w:pPr>
        <w:ind w:left="115" w:hanging="115"/>
        <w:spacing w:after="0"/>
        <w:tabs>
          <w:tab w:leader="none" w:pos="115" w:val="left"/>
        </w:tabs>
        <w:numPr>
          <w:ilvl w:val="0"/>
          <w:numId w:val="20"/>
        </w:numPr>
        <w:rPr>
          <w:rFonts w:ascii="Arial" w:cs="Arial" w:eastAsia="Arial" w:hAnsi="Arial"/>
          <w:sz w:val="15"/>
          <w:szCs w:val="15"/>
          <w:b w:val="1"/>
          <w:bCs w:val="1"/>
          <w:color w:val="0070C0"/>
        </w:rPr>
      </w:pPr>
      <w:r>
        <w:rPr>
          <w:rFonts w:ascii="Arial" w:cs="Arial" w:eastAsia="Arial" w:hAnsi="Arial"/>
          <w:sz w:val="15"/>
          <w:szCs w:val="15"/>
          <w:color w:val="auto"/>
        </w:rPr>
        <w:t>U.S. revenue for SYFOVRE and EMPAVELI was $242.8 million.</w:t>
      </w:r>
    </w:p>
    <w:p>
      <w:pPr>
        <w:spacing w:after="0" w:line="30" w:lineRule="exact"/>
        <w:rPr>
          <w:rFonts w:ascii="Arial" w:cs="Arial" w:eastAsia="Arial" w:hAnsi="Arial"/>
          <w:sz w:val="15"/>
          <w:szCs w:val="15"/>
          <w:b w:val="1"/>
          <w:bCs w:val="1"/>
          <w:color w:val="0070C0"/>
        </w:rPr>
      </w:pPr>
    </w:p>
    <w:p>
      <w:pPr>
        <w:ind w:left="155" w:hanging="155"/>
        <w:spacing w:after="0" w:line="251" w:lineRule="auto"/>
        <w:tabs>
          <w:tab w:leader="none" w:pos="113" w:val="left"/>
        </w:tabs>
        <w:numPr>
          <w:ilvl w:val="0"/>
          <w:numId w:val="20"/>
        </w:numPr>
        <w:rPr>
          <w:rFonts w:ascii="Arial" w:cs="Arial" w:eastAsia="Arial" w:hAnsi="Arial"/>
          <w:sz w:val="15"/>
          <w:szCs w:val="15"/>
          <w:color w:val="0070C0"/>
        </w:rPr>
      </w:pPr>
      <w:r>
        <w:rPr>
          <w:rFonts w:ascii="Arial" w:cs="Arial" w:eastAsia="Arial" w:hAnsi="Arial"/>
          <w:sz w:val="15"/>
          <w:szCs w:val="15"/>
          <w:color w:val="auto"/>
        </w:rPr>
        <w:t>ZURZUVAE revenue of $84.4 million in the third quarter of 2026 was driven by the continued launch in the U.S.</w:t>
      </w:r>
    </w:p>
    <w:p>
      <w:pPr>
        <w:spacing w:after="0" w:line="3" w:lineRule="exact"/>
        <w:rPr>
          <w:rFonts w:ascii="Arial" w:cs="Arial" w:eastAsia="Arial" w:hAnsi="Arial"/>
          <w:sz w:val="15"/>
          <w:szCs w:val="15"/>
          <w:color w:val="0070C0"/>
        </w:rPr>
      </w:pPr>
    </w:p>
    <w:p>
      <w:pPr>
        <w:ind w:left="155" w:hanging="155"/>
        <w:spacing w:after="0" w:line="263" w:lineRule="auto"/>
        <w:tabs>
          <w:tab w:leader="none" w:pos="113" w:val="left"/>
        </w:tabs>
        <w:numPr>
          <w:ilvl w:val="0"/>
          <w:numId w:val="20"/>
        </w:numPr>
        <w:rPr>
          <w:rFonts w:ascii="Arial" w:cs="Arial" w:eastAsia="Arial" w:hAnsi="Arial"/>
          <w:sz w:val="15"/>
          <w:szCs w:val="15"/>
          <w:b w:val="1"/>
          <w:bCs w:val="1"/>
          <w:color w:val="0070C0"/>
        </w:rPr>
      </w:pPr>
      <w:r>
        <w:rPr>
          <w:rFonts w:ascii="Arial" w:cs="Arial" w:eastAsia="Arial" w:hAnsi="Arial"/>
          <w:sz w:val="15"/>
          <w:szCs w:val="15"/>
          <w:color w:val="auto"/>
        </w:rPr>
        <w:t>The decrease in MS product revenue was primarily due to a decrease in global demand of TECFIDERA, particularly in Europe, resulting from generic competition as well as decrease in global demand of our Interferon products as patients continue the long-term trend of transitioning to oral and higher efficacy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165100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5185" w:space="720"/>
            <w:col w:w="5215"/>
          </w:cols>
          <w:pgMar w:left="320" w:top="130" w:right="45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0070C0"/>
        </w:rPr>
        <w:t>TOTAL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1226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122680"/>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55"/>
        <w:spacing w:after="0"/>
        <w:rPr>
          <w:sz w:val="20"/>
          <w:szCs w:val="20"/>
          <w:color w:val="auto"/>
        </w:rPr>
      </w:pPr>
      <w:r>
        <w:rPr>
          <w:rFonts w:ascii="Arial" w:cs="Arial" w:eastAsia="Arial" w:hAnsi="Arial"/>
          <w:sz w:val="16"/>
          <w:szCs w:val="16"/>
          <w:color w:val="0070C0"/>
        </w:rPr>
        <w:t>Increased</w:t>
      </w:r>
    </w:p>
    <w:p>
      <w:pPr>
        <w:spacing w:after="0" w:line="21" w:lineRule="exact"/>
        <w:rPr>
          <w:sz w:val="20"/>
          <w:szCs w:val="20"/>
          <w:color w:val="auto"/>
        </w:rPr>
      </w:pPr>
    </w:p>
    <w:p>
      <w:pPr>
        <w:jc w:val="center"/>
        <w:ind w:left="55"/>
        <w:spacing w:after="0"/>
        <w:rPr>
          <w:sz w:val="20"/>
          <w:szCs w:val="20"/>
          <w:color w:val="auto"/>
        </w:rPr>
      </w:pPr>
      <w:r>
        <w:rPr>
          <w:rFonts w:ascii="Arial" w:cs="Arial" w:eastAsia="Arial" w:hAnsi="Arial"/>
          <w:sz w:val="16"/>
          <w:szCs w:val="16"/>
          <w:color w:val="0070C0"/>
        </w:rPr>
        <w:t>$835.7 million or 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3089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58" w:lineRule="exact"/>
        <w:rPr>
          <w:sz w:val="20"/>
          <w:szCs w:val="20"/>
          <w:color w:val="auto"/>
        </w:rPr>
      </w:pPr>
    </w:p>
    <w:p>
      <w:pPr>
        <w:ind w:left="120" w:hanging="112"/>
        <w:spacing w:after="0"/>
        <w:tabs>
          <w:tab w:leader="none" w:pos="120" w:val="left"/>
        </w:tabs>
        <w:numPr>
          <w:ilvl w:val="0"/>
          <w:numId w:val="21"/>
        </w:numPr>
        <w:rPr>
          <w:rFonts w:ascii="Arial" w:cs="Arial" w:eastAsia="Arial" w:hAnsi="Arial"/>
          <w:sz w:val="16"/>
          <w:szCs w:val="16"/>
          <w:color w:val="0070C0"/>
        </w:rPr>
      </w:pPr>
      <w:r>
        <w:rPr>
          <w:rFonts w:ascii="Arial" w:cs="Arial" w:eastAsia="Arial" w:hAnsi="Arial"/>
          <w:sz w:val="16"/>
          <w:szCs w:val="16"/>
          <w:color w:val="0070C0"/>
        </w:rPr>
        <w:t>Cost of sales increased $74.0 million, or 11.0%</w:t>
      </w:r>
    </w:p>
    <w:p>
      <w:pPr>
        <w:spacing w:after="0" w:line="30" w:lineRule="exact"/>
        <w:rPr>
          <w:rFonts w:ascii="Arial" w:cs="Arial" w:eastAsia="Arial" w:hAnsi="Arial"/>
          <w:sz w:val="16"/>
          <w:szCs w:val="16"/>
          <w:color w:val="0070C0"/>
        </w:rPr>
      </w:pPr>
    </w:p>
    <w:p>
      <w:pPr>
        <w:ind w:left="120" w:hanging="112"/>
        <w:spacing w:after="0"/>
        <w:tabs>
          <w:tab w:leader="none" w:pos="120" w:val="left"/>
        </w:tabs>
        <w:numPr>
          <w:ilvl w:val="0"/>
          <w:numId w:val="21"/>
        </w:numPr>
        <w:rPr>
          <w:rFonts w:ascii="Arial" w:cs="Arial" w:eastAsia="Arial" w:hAnsi="Arial"/>
          <w:sz w:val="16"/>
          <w:szCs w:val="16"/>
          <w:color w:val="0070C0"/>
        </w:rPr>
      </w:pPr>
      <w:r>
        <w:rPr>
          <w:rFonts w:ascii="Arial" w:cs="Arial" w:eastAsia="Arial" w:hAnsi="Arial"/>
          <w:sz w:val="16"/>
          <w:szCs w:val="16"/>
          <w:color w:val="0070C0"/>
        </w:rPr>
        <w:t>R&amp;D expense increased $137.9 million, or 31.6%</w:t>
      </w:r>
    </w:p>
    <w:p>
      <w:pPr>
        <w:spacing w:after="0" w:line="8" w:lineRule="exact"/>
        <w:rPr>
          <w:rFonts w:ascii="Arial" w:cs="Arial" w:eastAsia="Arial" w:hAnsi="Arial"/>
          <w:sz w:val="16"/>
          <w:szCs w:val="16"/>
          <w:color w:val="0070C0"/>
        </w:rPr>
      </w:pPr>
    </w:p>
    <w:p>
      <w:pPr>
        <w:ind w:left="120" w:hanging="112"/>
        <w:spacing w:after="0"/>
        <w:tabs>
          <w:tab w:leader="none" w:pos="120" w:val="left"/>
        </w:tabs>
        <w:numPr>
          <w:ilvl w:val="0"/>
          <w:numId w:val="21"/>
        </w:numPr>
        <w:rPr>
          <w:rFonts w:ascii="Arial" w:cs="Arial" w:eastAsia="Arial" w:hAnsi="Arial"/>
          <w:sz w:val="16"/>
          <w:szCs w:val="16"/>
          <w:color w:val="0070C0"/>
        </w:rPr>
      </w:pPr>
      <w:r>
        <w:rPr>
          <w:rFonts w:ascii="Arial" w:cs="Arial" w:eastAsia="Arial" w:hAnsi="Arial"/>
          <w:sz w:val="16"/>
          <w:szCs w:val="16"/>
          <w:color w:val="0070C0"/>
        </w:rPr>
        <w:t>SG&amp;A expense increased $157.2 million, or 26.4%</w:t>
      </w:r>
    </w:p>
    <w:p>
      <w:pPr>
        <w:spacing w:after="0" w:line="14" w:lineRule="exact"/>
        <w:rPr>
          <w:rFonts w:ascii="Arial" w:cs="Arial" w:eastAsia="Arial" w:hAnsi="Arial"/>
          <w:sz w:val="16"/>
          <w:szCs w:val="16"/>
          <w:color w:val="0070C0"/>
        </w:rPr>
      </w:pPr>
    </w:p>
    <w:p>
      <w:pPr>
        <w:ind w:left="180" w:right="285" w:hanging="172"/>
        <w:spacing w:after="0" w:line="270" w:lineRule="auto"/>
        <w:tabs>
          <w:tab w:leader="none" w:pos="129" w:val="left"/>
        </w:tabs>
        <w:numPr>
          <w:ilvl w:val="0"/>
          <w:numId w:val="21"/>
        </w:numPr>
        <w:rPr>
          <w:rFonts w:ascii="Arial" w:cs="Arial" w:eastAsia="Arial" w:hAnsi="Arial"/>
          <w:sz w:val="16"/>
          <w:szCs w:val="16"/>
          <w:color w:val="0070C0"/>
        </w:rPr>
      </w:pPr>
      <w:r>
        <w:rPr>
          <w:rFonts w:ascii="Arial" w:cs="Arial" w:eastAsia="Arial" w:hAnsi="Arial"/>
          <w:sz w:val="16"/>
          <w:szCs w:val="16"/>
          <w:color w:val="0070C0"/>
        </w:rPr>
        <w:t>Acquired IPR&amp;D, upfront and milestone expense increased $281.7 million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55" w:hanging="155"/>
        <w:spacing w:after="0" w:line="251" w:lineRule="auto"/>
        <w:tabs>
          <w:tab w:leader="none" w:pos="113" w:val="left"/>
        </w:tabs>
        <w:numPr>
          <w:ilvl w:val="0"/>
          <w:numId w:val="22"/>
        </w:numPr>
        <w:rPr>
          <w:rFonts w:ascii="Arial" w:cs="Arial" w:eastAsia="Arial" w:hAnsi="Arial"/>
          <w:sz w:val="15"/>
          <w:szCs w:val="15"/>
          <w:color w:val="0070C0"/>
        </w:rPr>
      </w:pPr>
      <w:r>
        <w:rPr>
          <w:rFonts w:ascii="Arial" w:cs="Arial" w:eastAsia="Arial" w:hAnsi="Arial"/>
          <w:sz w:val="15"/>
          <w:szCs w:val="15"/>
          <w:color w:val="auto"/>
        </w:rPr>
        <w:t>The increase in cost of sales was primarily due to higher amortization costs associated with the acquired inventory fair value step-up adjustment, which increased by $135.7 million, primarily driven by the Apellis acquisition, as well as higher product revenues. The increase was partially offset by a charge recorded during the third quarter of 2025 of approximately $104.3 million related to a litigation matter.</w:t>
      </w:r>
    </w:p>
    <w:p>
      <w:pPr>
        <w:spacing w:after="0" w:line="11" w:lineRule="exact"/>
        <w:rPr>
          <w:rFonts w:ascii="Arial" w:cs="Arial" w:eastAsia="Arial" w:hAnsi="Arial"/>
          <w:sz w:val="15"/>
          <w:szCs w:val="15"/>
          <w:color w:val="0070C0"/>
        </w:rPr>
      </w:pPr>
    </w:p>
    <w:p>
      <w:pPr>
        <w:jc w:val="both"/>
        <w:ind w:left="155" w:right="20" w:hanging="155"/>
        <w:spacing w:after="0" w:line="262" w:lineRule="auto"/>
        <w:tabs>
          <w:tab w:leader="none" w:pos="113" w:val="left"/>
        </w:tabs>
        <w:numPr>
          <w:ilvl w:val="0"/>
          <w:numId w:val="22"/>
        </w:numPr>
        <w:rPr>
          <w:rFonts w:ascii="Arial" w:cs="Arial" w:eastAsia="Arial" w:hAnsi="Arial"/>
          <w:sz w:val="15"/>
          <w:szCs w:val="15"/>
          <w:color w:val="0070C0"/>
        </w:rPr>
      </w:pPr>
      <w:r>
        <w:rPr>
          <w:rFonts w:ascii="Arial" w:cs="Arial" w:eastAsia="Arial" w:hAnsi="Arial"/>
          <w:sz w:val="15"/>
          <w:szCs w:val="15"/>
          <w:color w:val="auto"/>
        </w:rPr>
        <w:t>The increase in R&amp;D expense was primarily due to higher spend on clinical trials, including felzartamab, salanersen and litifilimab as well as additional expenses resulting from our acquisition of Apellis.</w:t>
      </w:r>
    </w:p>
    <w:p>
      <w:pPr>
        <w:spacing w:after="0" w:line="2" w:lineRule="exact"/>
        <w:rPr>
          <w:rFonts w:ascii="Arial" w:cs="Arial" w:eastAsia="Arial" w:hAnsi="Arial"/>
          <w:sz w:val="15"/>
          <w:szCs w:val="15"/>
          <w:color w:val="0070C0"/>
        </w:rPr>
      </w:pPr>
    </w:p>
    <w:p>
      <w:pPr>
        <w:ind w:left="155" w:right="240" w:hanging="155"/>
        <w:spacing w:after="0" w:line="251" w:lineRule="auto"/>
        <w:tabs>
          <w:tab w:leader="none" w:pos="113" w:val="left"/>
        </w:tabs>
        <w:numPr>
          <w:ilvl w:val="0"/>
          <w:numId w:val="22"/>
        </w:numPr>
        <w:rPr>
          <w:rFonts w:ascii="Arial" w:cs="Arial" w:eastAsia="Arial" w:hAnsi="Arial"/>
          <w:sz w:val="15"/>
          <w:szCs w:val="15"/>
          <w:color w:val="0070C0"/>
        </w:rPr>
      </w:pPr>
      <w:r>
        <w:rPr>
          <w:rFonts w:ascii="Arial" w:cs="Arial" w:eastAsia="Arial" w:hAnsi="Arial"/>
          <w:sz w:val="15"/>
          <w:szCs w:val="15"/>
          <w:color w:val="auto"/>
        </w:rPr>
        <w:t>The increase in SG&amp;A expense was primarily due to the inclusion of the commercial and management operations of Apellis subsequent to our acquisition of the company and an increase in operational spending on sales and marketing activities in support of our U.S. and international product launches.</w:t>
      </w:r>
    </w:p>
    <w:p>
      <w:pPr>
        <w:ind w:left="155" w:right="120" w:hanging="155"/>
        <w:spacing w:after="0" w:line="265" w:lineRule="auto"/>
        <w:tabs>
          <w:tab w:leader="none" w:pos="113" w:val="left"/>
        </w:tabs>
        <w:numPr>
          <w:ilvl w:val="0"/>
          <w:numId w:val="22"/>
        </w:numPr>
        <w:rPr>
          <w:rFonts w:ascii="Arial" w:cs="Arial" w:eastAsia="Arial" w:hAnsi="Arial"/>
          <w:sz w:val="15"/>
          <w:szCs w:val="15"/>
          <w:color w:val="0070C0"/>
        </w:rPr>
      </w:pPr>
      <w:r>
        <w:rPr>
          <w:rFonts w:ascii="Arial" w:cs="Arial" w:eastAsia="Arial" w:hAnsi="Arial"/>
          <w:sz w:val="15"/>
          <w:szCs w:val="15"/>
          <w:color w:val="auto"/>
        </w:rPr>
        <w:t>The increase in acquired IPR&amp;D, upfront and milestone expense was due to $283.8 million in upfront and milestone charges recorded in the third quarter of 2026, primarily driven by our RayThera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129540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5185" w:space="720"/>
            <w:col w:w="5215"/>
          </w:cols>
          <w:pgMar w:left="320" w:top="130"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color w:val="0070C0"/>
        </w:rPr>
        <w:t>FINANCIAL CONDITION,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8" w:lineRule="exact"/>
        <w:rPr>
          <w:sz w:val="20"/>
          <w:szCs w:val="20"/>
          <w:color w:val="auto"/>
        </w:rPr>
      </w:pPr>
    </w:p>
    <w:p>
      <w:pPr>
        <w:spacing w:after="0"/>
        <w:tabs>
          <w:tab w:leader="none" w:pos="5880" w:val="left"/>
        </w:tabs>
        <w:rPr>
          <w:sz w:val="20"/>
          <w:szCs w:val="20"/>
          <w:color w:val="auto"/>
        </w:rPr>
      </w:pPr>
      <w:r>
        <w:rPr>
          <w:rFonts w:ascii="Arial" w:cs="Arial" w:eastAsia="Arial" w:hAnsi="Arial"/>
          <w:sz w:val="15"/>
          <w:szCs w:val="15"/>
          <w:color w:val="0070C0"/>
        </w:rPr>
        <w:t xml:space="preserve">• </w:t>
      </w:r>
      <w:r>
        <w:rPr>
          <w:rFonts w:ascii="Arial" w:cs="Arial" w:eastAsia="Arial" w:hAnsi="Arial"/>
          <w:sz w:val="15"/>
          <w:szCs w:val="15"/>
          <w:color w:val="000000"/>
        </w:rPr>
        <w:t>Cash, cash equivalents and marketable securities totaled approximately</w:t>
      </w:r>
      <w:r>
        <w:rPr>
          <w:sz w:val="20"/>
          <w:szCs w:val="20"/>
          <w:color w:val="auto"/>
        </w:rPr>
        <w:tab/>
      </w:r>
      <w:r>
        <w:rPr>
          <w:rFonts w:ascii="Arial" w:cs="Arial" w:eastAsia="Arial" w:hAnsi="Arial"/>
          <w:sz w:val="15"/>
          <w:szCs w:val="15"/>
          <w:color w:val="0070C0"/>
        </w:rPr>
        <w:t xml:space="preserve">• </w:t>
      </w:r>
      <w:r>
        <w:rPr>
          <w:rFonts w:ascii="Arial" w:cs="Arial" w:eastAsia="Arial" w:hAnsi="Arial"/>
          <w:sz w:val="15"/>
          <w:szCs w:val="15"/>
          <w:color w:val="000000"/>
        </w:rPr>
        <w:t>We generated approximately $1.7 billion of net cash flow from operations</w:t>
      </w:r>
    </w:p>
    <w:p>
      <w:pPr>
        <w:sectPr>
          <w:pgSz w:w="11900" w:h="16838" w:orient="portrait"/>
          <w:cols w:equalWidth="0" w:num="1">
            <w:col w:w="11120"/>
          </w:cols>
          <w:pgMar w:left="320" w:top="130" w:right="459" w:bottom="1440" w:gutter="0" w:footer="0" w:header="0"/>
          <w:type w:val="continuous"/>
        </w:sectPr>
      </w:pPr>
    </w:p>
    <w:p>
      <w:pPr>
        <w:spacing w:after="0" w:line="28" w:lineRule="exact"/>
        <w:rPr>
          <w:sz w:val="20"/>
          <w:szCs w:val="20"/>
          <w:color w:val="auto"/>
        </w:rPr>
      </w:pPr>
    </w:p>
    <w:p>
      <w:pPr>
        <w:ind w:left="180" w:right="240"/>
        <w:spacing w:after="0" w:line="258" w:lineRule="auto"/>
        <w:rPr>
          <w:sz w:val="20"/>
          <w:szCs w:val="20"/>
          <w:color w:val="auto"/>
        </w:rPr>
      </w:pPr>
      <w:r>
        <w:rPr>
          <w:rFonts w:ascii="Arial" w:cs="Arial" w:eastAsia="Arial" w:hAnsi="Arial"/>
          <w:sz w:val="15"/>
          <w:szCs w:val="15"/>
          <w:color w:val="auto"/>
        </w:rPr>
        <w:t>$1.3 billion as of September 30, 2026, compared to approximately $ 4.2 billion as of December 31, 2025. The decrease was primarily due to total consideration paid of $5.1 billion for our acquisition of Apellis, net of cash acquired, partially offset by net borrowings of $1.4 billion.</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840"/>
        <w:spacing w:after="0" w:line="267" w:lineRule="auto"/>
        <w:rPr>
          <w:sz w:val="20"/>
          <w:szCs w:val="20"/>
          <w:color w:val="auto"/>
        </w:rPr>
      </w:pPr>
      <w:r>
        <w:rPr>
          <w:rFonts w:ascii="Arial" w:cs="Arial" w:eastAsia="Arial" w:hAnsi="Arial"/>
          <w:sz w:val="15"/>
          <w:szCs w:val="15"/>
          <w:color w:val="auto"/>
        </w:rPr>
        <w:t>for the nine months ended September 30, 2026, compared to approximately $1.7 billion in the prior year comparative period.</w:t>
      </w:r>
    </w:p>
    <w:p>
      <w:pPr>
        <w:spacing w:after="0" w:line="557" w:lineRule="exact"/>
        <w:rPr>
          <w:sz w:val="20"/>
          <w:szCs w:val="20"/>
          <w:color w:val="auto"/>
        </w:rPr>
      </w:pPr>
    </w:p>
    <w:p>
      <w:pPr>
        <w:sectPr>
          <w:pgSz w:w="11900" w:h="16838" w:orient="portrait"/>
          <w:cols w:equalWidth="0" w:num="2">
            <w:col w:w="5340" w:space="720"/>
            <w:col w:w="5060"/>
          </w:cols>
          <w:pgMar w:left="320" w:top="130" w:right="459" w:bottom="1440" w:gutter="0" w:footer="0" w:header="0"/>
          <w:type w:val="continuous"/>
        </w:sect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5"/>
          <w:szCs w:val="25"/>
          <w:color w:val="0070C0"/>
        </w:rPr>
        <w:t>RECENT DEVELOPMENTS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70C0"/>
        </w:rPr>
        <w:t>ACQUISITIONS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APELLIS PHARMACEUTICALS, INC.</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14, 2026, we completed the acquisition of all of the issued and outstanding shares of Apellis, a commercial-stage biopharmaceutical company focused on the discovery, development and commercialization of novel therapeutic compounds to treat diseases with high unmet needs. As a result of this acquisition we acquired two FDA-approved products from Apellis: SYFOVRE (pegcetacoplan injection) for the treatment of GA, an immune -mediated retinal disease; and EMPAVELI (pegcetacoplan) for the treatment of PNH, a rare blood disorder, and C3G and primary IC-MPGN, rare immune-mediated kidney diseases. The addition of Apellis is expected to enhance our short- and long-term revenue growth profile by adding two commercialized, differentiated, specialized immunology products to our growth portfolio.</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terms of this acquisition, Apellis shareholders were entitled to $41.00 in cash for each issued and outstanding Apellis share, which totaled approximately $5.3 billion, and one contractual, non-transferable contingent value right per share representing the right to receive contingent cash payments of up to an aggregate of $4.00 per share in cash, subject to the achievement of specified annual global net sales thresholds for SYFOVRE. In addition, the total purchase price included approximately $70.7 million of future consideration attributable to pre-acquisition services.</w:t>
      </w:r>
    </w:p>
    <w:p>
      <w:pPr>
        <w:spacing w:after="0" w:line="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funded this acquisition of Apellis with available cash and marketable securities on hand, supplemented by the issuance of a $2.0 billion term loan under our 2026 Term Loan and a $400.0 million drawdown from our revolving credit facility.</w:t>
      </w:r>
    </w:p>
    <w:p>
      <w:pPr>
        <w:spacing w:after="0" w:line="4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 xml:space="preserve">We accounted for this acquisition as a business combination using the acquisition method of accounting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recorded assets acquired and liabilities assumed at their respective fair values as of the acquisition date.</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 xml:space="preserve">For additional information on our acquisition of Apellis,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condensed consolidated financial statements included in this report.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RAYTHERA INC.</w:t>
      </w:r>
    </w:p>
    <w:p>
      <w:pPr>
        <w:spacing w:after="0" w:line="1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August 6, 2026, we completed the acquisition of all of the issued and outstanding shares of RayThera Inc., a private biotechnology company focused on discovering and developing small molecule therapies in immunology. RayThera's portfolio includes a lead program which entered Phase 1 development during the third quarter of 2026 that could potentially treat immune-mediated conditions across a range of indications.</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made an upfront cash payment of $225.0 million. We may pay additional development and regulatory milestones to the former shareholders of RayThera of up to $275.0 million and $500.0 million, respectively. We accounted for this acquisition as an asset acquisition as substantially all of the value being acquired relates to the lead program.</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This acquisition excluded certain preclinical assets, which were divested from RayThera into a newly formed independent company prior to the closing of this acquisition.</w:t>
      </w:r>
    </w:p>
    <w:p>
      <w:pPr>
        <w:spacing w:after="0" w:line="45"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 xml:space="preserve">For additional information on our acquisition of RayThera,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condensed consolidated financial statements included in this report.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TJ BIOPHARMA (HANGZHOU) CO., LTD.</w:t>
      </w:r>
    </w:p>
    <w:p>
      <w:pPr>
        <w:spacing w:after="0" w:line="10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 April 2026 we entered into an asset purchase agreement with TJ Biopharma (Hangzhou) Co., Ltd. to acquire TJ Bio's exclusive rights to felzartamab in the greater China region. With this agreement, we own exclusive worldwide rights to felzartamab.</w:t>
      </w:r>
    </w:p>
    <w:p>
      <w:pPr>
        <w:spacing w:after="0" w:line="4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Under the terms of this agreement we made an upfront payment of $100.0 million to TJ Bio, which was recorded in acquired in-process research and development, upfront and milestone expense within our condensed consolidated statements of income for the nine months ended September 30, 2026.</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TJ Bio will also be eligible to receive potential commercial and sales milestone payments of up to $20.0 million and $730.0 million, respectively, if all specified milestones set forth in this collaboration are achieved. In addition, we may pay TJ Bio tiered royalties on potential net sales of felzartamab in the greater China region in the mid-single digit to low-double digit percentages.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Additionally, we assumed regulatory and sales milestone obligations under a pre-existing agreement between TJ Bio and MorphoSys and may pay MorphoSys tiered royalties on potential net sales of felzartamab in the greater China region.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COLLABORATIVE AND OTHER RELATIONSHIPS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ALTEOGEN INC.</w:t>
      </w:r>
    </w:p>
    <w:p>
      <w:pPr>
        <w:spacing w:after="0" w:line="10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March 2026 we entered into an exclusive license agreement with Alteogen Inc. to enable the development of a subcutaneous formulation of two biologics using Alteogen's ALT-B4 hyaluronidase technology.</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connection with the closing of this transaction we accrued an upfront payment of $20.0 million to Alteogen, which was recognized in acquired in-process research and development, upfront and milestone expense within our condensed consolidated statements of income for the nine months ended September 30, 2026, and was paid during the second quarter of 2026.</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Alteogen will also be eligible to receive a $10.0 million option payment if a second program is selected for development, as well as potential development, regulatory and commercial milestone payments and tiered royalties in the mid-single digit percentages on net sales of any combination products resulting from the collaboration.</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ALLOY THERAPEUTICS, INC.</w:t>
      </w:r>
    </w:p>
    <w:p>
      <w:pPr>
        <w:spacing w:after="0" w:line="1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March 2026 we entered into a collaboration and license agreement with Alloy Therapeutics Inc. for the use of Alloy’s novel and proprietary AntiClastic ASO Platform. Through this collaboration, we plan to apply the platform to advance antisense therapeutics against multiple targets.</w:t>
      </w:r>
    </w:p>
    <w:p>
      <w:pPr>
        <w:spacing w:after="0" w:line="63"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In connection with the closing of this transaction we accrued an upfront payment of $12.0 million to Alloy, which was recognized in acquired in-process research and development, upfront and milestone expense within our condensed consolidated statements of income for the nine months ended September 30, 2026, and was paid during the second quarter of 2026.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Alloy will also be eligible to receive potential milestone payments and tiered royalties on any products resulting from the collaboration.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70C0"/>
        </w:rPr>
        <w:t>DEVELOPMENTS IN KEY COLLABORATIVE RELATIONSHIPS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LEQEMBI (lecanemab)</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United States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LEQEMBI in the U.S. during 2026 consisted of the following:</w:t>
      </w:r>
    </w:p>
    <w:p>
      <w:pPr>
        <w:spacing w:after="0" w:line="104" w:lineRule="exact"/>
        <w:rPr>
          <w:sz w:val="20"/>
          <w:szCs w:val="20"/>
          <w:color w:val="auto"/>
        </w:rPr>
      </w:pPr>
    </w:p>
    <w:p>
      <w:pPr>
        <w:ind w:left="340" w:right="180" w:hanging="332"/>
        <w:spacing w:after="0" w:line="287" w:lineRule="auto"/>
        <w:tabs>
          <w:tab w:leader="none" w:pos="295" w:val="left"/>
        </w:tabs>
        <w:numPr>
          <w:ilvl w:val="0"/>
          <w:numId w:val="23"/>
        </w:numPr>
        <w:rPr>
          <w:rFonts w:ascii="Arial" w:cs="Arial" w:eastAsia="Arial" w:hAnsi="Arial"/>
          <w:sz w:val="18"/>
          <w:szCs w:val="18"/>
          <w:color w:val="0070C0"/>
        </w:rPr>
      </w:pPr>
      <w:r>
        <w:rPr>
          <w:rFonts w:ascii="Arial" w:cs="Arial" w:eastAsia="Arial" w:hAnsi="Arial"/>
          <w:sz w:val="18"/>
          <w:szCs w:val="18"/>
          <w:color w:val="auto"/>
        </w:rPr>
        <w:t>In July 2026 the FDA approved the supplemental BLA for LEQEMBI subcutaneous autoinjector, LEQEMBI IQLIK, for a weekly initiation dose, which became commercially available in the U.S. in August 2026.</w:t>
      </w:r>
    </w:p>
    <w:p>
      <w:pPr>
        <w:spacing w:after="0" w:line="17" w:lineRule="exact"/>
        <w:rPr>
          <w:rFonts w:ascii="Arial" w:cs="Arial" w:eastAsia="Arial" w:hAnsi="Arial"/>
          <w:sz w:val="18"/>
          <w:szCs w:val="18"/>
          <w:color w:val="0070C0"/>
        </w:rPr>
      </w:pPr>
    </w:p>
    <w:p>
      <w:pPr>
        <w:ind w:left="340" w:right="220" w:hanging="332"/>
        <w:spacing w:after="0" w:line="268" w:lineRule="auto"/>
        <w:tabs>
          <w:tab w:leader="none" w:pos="295" w:val="left"/>
        </w:tabs>
        <w:numPr>
          <w:ilvl w:val="0"/>
          <w:numId w:val="23"/>
        </w:numPr>
        <w:rPr>
          <w:rFonts w:ascii="Arial" w:cs="Arial" w:eastAsia="Arial" w:hAnsi="Arial"/>
          <w:sz w:val="18"/>
          <w:szCs w:val="18"/>
          <w:color w:val="0070C0"/>
        </w:rPr>
      </w:pPr>
      <w:r>
        <w:rPr>
          <w:rFonts w:ascii="Arial" w:cs="Arial" w:eastAsia="Arial" w:hAnsi="Arial"/>
          <w:sz w:val="18"/>
          <w:szCs w:val="18"/>
          <w:color w:val="auto"/>
        </w:rPr>
        <w:t>In March 2026 we and our collaboration partner Eisai announced new real-world findings from an analysis of long-term treatment persistence and baseline characteristics among people receiving IV lecanemab. The findings showed that most patients continue with ongoing maintenance therapy after the initial 18 months of treatment.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Rest of World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LEQEMBI (lecanemab) in rest of world markets during 2026 consisted of the following:</w:t>
      </w:r>
    </w:p>
    <w:p>
      <w:pPr>
        <w:spacing w:after="0" w:line="104"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color w:val="0070C0"/>
        </w:rPr>
      </w:pPr>
      <w:r>
        <w:rPr>
          <w:rFonts w:ascii="Arial" w:cs="Arial" w:eastAsia="Arial" w:hAnsi="Arial"/>
          <w:sz w:val="18"/>
          <w:szCs w:val="18"/>
          <w:color w:val="auto"/>
        </w:rPr>
        <w:t>In September 2026 Japan approved the NDA for LEQEMBI subcutaneous autoinjector as a new route of administration.</w:t>
      </w:r>
    </w:p>
    <w:p>
      <w:pPr>
        <w:spacing w:after="0" w:line="103" w:lineRule="exact"/>
        <w:rPr>
          <w:rFonts w:ascii="Arial" w:cs="Arial" w:eastAsia="Arial" w:hAnsi="Arial"/>
          <w:sz w:val="18"/>
          <w:szCs w:val="18"/>
          <w:color w:val="0070C0"/>
        </w:rPr>
      </w:pPr>
    </w:p>
    <w:p>
      <w:pPr>
        <w:ind w:left="340" w:right="20" w:hanging="332"/>
        <w:spacing w:after="0" w:line="287" w:lineRule="auto"/>
        <w:tabs>
          <w:tab w:leader="none" w:pos="295" w:val="left"/>
        </w:tabs>
        <w:numPr>
          <w:ilvl w:val="0"/>
          <w:numId w:val="24"/>
        </w:numPr>
        <w:rPr>
          <w:rFonts w:ascii="Arial" w:cs="Arial" w:eastAsia="Arial" w:hAnsi="Arial"/>
          <w:sz w:val="18"/>
          <w:szCs w:val="18"/>
          <w:color w:val="0070C0"/>
        </w:rPr>
      </w:pPr>
      <w:r>
        <w:rPr>
          <w:rFonts w:ascii="Arial" w:cs="Arial" w:eastAsia="Arial" w:hAnsi="Arial"/>
          <w:sz w:val="18"/>
          <w:szCs w:val="18"/>
          <w:color w:val="auto"/>
        </w:rPr>
        <w:t>In September 2026 China approved the BLA for LEQEMBI subcutaneous autoinjector for a weekly initiation dose. We expect commercial launch to occur during the first quarter of 2027.</w:t>
      </w:r>
    </w:p>
    <w:p>
      <w:pPr>
        <w:spacing w:after="0" w:line="17" w:lineRule="exact"/>
        <w:rPr>
          <w:rFonts w:ascii="Arial" w:cs="Arial" w:eastAsia="Arial" w:hAnsi="Arial"/>
          <w:sz w:val="18"/>
          <w:szCs w:val="18"/>
          <w:color w:val="0070C0"/>
        </w:rPr>
      </w:pPr>
    </w:p>
    <w:p>
      <w:pPr>
        <w:ind w:left="340" w:right="360" w:hanging="332"/>
        <w:spacing w:after="0" w:line="268" w:lineRule="auto"/>
        <w:tabs>
          <w:tab w:leader="none" w:pos="295" w:val="left"/>
        </w:tabs>
        <w:numPr>
          <w:ilvl w:val="0"/>
          <w:numId w:val="24"/>
        </w:numPr>
        <w:rPr>
          <w:rFonts w:ascii="Arial" w:cs="Arial" w:eastAsia="Arial" w:hAnsi="Arial"/>
          <w:sz w:val="18"/>
          <w:szCs w:val="18"/>
          <w:color w:val="0070C0"/>
        </w:rPr>
      </w:pPr>
      <w:r>
        <w:rPr>
          <w:rFonts w:ascii="Arial" w:cs="Arial" w:eastAsia="Arial" w:hAnsi="Arial"/>
          <w:sz w:val="18"/>
          <w:szCs w:val="18"/>
          <w:color w:val="auto"/>
        </w:rPr>
        <w:t>In August 2026 we and Eisai announced that Canada’s Drug Agency has issued a final recommendation supporting public reimbursement of LEQEMBI for eligible patients in Canada living with mild cognitive impairment or mild dementia due to Alzheimer’s disease.</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OTHER KEY DEVELOPMENTS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ZOREVUNERSEN (BIIB151)</w:t>
      </w:r>
    </w:p>
    <w:p>
      <w:pPr>
        <w:spacing w:after="0" w:line="106" w:lineRule="exact"/>
        <w:rPr>
          <w:sz w:val="20"/>
          <w:szCs w:val="20"/>
          <w:color w:val="auto"/>
        </w:rPr>
      </w:pPr>
    </w:p>
    <w:p>
      <w:pPr>
        <w:ind w:left="340" w:right="140" w:hanging="332"/>
        <w:spacing w:after="0" w:line="262" w:lineRule="auto"/>
        <w:tabs>
          <w:tab w:leader="none" w:pos="295" w:val="left"/>
        </w:tabs>
        <w:numPr>
          <w:ilvl w:val="0"/>
          <w:numId w:val="25"/>
        </w:numPr>
        <w:rPr>
          <w:rFonts w:ascii="Arial" w:cs="Arial" w:eastAsia="Arial" w:hAnsi="Arial"/>
          <w:sz w:val="18"/>
          <w:szCs w:val="18"/>
          <w:color w:val="0F6EC8"/>
        </w:rPr>
      </w:pPr>
      <w:r>
        <w:rPr>
          <w:rFonts w:ascii="Arial" w:cs="Arial" w:eastAsia="Arial" w:hAnsi="Arial"/>
          <w:sz w:val="18"/>
          <w:szCs w:val="18"/>
          <w:color w:val="auto"/>
        </w:rPr>
        <w:t>In September 2026 we presented data on clinical experience with zorevunersen in patients with Dravet syndrome, including two Phase 1/2a and ongoing open-label extension studies. The data showed substantial and durable reductions in seizures and continuing improvements in cognition and behavior. A new exploratory sub-analysis also showed substantial reductions in the most severe seizure types, which are the leading risk factor for sudden unexpected death in epilepsy.</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BIIB091</w:t>
      </w:r>
    </w:p>
    <w:p>
      <w:pPr>
        <w:spacing w:after="0" w:line="119" w:lineRule="exact"/>
        <w:rPr>
          <w:sz w:val="20"/>
          <w:szCs w:val="20"/>
          <w:color w:val="auto"/>
        </w:rPr>
      </w:pPr>
    </w:p>
    <w:p>
      <w:pPr>
        <w:ind w:left="340" w:right="100" w:hanging="332"/>
        <w:spacing w:after="0" w:line="287" w:lineRule="auto"/>
        <w:tabs>
          <w:tab w:leader="none" w:pos="295" w:val="left"/>
        </w:tabs>
        <w:numPr>
          <w:ilvl w:val="0"/>
          <w:numId w:val="26"/>
        </w:numPr>
        <w:rPr>
          <w:rFonts w:ascii="Arial" w:cs="Arial" w:eastAsia="Arial" w:hAnsi="Arial"/>
          <w:sz w:val="18"/>
          <w:szCs w:val="18"/>
          <w:color w:val="0F6EC8"/>
        </w:rPr>
      </w:pPr>
      <w:r>
        <w:rPr>
          <w:rFonts w:ascii="Arial" w:cs="Arial" w:eastAsia="Arial" w:hAnsi="Arial"/>
          <w:sz w:val="18"/>
          <w:szCs w:val="18"/>
          <w:color w:val="auto"/>
        </w:rPr>
        <w:t>In July 2026 we announced that the Phase 2 data in relapsing-remitting multiple sclerosis has achieved proof-of-concept and that we will be exploring next steps for the asset.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ZURZUVAE (zuranolone)</w:t>
      </w:r>
    </w:p>
    <w:p>
      <w:pPr>
        <w:spacing w:after="0" w:line="106" w:lineRule="exact"/>
        <w:rPr>
          <w:sz w:val="20"/>
          <w:szCs w:val="20"/>
          <w:color w:val="auto"/>
        </w:rPr>
      </w:pPr>
    </w:p>
    <w:p>
      <w:pPr>
        <w:ind w:left="340" w:right="180" w:hanging="332"/>
        <w:spacing w:after="0" w:line="287" w:lineRule="auto"/>
        <w:tabs>
          <w:tab w:leader="none" w:pos="295" w:val="left"/>
        </w:tabs>
        <w:numPr>
          <w:ilvl w:val="0"/>
          <w:numId w:val="27"/>
        </w:numPr>
        <w:rPr>
          <w:rFonts w:ascii="Arial" w:cs="Arial" w:eastAsia="Arial" w:hAnsi="Arial"/>
          <w:sz w:val="18"/>
          <w:szCs w:val="18"/>
          <w:color w:val="0F6EC8"/>
        </w:rPr>
      </w:pPr>
      <w:r>
        <w:rPr>
          <w:rFonts w:ascii="Arial" w:cs="Arial" w:eastAsia="Arial" w:hAnsi="Arial"/>
          <w:sz w:val="18"/>
          <w:szCs w:val="18"/>
          <w:color w:val="auto"/>
        </w:rPr>
        <w:t>In September 2025 the EC approved ZURZUVAE in the E.U. for the treatment of PPD in adults following childbirth, offering the first and only treatment indicated for PPD in the E.U. In July 2026 ZURZUVAE launched in Germany.</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DIRANERSEN (BIIB080)</w:t>
      </w:r>
    </w:p>
    <w:p>
      <w:pPr>
        <w:spacing w:after="0" w:line="106" w:lineRule="exact"/>
        <w:rPr>
          <w:sz w:val="20"/>
          <w:szCs w:val="20"/>
          <w:color w:val="auto"/>
        </w:rPr>
      </w:pPr>
    </w:p>
    <w:p>
      <w:pPr>
        <w:ind w:left="340" w:hanging="332"/>
        <w:spacing w:after="0" w:line="256" w:lineRule="auto"/>
        <w:tabs>
          <w:tab w:leader="none" w:pos="295" w:val="left"/>
        </w:tabs>
        <w:numPr>
          <w:ilvl w:val="0"/>
          <w:numId w:val="28"/>
        </w:numPr>
        <w:rPr>
          <w:rFonts w:ascii="Arial" w:cs="Arial" w:eastAsia="Arial" w:hAnsi="Arial"/>
          <w:sz w:val="18"/>
          <w:szCs w:val="18"/>
          <w:color w:val="0F6EC8"/>
        </w:rPr>
      </w:pPr>
      <w:r>
        <w:rPr>
          <w:rFonts w:ascii="Arial" w:cs="Arial" w:eastAsia="Arial" w:hAnsi="Arial"/>
          <w:sz w:val="18"/>
          <w:szCs w:val="18"/>
          <w:color w:val="auto"/>
        </w:rPr>
        <w:t>In May 2026 we announced topline results from the Phase 2 CELIA study evaluating diranersen, an investigational ASO therapy targeting tau, in individuals with early Alzheimer's disease. CELIA did not meet its primary endpoint assessing dose response. In July 2026 we announced data from the Phase 2 CELIA study. The data, presented at the Alzheimer’s Association International Conference 2026, expand upon previously reported topline results and demonstrate a combination of meaningful clinical efficacy and robust biomarker effects, providing Phase 2 proof of concept for diranersen’s tau-directed mechanism of action. Based on the growing and consistent body of evidence from the Phase 1b and Phase 2 studies and upon what we believe to be a combination of reduction in tau pathology and clinical benefit, including cognition, we plan to advance diranersen into confirmatory Phase 3 development.</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LITIFILIMAB</w:t>
      </w:r>
    </w:p>
    <w:p>
      <w:pPr>
        <w:spacing w:after="0" w:line="106" w:lineRule="exact"/>
        <w:rPr>
          <w:sz w:val="20"/>
          <w:szCs w:val="20"/>
          <w:color w:val="auto"/>
        </w:rPr>
      </w:pPr>
    </w:p>
    <w:p>
      <w:pPr>
        <w:ind w:left="340" w:right="180" w:hanging="332"/>
        <w:spacing w:after="0" w:line="262" w:lineRule="auto"/>
        <w:tabs>
          <w:tab w:leader="none" w:pos="295" w:val="left"/>
        </w:tabs>
        <w:numPr>
          <w:ilvl w:val="0"/>
          <w:numId w:val="29"/>
        </w:numPr>
        <w:rPr>
          <w:rFonts w:ascii="Arial" w:cs="Arial" w:eastAsia="Arial" w:hAnsi="Arial"/>
          <w:sz w:val="18"/>
          <w:szCs w:val="18"/>
          <w:color w:val="0F6EC8"/>
        </w:rPr>
      </w:pPr>
      <w:r>
        <w:rPr>
          <w:rFonts w:ascii="Arial" w:cs="Arial" w:eastAsia="Arial" w:hAnsi="Arial"/>
          <w:sz w:val="18"/>
          <w:szCs w:val="18"/>
          <w:color w:val="auto"/>
        </w:rPr>
        <w:t>In March 2026 we announced positive results from the Phase 2 part of the AMETHYST Phase 2/3 study (Part A) of litifilimab in people living with CLE. The Phase 2 part of the AMETHYST study met its primary endpoint of reduction of disease activity in people living with CLE at Week 16, with more litifilimab participants achieving clear/almost clear skin. If approved, litifilimab could be the first targeted therapy for this disease.</w:t>
      </w:r>
    </w:p>
    <w:p>
      <w:pPr>
        <w:spacing w:after="0" w:line="68" w:lineRule="exact"/>
        <w:rPr>
          <w:rFonts w:ascii="Arial" w:cs="Arial" w:eastAsia="Arial" w:hAnsi="Arial"/>
          <w:sz w:val="18"/>
          <w:szCs w:val="18"/>
          <w:color w:val="0F6EC8"/>
        </w:rPr>
      </w:pPr>
    </w:p>
    <w:p>
      <w:pPr>
        <w:ind w:left="280" w:hanging="272"/>
        <w:spacing w:after="0"/>
        <w:tabs>
          <w:tab w:leader="none" w:pos="280" w:val="left"/>
        </w:tabs>
        <w:numPr>
          <w:ilvl w:val="0"/>
          <w:numId w:val="29"/>
        </w:numPr>
        <w:rPr>
          <w:rFonts w:ascii="Arial" w:cs="Arial" w:eastAsia="Arial" w:hAnsi="Arial"/>
          <w:sz w:val="18"/>
          <w:szCs w:val="18"/>
          <w:color w:val="0F6EC8"/>
        </w:rPr>
      </w:pPr>
      <w:r>
        <w:rPr>
          <w:rFonts w:ascii="Arial" w:cs="Arial" w:eastAsia="Arial" w:hAnsi="Arial"/>
          <w:sz w:val="18"/>
          <w:szCs w:val="18"/>
          <w:color w:val="auto"/>
        </w:rPr>
        <w:t>In January 2026 the FDA granted Breakthrough Therapy designation for litifilimab for the treatment of CLE.</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SALANERSEN (BIIB115)</w:t>
      </w:r>
    </w:p>
    <w:p>
      <w:pPr>
        <w:spacing w:after="0" w:line="106" w:lineRule="exact"/>
        <w:rPr>
          <w:sz w:val="20"/>
          <w:szCs w:val="20"/>
          <w:color w:val="auto"/>
        </w:rPr>
      </w:pPr>
    </w:p>
    <w:p>
      <w:pPr>
        <w:ind w:left="340" w:right="120" w:hanging="332"/>
        <w:spacing w:after="0" w:line="268" w:lineRule="auto"/>
        <w:tabs>
          <w:tab w:leader="none" w:pos="295" w:val="left"/>
        </w:tabs>
        <w:numPr>
          <w:ilvl w:val="0"/>
          <w:numId w:val="30"/>
        </w:numPr>
        <w:rPr>
          <w:rFonts w:ascii="Arial" w:cs="Arial" w:eastAsia="Arial" w:hAnsi="Arial"/>
          <w:sz w:val="18"/>
          <w:szCs w:val="18"/>
          <w:color w:val="0F6EC8"/>
        </w:rPr>
      </w:pPr>
      <w:r>
        <w:rPr>
          <w:rFonts w:ascii="Arial" w:cs="Arial" w:eastAsia="Arial" w:hAnsi="Arial"/>
          <w:sz w:val="18"/>
          <w:szCs w:val="18"/>
          <w:color w:val="auto"/>
        </w:rPr>
        <w:t>In March 2026 we presented additional results from the Phase 1b study of salanersen, an ASO given once a year for the treatment of SMA. The data showed support for the safety and effectiveness of salanersen over one year of treatment in children with SMA who had the potential for improvement due to suboptimal clinical status with prior gene therapy.</w:t>
      </w:r>
    </w:p>
    <w:p>
      <w:pPr>
        <w:spacing w:after="0" w:line="62" w:lineRule="exact"/>
        <w:rPr>
          <w:rFonts w:ascii="Arial" w:cs="Arial" w:eastAsia="Arial" w:hAnsi="Arial"/>
          <w:sz w:val="18"/>
          <w:szCs w:val="18"/>
          <w:color w:val="0F6EC8"/>
        </w:rPr>
      </w:pPr>
    </w:p>
    <w:p>
      <w:pPr>
        <w:ind w:left="280" w:hanging="272"/>
        <w:spacing w:after="0"/>
        <w:tabs>
          <w:tab w:leader="none" w:pos="280" w:val="left"/>
        </w:tabs>
        <w:numPr>
          <w:ilvl w:val="0"/>
          <w:numId w:val="30"/>
        </w:numPr>
        <w:rPr>
          <w:rFonts w:ascii="Arial" w:cs="Arial" w:eastAsia="Arial" w:hAnsi="Arial"/>
          <w:sz w:val="18"/>
          <w:szCs w:val="18"/>
          <w:color w:val="0F6EC8"/>
        </w:rPr>
      </w:pPr>
      <w:r>
        <w:rPr>
          <w:rFonts w:ascii="Arial" w:cs="Arial" w:eastAsia="Arial" w:hAnsi="Arial"/>
          <w:sz w:val="18"/>
          <w:szCs w:val="18"/>
          <w:color w:val="auto"/>
        </w:rPr>
        <w:t>In June 2026 the FDA granted Breakthrough Therapy designation for salanersen for the treatment of SMA.</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SPINRAZA (nusinersen)</w:t>
      </w:r>
    </w:p>
    <w:p>
      <w:pPr>
        <w:spacing w:after="0" w:line="119" w:lineRule="exact"/>
        <w:rPr>
          <w:sz w:val="20"/>
          <w:szCs w:val="20"/>
          <w:color w:val="auto"/>
        </w:rPr>
      </w:pPr>
    </w:p>
    <w:p>
      <w:pPr>
        <w:ind w:left="340" w:right="20" w:hanging="332"/>
        <w:spacing w:after="0" w:line="287" w:lineRule="auto"/>
        <w:tabs>
          <w:tab w:leader="none" w:pos="295" w:val="left"/>
        </w:tabs>
        <w:numPr>
          <w:ilvl w:val="0"/>
          <w:numId w:val="31"/>
        </w:numPr>
        <w:rPr>
          <w:rFonts w:ascii="Arial" w:cs="Arial" w:eastAsia="Arial" w:hAnsi="Arial"/>
          <w:sz w:val="18"/>
          <w:szCs w:val="18"/>
          <w:color w:val="0F6EC8"/>
        </w:rPr>
      </w:pPr>
      <w:r>
        <w:rPr>
          <w:rFonts w:ascii="Arial" w:cs="Arial" w:eastAsia="Arial" w:hAnsi="Arial"/>
          <w:sz w:val="18"/>
          <w:szCs w:val="18"/>
          <w:color w:val="auto"/>
        </w:rPr>
        <w:t>In March 2026 the FDA approved the high-dose regimen of SPINRAZA, which is comprised of 50 mg/5 mL and 28 mg/5 mL doses for the treatment of SMA.</w:t>
      </w:r>
    </w:p>
    <w:p>
      <w:pPr>
        <w:spacing w:after="0" w:line="44" w:lineRule="exact"/>
        <w:rPr>
          <w:rFonts w:ascii="Arial" w:cs="Arial" w:eastAsia="Arial" w:hAnsi="Arial"/>
          <w:sz w:val="18"/>
          <w:szCs w:val="18"/>
          <w:color w:val="0F6EC8"/>
        </w:rPr>
      </w:pPr>
    </w:p>
    <w:p>
      <w:pPr>
        <w:ind w:left="340" w:right="80" w:hanging="332"/>
        <w:spacing w:after="0" w:line="262" w:lineRule="auto"/>
        <w:tabs>
          <w:tab w:leader="none" w:pos="295" w:val="left"/>
        </w:tabs>
        <w:numPr>
          <w:ilvl w:val="0"/>
          <w:numId w:val="31"/>
        </w:numPr>
        <w:rPr>
          <w:rFonts w:ascii="Arial" w:cs="Arial" w:eastAsia="Arial" w:hAnsi="Arial"/>
          <w:sz w:val="18"/>
          <w:szCs w:val="18"/>
          <w:color w:val="0F6EC8"/>
        </w:rPr>
      </w:pPr>
      <w:r>
        <w:rPr>
          <w:rFonts w:ascii="Arial" w:cs="Arial" w:eastAsia="Arial" w:hAnsi="Arial"/>
          <w:sz w:val="18"/>
          <w:szCs w:val="18"/>
          <w:color w:val="auto"/>
        </w:rPr>
        <w:t>In January 2026 the EC granted marketing authorization for a high dose regimen of SPINRAZA in the E.U. for the treatment of 5q SMA, which is the most common form of the disease and represents approximately 95% of all SMA cases. The high-dose regimen is comprised of 50 mg/5 mL and 28 mg/5 mL doses and individuals transitioning from the 12 mg dose will receive one 50 mg dose in place of their next 12 mg dose, followed by 28 mg maintenance doses every four months thereafter.</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DISCONTINUED PROGRAMS AND STUDIES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BIIB122</w:t>
      </w:r>
    </w:p>
    <w:p>
      <w:pPr>
        <w:spacing w:after="0" w:line="106" w:lineRule="exact"/>
        <w:rPr>
          <w:sz w:val="20"/>
          <w:szCs w:val="20"/>
          <w:color w:val="auto"/>
        </w:rPr>
      </w:pPr>
    </w:p>
    <w:p>
      <w:pPr>
        <w:ind w:left="340" w:right="160" w:hanging="332"/>
        <w:spacing w:after="0" w:line="262" w:lineRule="auto"/>
        <w:tabs>
          <w:tab w:leader="none" w:pos="295" w:val="left"/>
        </w:tabs>
        <w:numPr>
          <w:ilvl w:val="0"/>
          <w:numId w:val="32"/>
        </w:numPr>
        <w:rPr>
          <w:rFonts w:ascii="Arial" w:cs="Arial" w:eastAsia="Arial" w:hAnsi="Arial"/>
          <w:sz w:val="18"/>
          <w:szCs w:val="18"/>
          <w:color w:val="0070C0"/>
        </w:rPr>
      </w:pPr>
      <w:r>
        <w:rPr>
          <w:rFonts w:ascii="Arial" w:cs="Arial" w:eastAsia="Arial" w:hAnsi="Arial"/>
          <w:sz w:val="18"/>
          <w:szCs w:val="18"/>
          <w:color w:val="auto"/>
        </w:rPr>
        <w:t>In May 2026 we and our collaboration partner Denali, announced topline results from the Phase 2b LUMA study evaluating BIIB122, an investigational small molecule inhibitor of LRRK2 in individuals with early-stage Parkinson's disease. Results from the study show that BIIB122 did not meet its primary and secondary endpoints. Based on these results we and Denali will discontinue development of BIIB122 in idiopathic Parkinson's disease.</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00587F"/>
        </w:rPr>
        <w:t>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70C0"/>
        </w:rPr>
        <w:t>REVENUE</w:t>
      </w:r>
    </w:p>
    <w:p>
      <w:pPr>
        <w:spacing w:after="0" w:line="10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 xml:space="preserve">The following revenue discussion should be read in conjunction with </w:t>
      </w:r>
      <w:r>
        <w:rPr>
          <w:rFonts w:ascii="Arial" w:cs="Arial" w:eastAsia="Arial" w:hAnsi="Arial"/>
          <w:sz w:val="18"/>
          <w:szCs w:val="18"/>
          <w:i w:val="1"/>
          <w:iCs w:val="1"/>
          <w:color w:val="auto"/>
        </w:rPr>
        <w:t>Note 5, Revenue</w:t>
      </w:r>
      <w:r>
        <w:rPr>
          <w:rFonts w:ascii="Arial" w:cs="Arial" w:eastAsia="Arial" w:hAnsi="Arial"/>
          <w:sz w:val="18"/>
          <w:szCs w:val="18"/>
          <w:color w:val="auto"/>
        </w:rPr>
        <w:t>, to our condensed consolidated financial statements included in this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Revenue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10"/>
          </w:tcPr>
          <w:p>
            <w:pPr>
              <w:jc w:val="center"/>
              <w:ind w:left="408"/>
              <w:spacing w:after="0"/>
              <w:rPr>
                <w:sz w:val="20"/>
                <w:szCs w:val="20"/>
                <w:color w:val="auto"/>
              </w:rPr>
            </w:pPr>
            <w:r>
              <w:rPr>
                <w:rFonts w:ascii="Arial" w:cs="Arial" w:eastAsia="Arial" w:hAnsi="Arial"/>
                <w:sz w:val="14"/>
                <w:szCs w:val="14"/>
                <w:b w:val="1"/>
                <w:bCs w:val="1"/>
                <w:color w:val="auto"/>
              </w:rPr>
              <w:t>For the Three Months Ended September 30,</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97"/>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DDDDDD"/>
          </w:tcPr>
          <w:p>
            <w:pPr>
              <w:spacing w:after="0"/>
              <w:rPr>
                <w:sz w:val="17"/>
                <w:szCs w:val="17"/>
                <w:color w:val="auto"/>
              </w:rPr>
            </w:pPr>
          </w:p>
        </w:tc>
        <w:tc>
          <w:tcPr>
            <w:tcW w:w="1240" w:type="dxa"/>
            <w:vAlign w:val="bottom"/>
            <w:tcBorders>
              <w:bottom w:val="single" w:sz="8" w:color="auto"/>
            </w:tcBorders>
            <w:gridSpan w:val="3"/>
            <w:shd w:val="clear" w:color="auto" w:fill="DDDDDD"/>
          </w:tcPr>
          <w:p>
            <w:pPr>
              <w:jc w:val="right"/>
              <w:ind w:right="220"/>
              <w:spacing w:after="0"/>
              <w:rPr>
                <w:sz w:val="20"/>
                <w:szCs w:val="20"/>
                <w:color w:val="auto"/>
              </w:rPr>
            </w:pPr>
            <w:r>
              <w:rPr>
                <w:rFonts w:ascii="Arial" w:cs="Arial" w:eastAsia="Arial" w:hAnsi="Arial"/>
                <w:sz w:val="14"/>
                <w:szCs w:val="14"/>
                <w:b w:val="1"/>
                <w:bCs w:val="1"/>
                <w:color w:val="257ACB"/>
              </w:rPr>
              <w:t>2026</w:t>
            </w:r>
          </w:p>
        </w:tc>
        <w:tc>
          <w:tcPr>
            <w:tcW w:w="64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0070C0"/>
              </w:rPr>
              <w:t>$</w:t>
            </w:r>
          </w:p>
        </w:tc>
        <w:tc>
          <w:tcPr>
            <w:tcW w:w="74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b w:val="1"/>
                <w:bCs w:val="1"/>
                <w:color w:val="0070C0"/>
              </w:rPr>
              <w:t>Change</w:t>
            </w:r>
          </w:p>
        </w:tc>
        <w:tc>
          <w:tcPr>
            <w:tcW w:w="100" w:type="dxa"/>
            <w:vAlign w:val="bottom"/>
          </w:tcPr>
          <w:p>
            <w:pPr>
              <w:spacing w:after="0"/>
              <w:rPr>
                <w:sz w:val="17"/>
                <w:szCs w:val="17"/>
                <w:color w:val="auto"/>
              </w:rPr>
            </w:pPr>
          </w:p>
        </w:tc>
        <w:tc>
          <w:tcPr>
            <w:tcW w:w="1200" w:type="dxa"/>
            <w:vAlign w:val="bottom"/>
            <w:tcBorders>
              <w:bottom w:val="single" w:sz="8" w:color="auto"/>
            </w:tcBorders>
            <w:gridSpan w:val="2"/>
            <w:shd w:val="clear" w:color="auto" w:fill="DBDBDB"/>
          </w:tcPr>
          <w:p>
            <w:pPr>
              <w:jc w:val="right"/>
              <w:ind w:right="188"/>
              <w:spacing w:after="0"/>
              <w:rPr>
                <w:sz w:val="20"/>
                <w:szCs w:val="20"/>
                <w:color w:val="auto"/>
              </w:rPr>
            </w:pPr>
            <w:r>
              <w:rPr>
                <w:rFonts w:ascii="Arial" w:cs="Arial" w:eastAsia="Arial" w:hAnsi="Arial"/>
                <w:sz w:val="14"/>
                <w:szCs w:val="14"/>
                <w:b w:val="1"/>
                <w:bCs w:val="1"/>
                <w:color w:val="0070C0"/>
              </w:rPr>
              <w:t>% Change</w:t>
            </w:r>
          </w:p>
        </w:tc>
      </w:tr>
      <w:tr>
        <w:trPr>
          <w:trHeight w:val="189"/>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32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r>
      <w:tr>
        <w:trPr>
          <w:trHeight w:val="203"/>
        </w:trPr>
        <w:tc>
          <w:tcPr>
            <w:tcW w:w="3960" w:type="dxa"/>
            <w:vAlign w:val="bottom"/>
            <w:gridSpan w:val="2"/>
          </w:tcPr>
          <w:p>
            <w:pPr>
              <w:ind w:left="140"/>
              <w:spacing w:after="0"/>
              <w:rPr>
                <w:sz w:val="20"/>
                <w:szCs w:val="20"/>
                <w:color w:val="auto"/>
              </w:rPr>
            </w:pPr>
            <w:r>
              <w:rPr>
                <w:rFonts w:ascii="Arial" w:cs="Arial" w:eastAsia="Arial" w:hAnsi="Arial"/>
                <w:sz w:val="14"/>
                <w:szCs w:val="14"/>
                <w:color w:val="auto"/>
              </w:rPr>
              <w:t>United States</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1,265.0</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7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45.1 %</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935.3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36.9 %</w:t>
            </w:r>
          </w:p>
        </w:tc>
        <w:tc>
          <w:tcPr>
            <w:tcW w:w="100" w:type="dxa"/>
            <w:vAlign w:val="bottom"/>
          </w:tcPr>
          <w:p>
            <w:pPr>
              <w:spacing w:after="0"/>
              <w:rPr>
                <w:sz w:val="17"/>
                <w:szCs w:val="17"/>
                <w:color w:val="auto"/>
              </w:rPr>
            </w:pP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070C0"/>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329.7</w:t>
            </w:r>
          </w:p>
        </w:tc>
        <w:tc>
          <w:tcPr>
            <w:tcW w:w="100" w:type="dxa"/>
            <w:vAlign w:val="bottom"/>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35.3</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96"/>
              </w:rPr>
              <w:t>%</w:t>
            </w:r>
          </w:p>
        </w:tc>
      </w:tr>
      <w:tr>
        <w:trPr>
          <w:trHeight w:val="204"/>
        </w:trPr>
        <w:tc>
          <w:tcPr>
            <w:tcW w:w="3960" w:type="dxa"/>
            <w:vAlign w:val="bottom"/>
            <w:gridSpan w:val="2"/>
          </w:tcPr>
          <w:p>
            <w:pPr>
              <w:ind w:left="140"/>
              <w:spacing w:after="0"/>
              <w:rPr>
                <w:sz w:val="20"/>
                <w:szCs w:val="20"/>
                <w:color w:val="auto"/>
              </w:rPr>
            </w:pPr>
            <w:r>
              <w:rPr>
                <w:rFonts w:ascii="Arial" w:cs="Arial" w:eastAsia="Arial" w:hAnsi="Arial"/>
                <w:sz w:val="14"/>
                <w:szCs w:val="14"/>
                <w:color w:val="auto"/>
              </w:rPr>
              <w:t>Rest of world</w:t>
            </w:r>
          </w:p>
        </w:tc>
        <w:tc>
          <w:tcPr>
            <w:tcW w:w="32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823.7</w:t>
            </w:r>
          </w:p>
        </w:tc>
        <w:tc>
          <w:tcPr>
            <w:tcW w:w="10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29.4</w:t>
            </w:r>
          </w:p>
        </w:tc>
        <w:tc>
          <w:tcPr>
            <w:tcW w:w="14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(87.9)</w:t>
            </w:r>
          </w:p>
        </w:tc>
        <w:tc>
          <w:tcPr>
            <w:tcW w:w="100" w:type="dxa"/>
            <w:vAlign w:val="bottom"/>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(9.6)</w:t>
            </w:r>
          </w:p>
        </w:tc>
        <w:tc>
          <w:tcPr>
            <w:tcW w:w="160" w:type="dxa"/>
            <w:vAlign w:val="bottom"/>
            <w:tcBorders>
              <w:bottom w:val="single" w:sz="8" w:color="auto"/>
            </w:tcBorders>
            <w:shd w:val="clear" w:color="auto" w:fill="DBDBDB"/>
          </w:tcPr>
          <w:p>
            <w:pPr>
              <w:spacing w:after="0"/>
              <w:rPr>
                <w:sz w:val="17"/>
                <w:szCs w:val="17"/>
                <w:color w:val="auto"/>
              </w:rPr>
            </w:pPr>
          </w:p>
        </w:tc>
      </w:tr>
      <w:tr>
        <w:trPr>
          <w:trHeight w:val="194"/>
        </w:trPr>
        <w:tc>
          <w:tcPr>
            <w:tcW w:w="3960" w:type="dxa"/>
            <w:vAlign w:val="bottom"/>
            <w:gridSpan w:val="2"/>
          </w:tcPr>
          <w:p>
            <w:pPr>
              <w:ind w:left="360"/>
              <w:spacing w:after="0"/>
              <w:rPr>
                <w:sz w:val="20"/>
                <w:szCs w:val="20"/>
                <w:color w:val="auto"/>
              </w:rPr>
            </w:pPr>
            <w:r>
              <w:rPr>
                <w:rFonts w:ascii="Arial" w:cs="Arial" w:eastAsia="Arial" w:hAnsi="Arial"/>
                <w:sz w:val="14"/>
                <w:szCs w:val="14"/>
                <w:color w:val="auto"/>
              </w:rPr>
              <w:t>Total product revenue, net</w:t>
            </w:r>
          </w:p>
        </w:tc>
        <w:tc>
          <w:tcPr>
            <w:tcW w:w="32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2,088.7</w:t>
            </w:r>
          </w:p>
        </w:tc>
        <w:tc>
          <w:tcPr>
            <w:tcW w:w="1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74.5</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1,846.9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241.8</w:t>
            </w:r>
          </w:p>
        </w:tc>
        <w:tc>
          <w:tcPr>
            <w:tcW w:w="100" w:type="dxa"/>
            <w:vAlign w:val="bottom"/>
          </w:tcPr>
          <w:p>
            <w:pPr>
              <w:spacing w:after="0"/>
              <w:rPr>
                <w:sz w:val="16"/>
                <w:szCs w:val="16"/>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13.1</w:t>
            </w:r>
          </w:p>
        </w:tc>
        <w:tc>
          <w:tcPr>
            <w:tcW w:w="160" w:type="dxa"/>
            <w:vAlign w:val="bottom"/>
            <w:shd w:val="clear" w:color="auto" w:fill="DBDBDB"/>
          </w:tcPr>
          <w:p>
            <w:pPr>
              <w:spacing w:after="0"/>
              <w:rPr>
                <w:sz w:val="16"/>
                <w:szCs w:val="16"/>
                <w:color w:val="auto"/>
              </w:rPr>
            </w:pPr>
          </w:p>
        </w:tc>
      </w:tr>
      <w:tr>
        <w:trPr>
          <w:trHeight w:val="203"/>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32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497.3</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17.8</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493.9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3.4</w:t>
            </w:r>
          </w:p>
        </w:tc>
        <w:tc>
          <w:tcPr>
            <w:tcW w:w="100" w:type="dxa"/>
            <w:vAlign w:val="bottom"/>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0.7</w:t>
            </w:r>
          </w:p>
        </w:tc>
        <w:tc>
          <w:tcPr>
            <w:tcW w:w="160" w:type="dxa"/>
            <w:vAlign w:val="bottom"/>
            <w:shd w:val="clear" w:color="auto" w:fill="DBDBDB"/>
          </w:tcPr>
          <w:p>
            <w:pPr>
              <w:spacing w:after="0"/>
              <w:rPr>
                <w:sz w:val="17"/>
                <w:szCs w:val="17"/>
                <w:color w:val="auto"/>
              </w:rPr>
            </w:pPr>
          </w:p>
        </w:tc>
      </w:tr>
      <w:tr>
        <w:trPr>
          <w:trHeight w:val="203"/>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Alzheimer's collaboration revenue</w:t>
            </w:r>
            <w:r>
              <w:rPr>
                <w:rFonts w:ascii="Arial" w:cs="Arial" w:eastAsia="Arial" w:hAnsi="Arial"/>
                <w:sz w:val="9"/>
                <w:szCs w:val="9"/>
                <w:color w:val="auto"/>
              </w:rPr>
              <w:t>(1)</w:t>
            </w:r>
          </w:p>
        </w:tc>
        <w:tc>
          <w:tcPr>
            <w:tcW w:w="32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68.4</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25.7</w:t>
            </w:r>
          </w:p>
        </w:tc>
        <w:tc>
          <w:tcPr>
            <w:tcW w:w="100" w:type="dxa"/>
            <w:vAlign w:val="bottom"/>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60.2</w:t>
            </w:r>
          </w:p>
        </w:tc>
        <w:tc>
          <w:tcPr>
            <w:tcW w:w="160" w:type="dxa"/>
            <w:vAlign w:val="bottom"/>
            <w:shd w:val="clear" w:color="auto" w:fill="DBDBDB"/>
          </w:tcPr>
          <w:p>
            <w:pPr>
              <w:spacing w:after="0"/>
              <w:rPr>
                <w:sz w:val="17"/>
                <w:szCs w:val="17"/>
                <w:color w:val="auto"/>
              </w:rPr>
            </w:pPr>
          </w:p>
        </w:tc>
      </w:tr>
      <w:tr>
        <w:trPr>
          <w:trHeight w:val="207"/>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royalty and other revenue</w:t>
            </w:r>
          </w:p>
        </w:tc>
        <w:tc>
          <w:tcPr>
            <w:tcW w:w="32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149.7</w:t>
            </w:r>
          </w:p>
        </w:tc>
        <w:tc>
          <w:tcPr>
            <w:tcW w:w="10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5.3</w:t>
            </w:r>
          </w:p>
        </w:tc>
        <w:tc>
          <w:tcPr>
            <w:tcW w:w="14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(1.5)</w:t>
            </w:r>
          </w:p>
        </w:tc>
        <w:tc>
          <w:tcPr>
            <w:tcW w:w="100" w:type="dxa"/>
            <w:vAlign w:val="bottom"/>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(1.0)</w:t>
            </w:r>
          </w:p>
        </w:tc>
        <w:tc>
          <w:tcPr>
            <w:tcW w:w="160" w:type="dxa"/>
            <w:vAlign w:val="bottom"/>
            <w:tcBorders>
              <w:bottom w:val="single" w:sz="8" w:color="auto"/>
            </w:tcBorders>
            <w:shd w:val="clear" w:color="auto" w:fill="DBDBDB"/>
          </w:tcPr>
          <w:p>
            <w:pPr>
              <w:spacing w:after="0"/>
              <w:rPr>
                <w:sz w:val="17"/>
                <w:szCs w:val="17"/>
                <w:color w:val="auto"/>
              </w:rPr>
            </w:pPr>
          </w:p>
        </w:tc>
      </w:tr>
      <w:tr>
        <w:trPr>
          <w:trHeight w:val="220"/>
        </w:trPr>
        <w:tc>
          <w:tcPr>
            <w:tcW w:w="3960" w:type="dxa"/>
            <w:vAlign w:val="bottom"/>
            <w:gridSpan w:val="2"/>
          </w:tcPr>
          <w:p>
            <w:pPr>
              <w:ind w:left="360"/>
              <w:spacing w:after="0"/>
              <w:rPr>
                <w:sz w:val="20"/>
                <w:szCs w:val="20"/>
                <w:color w:val="auto"/>
              </w:rPr>
            </w:pPr>
            <w:r>
              <w:rPr>
                <w:rFonts w:ascii="Arial" w:cs="Arial" w:eastAsia="Arial" w:hAnsi="Arial"/>
                <w:sz w:val="14"/>
                <w:szCs w:val="14"/>
                <w:color w:val="auto"/>
              </w:rPr>
              <w:t>Total revenue</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2,804.1</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9"/>
              </w:rPr>
              <w:t>%</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2,534.7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9"/>
                <w:szCs w:val="19"/>
                <w:color w:val="auto"/>
              </w:rPr>
            </w:pP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070C0"/>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269.4</w:t>
            </w:r>
          </w:p>
        </w:tc>
        <w:tc>
          <w:tcPr>
            <w:tcW w:w="100" w:type="dxa"/>
            <w:vAlign w:val="bottom"/>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10.6</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96"/>
              </w:rPr>
              <w:t>%</w:t>
            </w: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For the Nine Months Ended September 30,</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97"/>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DDDDDD"/>
          </w:tcPr>
          <w:p>
            <w:pPr>
              <w:spacing w:after="0"/>
              <w:rPr>
                <w:sz w:val="17"/>
                <w:szCs w:val="17"/>
                <w:color w:val="auto"/>
              </w:rPr>
            </w:pPr>
          </w:p>
        </w:tc>
        <w:tc>
          <w:tcPr>
            <w:tcW w:w="1240" w:type="dxa"/>
            <w:vAlign w:val="bottom"/>
            <w:tcBorders>
              <w:bottom w:val="single" w:sz="8" w:color="auto"/>
            </w:tcBorders>
            <w:gridSpan w:val="3"/>
            <w:shd w:val="clear" w:color="auto" w:fill="DDDDDD"/>
          </w:tcPr>
          <w:p>
            <w:pPr>
              <w:jc w:val="right"/>
              <w:ind w:right="220"/>
              <w:spacing w:after="0"/>
              <w:rPr>
                <w:sz w:val="20"/>
                <w:szCs w:val="20"/>
                <w:color w:val="auto"/>
              </w:rPr>
            </w:pPr>
            <w:r>
              <w:rPr>
                <w:rFonts w:ascii="Arial" w:cs="Arial" w:eastAsia="Arial" w:hAnsi="Arial"/>
                <w:sz w:val="14"/>
                <w:szCs w:val="14"/>
                <w:b w:val="1"/>
                <w:bCs w:val="1"/>
                <w:color w:val="257ACB"/>
              </w:rPr>
              <w:t>2026</w:t>
            </w:r>
          </w:p>
        </w:tc>
        <w:tc>
          <w:tcPr>
            <w:tcW w:w="64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w w:val="96"/>
              </w:rPr>
              <w:t>2025</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b w:val="1"/>
                <w:bCs w:val="1"/>
                <w:color w:val="0070C0"/>
              </w:rPr>
              <w:t>$ Change</w:t>
            </w:r>
          </w:p>
        </w:tc>
        <w:tc>
          <w:tcPr>
            <w:tcW w:w="100" w:type="dxa"/>
            <w:vAlign w:val="bottom"/>
          </w:tcPr>
          <w:p>
            <w:pPr>
              <w:spacing w:after="0"/>
              <w:rPr>
                <w:sz w:val="17"/>
                <w:szCs w:val="17"/>
                <w:color w:val="auto"/>
              </w:rPr>
            </w:pPr>
          </w:p>
        </w:tc>
        <w:tc>
          <w:tcPr>
            <w:tcW w:w="1200" w:type="dxa"/>
            <w:vAlign w:val="bottom"/>
            <w:tcBorders>
              <w:bottom w:val="single" w:sz="8" w:color="auto"/>
            </w:tcBorders>
            <w:gridSpan w:val="2"/>
            <w:shd w:val="clear" w:color="auto" w:fill="DBDBDB"/>
          </w:tcPr>
          <w:p>
            <w:pPr>
              <w:jc w:val="right"/>
              <w:ind w:right="188"/>
              <w:spacing w:after="0"/>
              <w:rPr>
                <w:sz w:val="20"/>
                <w:szCs w:val="20"/>
                <w:color w:val="auto"/>
              </w:rPr>
            </w:pPr>
            <w:r>
              <w:rPr>
                <w:rFonts w:ascii="Arial" w:cs="Arial" w:eastAsia="Arial" w:hAnsi="Arial"/>
                <w:sz w:val="14"/>
                <w:szCs w:val="14"/>
                <w:b w:val="1"/>
                <w:bCs w:val="1"/>
                <w:color w:val="0070C0"/>
              </w:rPr>
              <w:t>% Change</w:t>
            </w:r>
          </w:p>
        </w:tc>
      </w:tr>
      <w:tr>
        <w:trPr>
          <w:trHeight w:val="189"/>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32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r>
      <w:tr>
        <w:trPr>
          <w:trHeight w:val="203"/>
        </w:trPr>
        <w:tc>
          <w:tcPr>
            <w:tcW w:w="3960" w:type="dxa"/>
            <w:vAlign w:val="bottom"/>
            <w:gridSpan w:val="2"/>
          </w:tcPr>
          <w:p>
            <w:pPr>
              <w:ind w:left="140"/>
              <w:spacing w:after="0"/>
              <w:rPr>
                <w:sz w:val="20"/>
                <w:szCs w:val="20"/>
                <w:color w:val="auto"/>
              </w:rPr>
            </w:pPr>
            <w:r>
              <w:rPr>
                <w:rFonts w:ascii="Arial" w:cs="Arial" w:eastAsia="Arial" w:hAnsi="Arial"/>
                <w:sz w:val="14"/>
                <w:szCs w:val="14"/>
                <w:color w:val="auto"/>
              </w:rPr>
              <w:t>United States</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3,218.7</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7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40.1 %</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2,630.2</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34.5 %</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588.5</w:t>
            </w:r>
          </w:p>
        </w:tc>
        <w:tc>
          <w:tcPr>
            <w:tcW w:w="100" w:type="dxa"/>
            <w:vAlign w:val="bottom"/>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22.4</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96"/>
              </w:rPr>
              <w:t>%</w:t>
            </w:r>
          </w:p>
        </w:tc>
      </w:tr>
      <w:tr>
        <w:trPr>
          <w:trHeight w:val="204"/>
        </w:trPr>
        <w:tc>
          <w:tcPr>
            <w:tcW w:w="3960" w:type="dxa"/>
            <w:vAlign w:val="bottom"/>
            <w:gridSpan w:val="2"/>
          </w:tcPr>
          <w:p>
            <w:pPr>
              <w:ind w:left="140"/>
              <w:spacing w:after="0"/>
              <w:rPr>
                <w:sz w:val="20"/>
                <w:szCs w:val="20"/>
                <w:color w:val="auto"/>
              </w:rPr>
            </w:pPr>
            <w:r>
              <w:rPr>
                <w:rFonts w:ascii="Arial" w:cs="Arial" w:eastAsia="Arial" w:hAnsi="Arial"/>
                <w:sz w:val="14"/>
                <w:szCs w:val="14"/>
                <w:color w:val="auto"/>
              </w:rPr>
              <w:t>Rest of world</w:t>
            </w:r>
          </w:p>
        </w:tc>
        <w:tc>
          <w:tcPr>
            <w:tcW w:w="32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2,538.7</w:t>
            </w:r>
          </w:p>
        </w:tc>
        <w:tc>
          <w:tcPr>
            <w:tcW w:w="10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31.7</w:t>
            </w:r>
          </w:p>
        </w:tc>
        <w:tc>
          <w:tcPr>
            <w:tcW w:w="14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2,821.9</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(283.2)</w:t>
            </w:r>
          </w:p>
        </w:tc>
        <w:tc>
          <w:tcPr>
            <w:tcW w:w="100" w:type="dxa"/>
            <w:vAlign w:val="bottom"/>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(10.0)</w:t>
            </w:r>
          </w:p>
        </w:tc>
        <w:tc>
          <w:tcPr>
            <w:tcW w:w="160" w:type="dxa"/>
            <w:vAlign w:val="bottom"/>
            <w:tcBorders>
              <w:bottom w:val="single" w:sz="8" w:color="auto"/>
            </w:tcBorders>
            <w:shd w:val="clear" w:color="auto" w:fill="DBDBDB"/>
          </w:tcPr>
          <w:p>
            <w:pPr>
              <w:spacing w:after="0"/>
              <w:rPr>
                <w:sz w:val="17"/>
                <w:szCs w:val="17"/>
                <w:color w:val="auto"/>
              </w:rPr>
            </w:pPr>
          </w:p>
        </w:tc>
      </w:tr>
      <w:tr>
        <w:trPr>
          <w:trHeight w:val="195"/>
        </w:trPr>
        <w:tc>
          <w:tcPr>
            <w:tcW w:w="3960" w:type="dxa"/>
            <w:vAlign w:val="bottom"/>
            <w:gridSpan w:val="2"/>
          </w:tcPr>
          <w:p>
            <w:pPr>
              <w:ind w:left="360"/>
              <w:spacing w:after="0"/>
              <w:rPr>
                <w:sz w:val="20"/>
                <w:szCs w:val="20"/>
                <w:color w:val="auto"/>
              </w:rPr>
            </w:pPr>
            <w:r>
              <w:rPr>
                <w:rFonts w:ascii="Arial" w:cs="Arial" w:eastAsia="Arial" w:hAnsi="Arial"/>
                <w:sz w:val="14"/>
                <w:szCs w:val="14"/>
                <w:color w:val="auto"/>
              </w:rPr>
              <w:t>Total product revenue, net</w:t>
            </w:r>
          </w:p>
        </w:tc>
        <w:tc>
          <w:tcPr>
            <w:tcW w:w="32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5,757.4</w:t>
            </w:r>
          </w:p>
        </w:tc>
        <w:tc>
          <w:tcPr>
            <w:tcW w:w="1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71.8</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5,452.1</w:t>
            </w:r>
          </w:p>
        </w:tc>
        <w:tc>
          <w:tcPr>
            <w:tcW w:w="1320" w:type="dxa"/>
            <w:vAlign w:val="bottom"/>
            <w:gridSpan w:val="3"/>
          </w:tcPr>
          <w:p>
            <w:pPr>
              <w:jc w:val="right"/>
              <w:ind w:right="108"/>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305.3</w:t>
            </w:r>
          </w:p>
        </w:tc>
        <w:tc>
          <w:tcPr>
            <w:tcW w:w="100" w:type="dxa"/>
            <w:vAlign w:val="bottom"/>
          </w:tcPr>
          <w:p>
            <w:pPr>
              <w:spacing w:after="0"/>
              <w:rPr>
                <w:sz w:val="16"/>
                <w:szCs w:val="16"/>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5.6</w:t>
            </w:r>
          </w:p>
        </w:tc>
        <w:tc>
          <w:tcPr>
            <w:tcW w:w="160" w:type="dxa"/>
            <w:vAlign w:val="bottom"/>
            <w:shd w:val="clear" w:color="auto" w:fill="DBDBDB"/>
          </w:tcPr>
          <w:p>
            <w:pPr>
              <w:spacing w:after="0"/>
              <w:rPr>
                <w:sz w:val="16"/>
                <w:szCs w:val="16"/>
                <w:color w:val="auto"/>
              </w:rPr>
            </w:pPr>
          </w:p>
        </w:tc>
      </w:tr>
      <w:tr>
        <w:trPr>
          <w:trHeight w:val="203"/>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32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1,429.9</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17.8</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1,339.4</w:t>
            </w:r>
          </w:p>
        </w:tc>
        <w:tc>
          <w:tcPr>
            <w:tcW w:w="1320" w:type="dxa"/>
            <w:vAlign w:val="bottom"/>
            <w:gridSpan w:val="3"/>
          </w:tcPr>
          <w:p>
            <w:pPr>
              <w:jc w:val="right"/>
              <w:ind w:right="10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90.5</w:t>
            </w:r>
          </w:p>
        </w:tc>
        <w:tc>
          <w:tcPr>
            <w:tcW w:w="100" w:type="dxa"/>
            <w:vAlign w:val="bottom"/>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6.8</w:t>
            </w:r>
          </w:p>
        </w:tc>
        <w:tc>
          <w:tcPr>
            <w:tcW w:w="160" w:type="dxa"/>
            <w:vAlign w:val="bottom"/>
            <w:shd w:val="clear" w:color="auto" w:fill="DBDBDB"/>
          </w:tcPr>
          <w:p>
            <w:pPr>
              <w:spacing w:after="0"/>
              <w:rPr>
                <w:sz w:val="17"/>
                <w:szCs w:val="17"/>
                <w:color w:val="auto"/>
              </w:rPr>
            </w:pPr>
          </w:p>
        </w:tc>
      </w:tr>
      <w:tr>
        <w:trPr>
          <w:trHeight w:val="203"/>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Alzheimer's collaboration revenue</w:t>
            </w:r>
            <w:r>
              <w:rPr>
                <w:rFonts w:ascii="Arial" w:cs="Arial" w:eastAsia="Arial" w:hAnsi="Arial"/>
                <w:sz w:val="9"/>
                <w:szCs w:val="9"/>
                <w:color w:val="auto"/>
              </w:rPr>
              <w:t>(1)</w:t>
            </w:r>
          </w:p>
        </w:tc>
        <w:tc>
          <w:tcPr>
            <w:tcW w:w="32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191.6</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130.6</w:t>
            </w:r>
          </w:p>
        </w:tc>
        <w:tc>
          <w:tcPr>
            <w:tcW w:w="1320" w:type="dxa"/>
            <w:vAlign w:val="bottom"/>
            <w:gridSpan w:val="3"/>
          </w:tcPr>
          <w:p>
            <w:pPr>
              <w:jc w:val="right"/>
              <w:ind w:right="10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61.0</w:t>
            </w:r>
          </w:p>
        </w:tc>
        <w:tc>
          <w:tcPr>
            <w:tcW w:w="100" w:type="dxa"/>
            <w:vAlign w:val="bottom"/>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46.7</w:t>
            </w:r>
          </w:p>
        </w:tc>
        <w:tc>
          <w:tcPr>
            <w:tcW w:w="160" w:type="dxa"/>
            <w:vAlign w:val="bottom"/>
            <w:shd w:val="clear" w:color="auto" w:fill="DBDBDB"/>
          </w:tcPr>
          <w:p>
            <w:pPr>
              <w:spacing w:after="0"/>
              <w:rPr>
                <w:sz w:val="17"/>
                <w:szCs w:val="17"/>
                <w:color w:val="auto"/>
              </w:rPr>
            </w:pPr>
          </w:p>
        </w:tc>
      </w:tr>
      <w:tr>
        <w:trPr>
          <w:trHeight w:val="206"/>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royalty and other revenue</w:t>
            </w:r>
          </w:p>
        </w:tc>
        <w:tc>
          <w:tcPr>
            <w:tcW w:w="32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639.0</w:t>
            </w:r>
          </w:p>
        </w:tc>
        <w:tc>
          <w:tcPr>
            <w:tcW w:w="10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8.0</w:t>
            </w:r>
          </w:p>
        </w:tc>
        <w:tc>
          <w:tcPr>
            <w:tcW w:w="14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689.1</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(50.1)</w:t>
            </w:r>
          </w:p>
        </w:tc>
        <w:tc>
          <w:tcPr>
            <w:tcW w:w="100" w:type="dxa"/>
            <w:vAlign w:val="bottom"/>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(7.3)</w:t>
            </w:r>
          </w:p>
        </w:tc>
        <w:tc>
          <w:tcPr>
            <w:tcW w:w="160" w:type="dxa"/>
            <w:vAlign w:val="bottom"/>
            <w:tcBorders>
              <w:bottom w:val="single" w:sz="8" w:color="auto"/>
            </w:tcBorders>
            <w:shd w:val="clear" w:color="auto" w:fill="DBDBDB"/>
          </w:tcPr>
          <w:p>
            <w:pPr>
              <w:spacing w:after="0"/>
              <w:rPr>
                <w:sz w:val="17"/>
                <w:szCs w:val="17"/>
                <w:color w:val="auto"/>
              </w:rPr>
            </w:pPr>
          </w:p>
        </w:tc>
      </w:tr>
      <w:tr>
        <w:trPr>
          <w:trHeight w:val="220"/>
        </w:trPr>
        <w:tc>
          <w:tcPr>
            <w:tcW w:w="3960" w:type="dxa"/>
            <w:vAlign w:val="bottom"/>
            <w:gridSpan w:val="2"/>
          </w:tcPr>
          <w:p>
            <w:pPr>
              <w:ind w:left="360"/>
              <w:spacing w:after="0"/>
              <w:rPr>
                <w:sz w:val="20"/>
                <w:szCs w:val="20"/>
                <w:color w:val="auto"/>
              </w:rPr>
            </w:pPr>
            <w:r>
              <w:rPr>
                <w:rFonts w:ascii="Arial" w:cs="Arial" w:eastAsia="Arial" w:hAnsi="Arial"/>
                <w:sz w:val="14"/>
                <w:szCs w:val="14"/>
                <w:color w:val="auto"/>
              </w:rPr>
              <w:t>Total revenue</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8,017.9</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9"/>
              </w:rPr>
              <w:t>%</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7,611.2</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406.7</w:t>
            </w:r>
          </w:p>
        </w:tc>
        <w:tc>
          <w:tcPr>
            <w:tcW w:w="100" w:type="dxa"/>
            <w:vAlign w:val="bottom"/>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5.3</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96"/>
              </w:rPr>
              <w:t>%</w:t>
            </w: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24085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51"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Alzheimer's collaboration revenue consists of our 50.0% share of LEQEMBI product revenue, net and cost of sales, including royalties.</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0070C0"/>
        </w:rPr>
        <w:t>PRODUCT REVENUE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11"/>
          </w:tcPr>
          <w:p>
            <w:pPr>
              <w:jc w:val="center"/>
              <w:ind w:right="200"/>
              <w:spacing w:after="0"/>
              <w:rPr>
                <w:sz w:val="20"/>
                <w:szCs w:val="20"/>
                <w:color w:val="auto"/>
              </w:rPr>
            </w:pPr>
            <w:r>
              <w:rPr>
                <w:rFonts w:ascii="Arial" w:cs="Arial" w:eastAsia="Arial" w:hAnsi="Arial"/>
                <w:sz w:val="14"/>
                <w:szCs w:val="14"/>
                <w:b w:val="1"/>
                <w:bCs w:val="1"/>
                <w:color w:val="auto"/>
              </w:rPr>
              <w:t>For the Three Months Ended September 30,</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660" w:type="dxa"/>
            <w:vAlign w:val="bottom"/>
            <w:tcBorders>
              <w:bottom w:val="single" w:sz="8" w:color="auto"/>
            </w:tcBorders>
            <w:shd w:val="clear" w:color="auto" w:fill="DDDDDD"/>
          </w:tcPr>
          <w:p>
            <w:pPr>
              <w:spacing w:after="0"/>
              <w:rPr>
                <w:sz w:val="17"/>
                <w:szCs w:val="17"/>
                <w:color w:val="auto"/>
              </w:rPr>
            </w:pP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gridSpan w:val="4"/>
            <w:shd w:val="clear" w:color="auto" w:fill="DDDDDD"/>
          </w:tcPr>
          <w:p>
            <w:pPr>
              <w:jc w:val="right"/>
              <w:ind w:right="28"/>
              <w:spacing w:after="0"/>
              <w:rPr>
                <w:sz w:val="20"/>
                <w:szCs w:val="20"/>
                <w:color w:val="auto"/>
              </w:rPr>
            </w:pPr>
            <w:r>
              <w:rPr>
                <w:rFonts w:ascii="Arial" w:cs="Arial" w:eastAsia="Arial" w:hAnsi="Arial"/>
                <w:sz w:val="14"/>
                <w:szCs w:val="14"/>
                <w:b w:val="1"/>
                <w:bCs w:val="1"/>
                <w:color w:val="257ACB"/>
              </w:rPr>
              <w:t>2026</w:t>
            </w:r>
          </w:p>
        </w:tc>
        <w:tc>
          <w:tcPr>
            <w:tcW w:w="66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(In millions, except</w:t>
            </w:r>
          </w:p>
        </w:tc>
        <w:tc>
          <w:tcPr>
            <w:tcW w:w="140" w:type="dxa"/>
            <w:vAlign w:val="bottom"/>
          </w:tcPr>
          <w:p>
            <w:pPr>
              <w:spacing w:after="0"/>
              <w:rPr>
                <w:sz w:val="12"/>
                <w:szCs w:val="12"/>
                <w:color w:val="auto"/>
              </w:rPr>
            </w:pPr>
          </w:p>
        </w:tc>
        <w:tc>
          <w:tcPr>
            <w:tcW w:w="66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Rest of</w:t>
            </w:r>
          </w:p>
        </w:tc>
        <w:tc>
          <w:tcPr>
            <w:tcW w:w="180" w:type="dxa"/>
            <w:vAlign w:val="bottom"/>
          </w:tcPr>
          <w:p>
            <w:pPr>
              <w:spacing w:after="0"/>
              <w:rPr>
                <w:sz w:val="12"/>
                <w:szCs w:val="12"/>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jc w:val="center"/>
              <w:ind w:right="8"/>
              <w:spacing w:after="0" w:line="147" w:lineRule="exact"/>
              <w:rPr>
                <w:sz w:val="20"/>
                <w:szCs w:val="20"/>
                <w:color w:val="auto"/>
              </w:rPr>
            </w:pPr>
            <w:r>
              <w:rPr>
                <w:rFonts w:ascii="Arial" w:cs="Arial" w:eastAsia="Arial" w:hAnsi="Arial"/>
                <w:sz w:val="14"/>
                <w:szCs w:val="14"/>
                <w:b w:val="1"/>
                <w:bCs w:val="1"/>
                <w:color w:val="0070C0"/>
              </w:rPr>
              <w:t>$</w:t>
            </w:r>
          </w:p>
        </w:tc>
        <w:tc>
          <w:tcPr>
            <w:tcW w:w="100" w:type="dxa"/>
            <w:vAlign w:val="bottom"/>
          </w:tcPr>
          <w:p>
            <w:pPr>
              <w:spacing w:after="0"/>
              <w:rPr>
                <w:sz w:val="12"/>
                <w:szCs w:val="12"/>
                <w:color w:val="auto"/>
              </w:rPr>
            </w:pPr>
          </w:p>
        </w:tc>
        <w:tc>
          <w:tcPr>
            <w:tcW w:w="880" w:type="dxa"/>
            <w:vAlign w:val="bottom"/>
            <w:gridSpan w:val="2"/>
            <w:vMerge w:val="restart"/>
            <w:shd w:val="clear" w:color="auto" w:fill="DBDBDB"/>
          </w:tcPr>
          <w:p>
            <w:pPr>
              <w:jc w:val="right"/>
              <w:ind w:right="28"/>
              <w:spacing w:after="0"/>
              <w:rPr>
                <w:sz w:val="20"/>
                <w:szCs w:val="20"/>
                <w:color w:val="auto"/>
              </w:rPr>
            </w:pPr>
            <w:r>
              <w:rPr>
                <w:rFonts w:ascii="Arial" w:cs="Arial" w:eastAsia="Arial" w:hAnsi="Arial"/>
                <w:sz w:val="14"/>
                <w:szCs w:val="14"/>
                <w:b w:val="1"/>
                <w:bCs w:val="1"/>
                <w:color w:val="0070C0"/>
              </w:rPr>
              <w:t>% Change</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States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center"/>
              <w:ind w:right="28"/>
              <w:spacing w:after="0"/>
              <w:rPr>
                <w:sz w:val="20"/>
                <w:szCs w:val="20"/>
                <w:color w:val="auto"/>
              </w:rPr>
            </w:pPr>
            <w:r>
              <w:rPr>
                <w:rFonts w:ascii="Arial" w:cs="Arial" w:eastAsia="Arial" w:hAnsi="Arial"/>
                <w:sz w:val="14"/>
                <w:szCs w:val="14"/>
                <w:b w:val="1"/>
                <w:bCs w:val="1"/>
                <w:color w:val="0070C0"/>
              </w:rPr>
              <w:t>Change</w:t>
            </w:r>
          </w:p>
        </w:tc>
        <w:tc>
          <w:tcPr>
            <w:tcW w:w="100" w:type="dxa"/>
            <w:vAlign w:val="bottom"/>
          </w:tcPr>
          <w:p>
            <w:pPr>
              <w:spacing w:after="0"/>
              <w:rPr>
                <w:sz w:val="16"/>
                <w:szCs w:val="16"/>
                <w:color w:val="auto"/>
              </w:rPr>
            </w:pPr>
          </w:p>
        </w:tc>
        <w:tc>
          <w:tcPr>
            <w:tcW w:w="880" w:type="dxa"/>
            <w:vAlign w:val="bottom"/>
            <w:tcBorders>
              <w:bottom w:val="single" w:sz="8" w:color="auto"/>
            </w:tcBorders>
            <w:gridSpan w:val="2"/>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gridSpan w:val="2"/>
          </w:tcPr>
          <w:p>
            <w:pPr>
              <w:ind w:left="20"/>
              <w:spacing w:after="0"/>
              <w:rPr>
                <w:sz w:val="20"/>
                <w:szCs w:val="20"/>
                <w:color w:val="auto"/>
              </w:rPr>
            </w:pPr>
            <w:r>
              <w:rPr>
                <w:rFonts w:ascii="Arial" w:cs="Arial" w:eastAsia="Arial" w:hAnsi="Arial"/>
                <w:sz w:val="14"/>
                <w:szCs w:val="14"/>
                <w:color w:val="auto"/>
              </w:rPr>
              <w:t>Multiple Sclerosis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584.4</w:t>
            </w:r>
          </w:p>
        </w:tc>
        <w:tc>
          <w:tcPr>
            <w:tcW w:w="28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334.9</w:t>
            </w:r>
          </w:p>
        </w:tc>
        <w:tc>
          <w:tcPr>
            <w:tcW w:w="320" w:type="dxa"/>
            <w:vAlign w:val="bottom"/>
            <w:gridSpan w:val="3"/>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919.3</w:t>
            </w:r>
          </w:p>
        </w:tc>
        <w:tc>
          <w:tcPr>
            <w:tcW w:w="10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44.0 %</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642.9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418.6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1,061.5</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57.5 %</w:t>
            </w:r>
          </w:p>
        </w:tc>
        <w:tc>
          <w:tcPr>
            <w:tcW w:w="10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(142.2)</w:t>
            </w:r>
          </w:p>
        </w:tc>
        <w:tc>
          <w:tcPr>
            <w:tcW w:w="100" w:type="dxa"/>
            <w:vAlign w:val="bottom"/>
          </w:tcPr>
          <w:p>
            <w:pPr>
              <w:spacing w:after="0"/>
              <w:rPr>
                <w:sz w:val="17"/>
                <w:szCs w:val="17"/>
                <w:color w:val="auto"/>
              </w:rPr>
            </w:pP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(13.4)%</w:t>
            </w:r>
          </w:p>
        </w:tc>
        <w:tc>
          <w:tcPr>
            <w:tcW w:w="0" w:type="dxa"/>
            <w:vAlign w:val="bottom"/>
          </w:tcPr>
          <w:p>
            <w:pPr>
              <w:spacing w:after="0"/>
              <w:rPr>
                <w:sz w:val="1"/>
                <w:szCs w:val="1"/>
                <w:color w:val="auto"/>
              </w:rPr>
            </w:pPr>
          </w:p>
        </w:tc>
      </w:tr>
      <w:tr>
        <w:trPr>
          <w:trHeight w:val="194"/>
        </w:trPr>
        <w:tc>
          <w:tcPr>
            <w:tcW w:w="2080" w:type="dxa"/>
            <w:vAlign w:val="bottom"/>
            <w:gridSpan w:val="2"/>
          </w:tcPr>
          <w:p>
            <w:pPr>
              <w:ind w:left="20"/>
              <w:spacing w:after="0"/>
              <w:rPr>
                <w:sz w:val="20"/>
                <w:szCs w:val="20"/>
                <w:color w:val="auto"/>
              </w:rPr>
            </w:pPr>
            <w:r>
              <w:rPr>
                <w:rFonts w:ascii="Arial" w:cs="Arial" w:eastAsia="Arial" w:hAnsi="Arial"/>
                <w:sz w:val="14"/>
                <w:szCs w:val="14"/>
                <w:color w:val="auto"/>
              </w:rPr>
              <w:t>Rare Disease</w:t>
            </w:r>
          </w:p>
        </w:tc>
        <w:tc>
          <w:tcPr>
            <w:tcW w:w="14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354.4</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321.9</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676.3</w:t>
            </w: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0070C0"/>
              </w:rPr>
              <w:t>32.4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235.1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533.3</w:t>
            </w:r>
          </w:p>
        </w:tc>
        <w:tc>
          <w:tcPr>
            <w:tcW w:w="10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143.0</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0070C0"/>
              </w:rPr>
              <w:t>26.8</w:t>
            </w:r>
          </w:p>
        </w:tc>
        <w:tc>
          <w:tcPr>
            <w:tcW w:w="1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80" w:type="dxa"/>
            <w:vAlign w:val="bottom"/>
            <w:gridSpan w:val="2"/>
          </w:tcPr>
          <w:p>
            <w:pPr>
              <w:ind w:left="20"/>
              <w:spacing w:after="0"/>
              <w:rPr>
                <w:sz w:val="20"/>
                <w:szCs w:val="20"/>
                <w:color w:val="auto"/>
              </w:rPr>
            </w:pPr>
            <w:r>
              <w:rPr>
                <w:rFonts w:ascii="Arial" w:cs="Arial" w:eastAsia="Arial" w:hAnsi="Arial"/>
                <w:sz w:val="14"/>
                <w:szCs w:val="14"/>
                <w:color w:val="auto"/>
              </w:rPr>
              <w:t>Specialized Immunology</w:t>
            </w:r>
            <w:r>
              <w:rPr>
                <w:rFonts w:ascii="Arial" w:cs="Arial" w:eastAsia="Arial" w:hAnsi="Arial"/>
                <w:sz w:val="18"/>
                <w:szCs w:val="18"/>
                <w:color w:val="auto"/>
                <w:vertAlign w:val="superscript"/>
              </w:rPr>
              <w:t>(1)</w:t>
            </w:r>
          </w:p>
        </w:tc>
        <w:tc>
          <w:tcPr>
            <w:tcW w:w="14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242.8</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242.8</w:t>
            </w:r>
          </w:p>
        </w:tc>
        <w:tc>
          <w:tcPr>
            <w:tcW w:w="100" w:type="dxa"/>
            <w:vAlign w:val="bottom"/>
            <w:shd w:val="clear" w:color="auto" w:fill="DBDBDB"/>
          </w:tcPr>
          <w:p>
            <w:pPr>
              <w:spacing w:after="0"/>
              <w:rPr>
                <w:sz w:val="18"/>
                <w:szCs w:val="18"/>
                <w:color w:val="auto"/>
              </w:rPr>
            </w:pPr>
          </w:p>
        </w:tc>
        <w:tc>
          <w:tcPr>
            <w:tcW w:w="8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0070C0"/>
              </w:rPr>
              <w:t>11.6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242.8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0070C0"/>
              </w:rPr>
              <w:t>—</w:t>
            </w:r>
          </w:p>
        </w:tc>
        <w:tc>
          <w:tcPr>
            <w:tcW w:w="1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8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4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165.9</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165.9</w:t>
            </w: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0070C0"/>
              </w:rPr>
              <w:t>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(30.9)</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0070C0"/>
              </w:rPr>
              <w:t>(15.7)</w:t>
            </w:r>
          </w:p>
        </w:tc>
        <w:tc>
          <w:tcPr>
            <w:tcW w:w="1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80" w:type="dxa"/>
            <w:vAlign w:val="bottom"/>
            <w:gridSpan w:val="2"/>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(2)</w:t>
            </w:r>
          </w:p>
        </w:tc>
        <w:tc>
          <w:tcPr>
            <w:tcW w:w="14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83.4</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84.4</w:t>
            </w:r>
          </w:p>
        </w:tc>
        <w:tc>
          <w:tcPr>
            <w:tcW w:w="10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0070C0"/>
              </w:rPr>
              <w:t>4.0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29.1</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52.6</w:t>
            </w:r>
          </w:p>
        </w:tc>
        <w:tc>
          <w:tcPr>
            <w:tcW w:w="140" w:type="dxa"/>
            <w:vAlign w:val="bottom"/>
            <w:tcBorders>
              <w:bottom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120"/>
              <w:spacing w:after="0"/>
              <w:rPr>
                <w:sz w:val="20"/>
                <w:szCs w:val="20"/>
                <w:color w:val="auto"/>
              </w:rPr>
            </w:pPr>
            <w:r>
              <w:rPr>
                <w:rFonts w:ascii="Arial" w:cs="Arial" w:eastAsia="Arial" w:hAnsi="Arial"/>
                <w:sz w:val="14"/>
                <w:szCs w:val="14"/>
                <w:color w:val="auto"/>
              </w:rPr>
              <w:t>Total product revenue, net</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1,265.0</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823.7</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2,088.7</w:t>
            </w:r>
          </w:p>
        </w:tc>
        <w:tc>
          <w:tcPr>
            <w:tcW w:w="10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935.3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1,846.9</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241.8</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13.1</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11"/>
          </w:tcPr>
          <w:p>
            <w:pPr>
              <w:jc w:val="center"/>
              <w:ind w:right="200"/>
              <w:spacing w:after="0"/>
              <w:rPr>
                <w:sz w:val="20"/>
                <w:szCs w:val="20"/>
                <w:color w:val="auto"/>
              </w:rPr>
            </w:pPr>
            <w:r>
              <w:rPr>
                <w:rFonts w:ascii="Arial" w:cs="Arial" w:eastAsia="Arial" w:hAnsi="Arial"/>
                <w:sz w:val="14"/>
                <w:szCs w:val="14"/>
                <w:b w:val="1"/>
                <w:bCs w:val="1"/>
                <w:color w:val="auto"/>
              </w:rPr>
              <w:t>For the Nine Months Ended September 30,</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660" w:type="dxa"/>
            <w:vAlign w:val="bottom"/>
            <w:tcBorders>
              <w:bottom w:val="single" w:sz="8" w:color="auto"/>
            </w:tcBorders>
            <w:shd w:val="clear" w:color="auto" w:fill="DDDDDD"/>
          </w:tcPr>
          <w:p>
            <w:pPr>
              <w:spacing w:after="0"/>
              <w:rPr>
                <w:sz w:val="17"/>
                <w:szCs w:val="17"/>
                <w:color w:val="auto"/>
              </w:rPr>
            </w:pP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gridSpan w:val="4"/>
            <w:shd w:val="clear" w:color="auto" w:fill="DDDDDD"/>
          </w:tcPr>
          <w:p>
            <w:pPr>
              <w:jc w:val="right"/>
              <w:ind w:right="28"/>
              <w:spacing w:after="0"/>
              <w:rPr>
                <w:sz w:val="20"/>
                <w:szCs w:val="20"/>
                <w:color w:val="auto"/>
              </w:rPr>
            </w:pPr>
            <w:r>
              <w:rPr>
                <w:rFonts w:ascii="Arial" w:cs="Arial" w:eastAsia="Arial" w:hAnsi="Arial"/>
                <w:sz w:val="14"/>
                <w:szCs w:val="14"/>
                <w:b w:val="1"/>
                <w:bCs w:val="1"/>
                <w:color w:val="257ACB"/>
              </w:rPr>
              <w:t>2026</w:t>
            </w:r>
          </w:p>
        </w:tc>
        <w:tc>
          <w:tcPr>
            <w:tcW w:w="66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(In millions, except</w:t>
            </w:r>
          </w:p>
        </w:tc>
        <w:tc>
          <w:tcPr>
            <w:tcW w:w="140" w:type="dxa"/>
            <w:vAlign w:val="bottom"/>
          </w:tcPr>
          <w:p>
            <w:pPr>
              <w:spacing w:after="0"/>
              <w:rPr>
                <w:sz w:val="12"/>
                <w:szCs w:val="12"/>
                <w:color w:val="auto"/>
              </w:rPr>
            </w:pPr>
          </w:p>
        </w:tc>
        <w:tc>
          <w:tcPr>
            <w:tcW w:w="66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Rest of</w:t>
            </w:r>
          </w:p>
        </w:tc>
        <w:tc>
          <w:tcPr>
            <w:tcW w:w="180" w:type="dxa"/>
            <w:vAlign w:val="bottom"/>
          </w:tcPr>
          <w:p>
            <w:pPr>
              <w:spacing w:after="0"/>
              <w:rPr>
                <w:sz w:val="12"/>
                <w:szCs w:val="12"/>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jc w:val="center"/>
              <w:ind w:right="8"/>
              <w:spacing w:after="0" w:line="147" w:lineRule="exact"/>
              <w:rPr>
                <w:sz w:val="20"/>
                <w:szCs w:val="20"/>
                <w:color w:val="auto"/>
              </w:rPr>
            </w:pPr>
            <w:r>
              <w:rPr>
                <w:rFonts w:ascii="Arial" w:cs="Arial" w:eastAsia="Arial" w:hAnsi="Arial"/>
                <w:sz w:val="14"/>
                <w:szCs w:val="14"/>
                <w:b w:val="1"/>
                <w:bCs w:val="1"/>
                <w:color w:val="0070C0"/>
              </w:rPr>
              <w:t>$</w:t>
            </w:r>
          </w:p>
        </w:tc>
        <w:tc>
          <w:tcPr>
            <w:tcW w:w="100" w:type="dxa"/>
            <w:vAlign w:val="bottom"/>
          </w:tcPr>
          <w:p>
            <w:pPr>
              <w:spacing w:after="0"/>
              <w:rPr>
                <w:sz w:val="12"/>
                <w:szCs w:val="12"/>
                <w:color w:val="auto"/>
              </w:rPr>
            </w:pPr>
          </w:p>
        </w:tc>
        <w:tc>
          <w:tcPr>
            <w:tcW w:w="880" w:type="dxa"/>
            <w:vAlign w:val="bottom"/>
            <w:gridSpan w:val="2"/>
            <w:vMerge w:val="restart"/>
            <w:shd w:val="clear" w:color="auto" w:fill="DBDBDB"/>
          </w:tcPr>
          <w:p>
            <w:pPr>
              <w:jc w:val="right"/>
              <w:ind w:right="28"/>
              <w:spacing w:after="0"/>
              <w:rPr>
                <w:sz w:val="20"/>
                <w:szCs w:val="20"/>
                <w:color w:val="auto"/>
              </w:rPr>
            </w:pPr>
            <w:r>
              <w:rPr>
                <w:rFonts w:ascii="Arial" w:cs="Arial" w:eastAsia="Arial" w:hAnsi="Arial"/>
                <w:sz w:val="14"/>
                <w:szCs w:val="14"/>
                <w:b w:val="1"/>
                <w:bCs w:val="1"/>
                <w:color w:val="0070C0"/>
              </w:rPr>
              <w:t>% Change</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States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center"/>
              <w:ind w:right="28"/>
              <w:spacing w:after="0"/>
              <w:rPr>
                <w:sz w:val="20"/>
                <w:szCs w:val="20"/>
                <w:color w:val="auto"/>
              </w:rPr>
            </w:pPr>
            <w:r>
              <w:rPr>
                <w:rFonts w:ascii="Arial" w:cs="Arial" w:eastAsia="Arial" w:hAnsi="Arial"/>
                <w:sz w:val="14"/>
                <w:szCs w:val="14"/>
                <w:b w:val="1"/>
                <w:bCs w:val="1"/>
                <w:color w:val="0070C0"/>
              </w:rPr>
              <w:t>Change</w:t>
            </w:r>
          </w:p>
        </w:tc>
        <w:tc>
          <w:tcPr>
            <w:tcW w:w="100" w:type="dxa"/>
            <w:vAlign w:val="bottom"/>
          </w:tcPr>
          <w:p>
            <w:pPr>
              <w:spacing w:after="0"/>
              <w:rPr>
                <w:sz w:val="16"/>
                <w:szCs w:val="16"/>
                <w:color w:val="auto"/>
              </w:rPr>
            </w:pPr>
          </w:p>
        </w:tc>
        <w:tc>
          <w:tcPr>
            <w:tcW w:w="880" w:type="dxa"/>
            <w:vAlign w:val="bottom"/>
            <w:tcBorders>
              <w:bottom w:val="single" w:sz="8" w:color="auto"/>
            </w:tcBorders>
            <w:gridSpan w:val="2"/>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gridSpan w:val="2"/>
          </w:tcPr>
          <w:p>
            <w:pPr>
              <w:ind w:left="20"/>
              <w:spacing w:after="0"/>
              <w:rPr>
                <w:sz w:val="20"/>
                <w:szCs w:val="20"/>
                <w:color w:val="auto"/>
              </w:rPr>
            </w:pPr>
            <w:r>
              <w:rPr>
                <w:rFonts w:ascii="Arial" w:cs="Arial" w:eastAsia="Arial" w:hAnsi="Arial"/>
                <w:sz w:val="14"/>
                <w:szCs w:val="14"/>
                <w:color w:val="auto"/>
              </w:rPr>
              <w:t>Multiple Sclerosis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1,764.8</w:t>
            </w:r>
          </w:p>
        </w:tc>
        <w:tc>
          <w:tcPr>
            <w:tcW w:w="28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1,075.3</w:t>
            </w:r>
          </w:p>
        </w:tc>
        <w:tc>
          <w:tcPr>
            <w:tcW w:w="320" w:type="dxa"/>
            <w:vAlign w:val="bottom"/>
            <w:gridSpan w:val="3"/>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2,840.1</w:t>
            </w:r>
          </w:p>
        </w:tc>
        <w:tc>
          <w:tcPr>
            <w:tcW w:w="10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49.3 %</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1,790.7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1,331.0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3,121.7</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57.2 %</w:t>
            </w:r>
          </w:p>
        </w:tc>
        <w:tc>
          <w:tcPr>
            <w:tcW w:w="10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(281.6)</w:t>
            </w:r>
          </w:p>
        </w:tc>
        <w:tc>
          <w:tcPr>
            <w:tcW w:w="100" w:type="dxa"/>
            <w:vAlign w:val="bottom"/>
          </w:tcPr>
          <w:p>
            <w:pPr>
              <w:spacing w:after="0"/>
              <w:rPr>
                <w:sz w:val="17"/>
                <w:szCs w:val="17"/>
                <w:color w:val="auto"/>
              </w:rPr>
            </w:pP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(9.0)%</w:t>
            </w:r>
          </w:p>
        </w:tc>
        <w:tc>
          <w:tcPr>
            <w:tcW w:w="0" w:type="dxa"/>
            <w:vAlign w:val="bottom"/>
          </w:tcPr>
          <w:p>
            <w:pPr>
              <w:spacing w:after="0"/>
              <w:rPr>
                <w:sz w:val="1"/>
                <w:szCs w:val="1"/>
                <w:color w:val="auto"/>
              </w:rPr>
            </w:pPr>
          </w:p>
        </w:tc>
      </w:tr>
      <w:tr>
        <w:trPr>
          <w:trHeight w:val="194"/>
        </w:trPr>
        <w:tc>
          <w:tcPr>
            <w:tcW w:w="2080" w:type="dxa"/>
            <w:vAlign w:val="bottom"/>
            <w:gridSpan w:val="2"/>
          </w:tcPr>
          <w:p>
            <w:pPr>
              <w:ind w:left="20"/>
              <w:spacing w:after="0"/>
              <w:rPr>
                <w:sz w:val="20"/>
                <w:szCs w:val="20"/>
                <w:color w:val="auto"/>
              </w:rPr>
            </w:pPr>
            <w:r>
              <w:rPr>
                <w:rFonts w:ascii="Arial" w:cs="Arial" w:eastAsia="Arial" w:hAnsi="Arial"/>
                <w:sz w:val="14"/>
                <w:szCs w:val="14"/>
                <w:color w:val="auto"/>
              </w:rPr>
              <w:t>Rare Disease</w:t>
            </w:r>
          </w:p>
        </w:tc>
        <w:tc>
          <w:tcPr>
            <w:tcW w:w="14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873.8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961.4</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1,835.2</w:t>
            </w: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0070C0"/>
              </w:rPr>
              <w:t>31.9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700.9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1,639.6</w:t>
            </w:r>
          </w:p>
        </w:tc>
        <w:tc>
          <w:tcPr>
            <w:tcW w:w="10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195.6</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0070C0"/>
              </w:rPr>
              <w:t>11.9</w:t>
            </w:r>
          </w:p>
        </w:tc>
        <w:tc>
          <w:tcPr>
            <w:tcW w:w="1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80" w:type="dxa"/>
            <w:vAlign w:val="bottom"/>
            <w:gridSpan w:val="2"/>
          </w:tcPr>
          <w:p>
            <w:pPr>
              <w:ind w:left="20"/>
              <w:spacing w:after="0"/>
              <w:rPr>
                <w:sz w:val="20"/>
                <w:szCs w:val="20"/>
                <w:color w:val="auto"/>
              </w:rPr>
            </w:pPr>
            <w:r>
              <w:rPr>
                <w:rFonts w:ascii="Arial" w:cs="Arial" w:eastAsia="Arial" w:hAnsi="Arial"/>
                <w:sz w:val="14"/>
                <w:szCs w:val="14"/>
                <w:color w:val="auto"/>
              </w:rPr>
              <w:t>Specialized Immunology</w:t>
            </w:r>
            <w:r>
              <w:rPr>
                <w:rFonts w:ascii="Arial" w:cs="Arial" w:eastAsia="Arial" w:hAnsi="Arial"/>
                <w:sz w:val="18"/>
                <w:szCs w:val="18"/>
                <w:color w:val="auto"/>
                <w:vertAlign w:val="superscript"/>
              </w:rPr>
              <w:t>(1)</w:t>
            </w:r>
          </w:p>
        </w:tc>
        <w:tc>
          <w:tcPr>
            <w:tcW w:w="14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370.6</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370.6</w:t>
            </w:r>
          </w:p>
        </w:tc>
        <w:tc>
          <w:tcPr>
            <w:tcW w:w="100" w:type="dxa"/>
            <w:vAlign w:val="bottom"/>
            <w:shd w:val="clear" w:color="auto" w:fill="DBDBDB"/>
          </w:tcPr>
          <w:p>
            <w:pPr>
              <w:spacing w:after="0"/>
              <w:rPr>
                <w:sz w:val="18"/>
                <w:szCs w:val="18"/>
                <w:color w:val="auto"/>
              </w:rPr>
            </w:pPr>
          </w:p>
        </w:tc>
        <w:tc>
          <w:tcPr>
            <w:tcW w:w="8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0070C0"/>
              </w:rPr>
              <w:t>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370.6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0070C0"/>
              </w:rPr>
              <w:t>—</w:t>
            </w:r>
          </w:p>
        </w:tc>
        <w:tc>
          <w:tcPr>
            <w:tcW w:w="1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8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4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500.8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500.9</w:t>
            </w: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0070C0"/>
              </w:rPr>
              <w:t>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559.3</w:t>
            </w:r>
          </w:p>
        </w:tc>
        <w:tc>
          <w:tcPr>
            <w:tcW w:w="10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(58.4)</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0070C0"/>
              </w:rPr>
              <w:t>(10.4)</w:t>
            </w:r>
          </w:p>
        </w:tc>
        <w:tc>
          <w:tcPr>
            <w:tcW w:w="1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80" w:type="dxa"/>
            <w:vAlign w:val="bottom"/>
            <w:gridSpan w:val="2"/>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(2)</w:t>
            </w:r>
          </w:p>
        </w:tc>
        <w:tc>
          <w:tcPr>
            <w:tcW w:w="14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209.4</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210.6</w:t>
            </w:r>
          </w:p>
        </w:tc>
        <w:tc>
          <w:tcPr>
            <w:tcW w:w="10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0070C0"/>
              </w:rPr>
              <w:t>3.7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79.1</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60.2</w:t>
            </w:r>
          </w:p>
        </w:tc>
        <w:tc>
          <w:tcPr>
            <w:tcW w:w="140" w:type="dxa"/>
            <w:vAlign w:val="bottom"/>
            <w:tcBorders>
              <w:bottom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140"/>
              <w:spacing w:after="0"/>
              <w:rPr>
                <w:sz w:val="20"/>
                <w:szCs w:val="20"/>
                <w:color w:val="auto"/>
              </w:rPr>
            </w:pPr>
            <w:r>
              <w:rPr>
                <w:rFonts w:ascii="Arial" w:cs="Arial" w:eastAsia="Arial" w:hAnsi="Arial"/>
                <w:sz w:val="14"/>
                <w:szCs w:val="14"/>
                <w:color w:val="auto"/>
              </w:rPr>
              <w:t>Total product revenue, net</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3,218.7</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2,538.7</w:t>
            </w:r>
          </w:p>
        </w:tc>
        <w:tc>
          <w:tcPr>
            <w:tcW w:w="40" w:type="dxa"/>
            <w:vAlign w:val="bottom"/>
            <w:shd w:val="clear" w:color="auto" w:fill="DBDBDB"/>
          </w:tcPr>
          <w:p>
            <w:pPr>
              <w:spacing w:after="0"/>
              <w:rPr>
                <w:sz w:val="18"/>
                <w:szCs w:val="18"/>
                <w:color w:val="auto"/>
              </w:rPr>
            </w:pPr>
          </w:p>
        </w:tc>
        <w:tc>
          <w:tcPr>
            <w:tcW w:w="28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5,757.4</w:t>
            </w:r>
          </w:p>
        </w:tc>
        <w:tc>
          <w:tcPr>
            <w:tcW w:w="10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100.0 %</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2,630.2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2,821.9</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5,452.1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305.3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0070C0"/>
              </w:rPr>
              <w:t>5.6</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-2150745</wp:posOffset>
            </wp:positionV>
            <wp:extent cx="462915" cy="8058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62915" cy="8058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-822325</wp:posOffset>
            </wp:positionV>
            <wp:extent cx="462915" cy="8058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62915" cy="8058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24085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50"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Specialized Immunology includes EMPAVELI and SYFOVRE, which were obtained as part of our acquisition of Apellis in May 2026.</w:t>
      </w:r>
    </w:p>
    <w:p>
      <w:pPr>
        <w:ind w:left="160" w:hanging="152"/>
        <w:spacing w:after="0" w:line="204" w:lineRule="auto"/>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Other includes ZURZUVAE, FUMADERM and ADUHELM.</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2"/>
          <w:szCs w:val="22"/>
          <w:color w:val="0070C0"/>
        </w:rPr>
        <w:t>MULTIPLE SCLEROSIS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0"/>
          <w:szCs w:val="20"/>
          <w:color w:val="auto"/>
        </w:rPr>
      </w:pPr>
    </w:p>
    <w:p>
      <w:pPr>
        <w:ind w:left="5900" w:right="80" w:hanging="161"/>
        <w:spacing w:after="0" w:line="265" w:lineRule="auto"/>
        <w:rPr>
          <w:sz w:val="20"/>
          <w:szCs w:val="20"/>
          <w:color w:val="auto"/>
        </w:rPr>
      </w:pPr>
      <w:r>
        <w:rPr>
          <w:rFonts w:ascii="Arial" w:cs="Arial" w:eastAsia="Arial" w:hAnsi="Arial"/>
          <w:sz w:val="17"/>
          <w:szCs w:val="17"/>
          <w:b w:val="1"/>
          <w:bCs w:val="1"/>
          <w:color w:val="0070C0"/>
        </w:rPr>
        <w:t xml:space="preserve">• </w:t>
      </w:r>
      <w:r>
        <w:rPr>
          <w:rFonts w:ascii="Arial" w:cs="Arial" w:eastAsia="Arial" w:hAnsi="Arial"/>
          <w:sz w:val="17"/>
          <w:szCs w:val="17"/>
          <w:color w:val="000000"/>
        </w:rPr>
        <w:t>Global TYSABRI revenue increased $5.3 million, from $431.8 million</w:t>
      </w:r>
      <w:r>
        <w:rPr>
          <w:rFonts w:ascii="Arial" w:cs="Arial" w:eastAsia="Arial" w:hAnsi="Arial"/>
          <w:sz w:val="17"/>
          <w:szCs w:val="17"/>
          <w:b w:val="1"/>
          <w:bCs w:val="1"/>
          <w:color w:val="0070C0"/>
        </w:rPr>
        <w:t xml:space="preserve"> </w:t>
      </w:r>
      <w:r>
        <w:rPr>
          <w:rFonts w:ascii="Arial" w:cs="Arial" w:eastAsia="Arial" w:hAnsi="Arial"/>
          <w:sz w:val="17"/>
          <w:szCs w:val="17"/>
          <w:color w:val="000000"/>
        </w:rPr>
        <w:t>in 2025 to $437.1 million in 2026, or 1.2%, primarily due to a favorable pricing change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2571750" cy="21431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ind w:left="5900" w:right="20" w:hanging="161"/>
        <w:spacing w:after="0" w:line="260" w:lineRule="auto"/>
        <w:rPr>
          <w:sz w:val="20"/>
          <w:szCs w:val="20"/>
          <w:color w:val="auto"/>
        </w:rPr>
      </w:pPr>
      <w:r>
        <w:rPr>
          <w:rFonts w:ascii="Arial" w:cs="Arial" w:eastAsia="Arial" w:hAnsi="Arial"/>
          <w:sz w:val="17"/>
          <w:szCs w:val="17"/>
          <w:b w:val="1"/>
          <w:bCs w:val="1"/>
          <w:color w:val="0070C0"/>
        </w:rPr>
        <w:t xml:space="preserve">• </w:t>
      </w:r>
      <w:r>
        <w:rPr>
          <w:rFonts w:ascii="Arial" w:cs="Arial" w:eastAsia="Arial" w:hAnsi="Arial"/>
          <w:sz w:val="17"/>
          <w:szCs w:val="17"/>
          <w:color w:val="000000"/>
        </w:rPr>
        <w:t>Global VUMERITY revenue decreased $22.6 million, from $214.6</w:t>
      </w:r>
      <w:r>
        <w:rPr>
          <w:rFonts w:ascii="Arial" w:cs="Arial" w:eastAsia="Arial" w:hAnsi="Arial"/>
          <w:sz w:val="17"/>
          <w:szCs w:val="17"/>
          <w:b w:val="1"/>
          <w:bCs w:val="1"/>
          <w:color w:val="0070C0"/>
        </w:rPr>
        <w:t xml:space="preserve"> </w:t>
      </w:r>
      <w:r>
        <w:rPr>
          <w:rFonts w:ascii="Arial" w:cs="Arial" w:eastAsia="Arial" w:hAnsi="Arial"/>
          <w:sz w:val="17"/>
          <w:szCs w:val="17"/>
          <w:color w:val="000000"/>
        </w:rPr>
        <w:t>million in 2025 to $192.0 million in 2026, or 10.5%, primarily due to a shift in patient dynamics resulting from changes in the U.S. Medicare Part D.</w:t>
      </w:r>
    </w:p>
    <w:p>
      <w:pPr>
        <w:spacing w:after="0" w:line="3" w:lineRule="exact"/>
        <w:rPr>
          <w:sz w:val="20"/>
          <w:szCs w:val="20"/>
          <w:color w:val="auto"/>
        </w:rPr>
      </w:pPr>
    </w:p>
    <w:p>
      <w:pPr>
        <w:ind w:left="5900" w:right="220" w:hanging="161"/>
        <w:spacing w:after="0" w:line="265" w:lineRule="auto"/>
        <w:rPr>
          <w:sz w:val="20"/>
          <w:szCs w:val="20"/>
          <w:color w:val="auto"/>
        </w:rPr>
      </w:pPr>
      <w:r>
        <w:rPr>
          <w:rFonts w:ascii="Arial" w:cs="Arial" w:eastAsia="Arial" w:hAnsi="Arial"/>
          <w:sz w:val="17"/>
          <w:szCs w:val="17"/>
          <w:b w:val="1"/>
          <w:bCs w:val="1"/>
          <w:color w:val="0070C0"/>
        </w:rPr>
        <w:t xml:space="preserve">• </w:t>
      </w:r>
      <w:r>
        <w:rPr>
          <w:rFonts w:ascii="Arial" w:cs="Arial" w:eastAsia="Arial" w:hAnsi="Arial"/>
          <w:sz w:val="17"/>
          <w:szCs w:val="17"/>
          <w:color w:val="000000"/>
        </w:rPr>
        <w:t>Global TECFIDERA revenue decreased $86.2 million, from $168.2</w:t>
      </w:r>
      <w:r>
        <w:rPr>
          <w:rFonts w:ascii="Arial" w:cs="Arial" w:eastAsia="Arial" w:hAnsi="Arial"/>
          <w:sz w:val="17"/>
          <w:szCs w:val="17"/>
          <w:b w:val="1"/>
          <w:bCs w:val="1"/>
          <w:color w:val="0070C0"/>
        </w:rPr>
        <w:t xml:space="preserve"> </w:t>
      </w:r>
      <w:r>
        <w:rPr>
          <w:rFonts w:ascii="Arial" w:cs="Arial" w:eastAsia="Arial" w:hAnsi="Arial"/>
          <w:sz w:val="17"/>
          <w:szCs w:val="17"/>
          <w:color w:val="000000"/>
        </w:rPr>
        <w:t>million in 2025 to $82.0 million in 2026, or 51.2%, driven by a decrease in global demand, particularly in Europe, as a result of multiple TECFIDERA generic entrants.</w:t>
      </w:r>
    </w:p>
    <w:p>
      <w:pPr>
        <w:spacing w:after="0" w:line="1" w:lineRule="exact"/>
        <w:rPr>
          <w:sz w:val="20"/>
          <w:szCs w:val="20"/>
          <w:color w:val="auto"/>
        </w:rPr>
      </w:pPr>
    </w:p>
    <w:p>
      <w:pPr>
        <w:ind w:left="5900" w:right="80" w:hanging="161"/>
        <w:spacing w:after="0" w:line="257" w:lineRule="auto"/>
        <w:rPr>
          <w:sz w:val="20"/>
          <w:szCs w:val="20"/>
          <w:color w:val="auto"/>
        </w:rPr>
      </w:pPr>
      <w:r>
        <w:rPr>
          <w:rFonts w:ascii="Arial" w:cs="Arial" w:eastAsia="Arial" w:hAnsi="Arial"/>
          <w:sz w:val="17"/>
          <w:szCs w:val="17"/>
          <w:b w:val="1"/>
          <w:bCs w:val="1"/>
          <w:color w:val="0070C0"/>
        </w:rPr>
        <w:t xml:space="preserve">• </w:t>
      </w:r>
      <w:r>
        <w:rPr>
          <w:rFonts w:ascii="Arial" w:cs="Arial" w:eastAsia="Arial" w:hAnsi="Arial"/>
          <w:sz w:val="17"/>
          <w:szCs w:val="17"/>
          <w:color w:val="000000"/>
        </w:rPr>
        <w:t>Global Interferon revenue decreased $38.7 million, from $246.9</w:t>
      </w:r>
      <w:r>
        <w:rPr>
          <w:rFonts w:ascii="Arial" w:cs="Arial" w:eastAsia="Arial" w:hAnsi="Arial"/>
          <w:sz w:val="17"/>
          <w:szCs w:val="17"/>
          <w:b w:val="1"/>
          <w:bCs w:val="1"/>
          <w:color w:val="0070C0"/>
        </w:rPr>
        <w:t xml:space="preserve"> </w:t>
      </w:r>
      <w:r>
        <w:rPr>
          <w:rFonts w:ascii="Arial" w:cs="Arial" w:eastAsia="Arial" w:hAnsi="Arial"/>
          <w:sz w:val="17"/>
          <w:szCs w:val="17"/>
          <w:color w:val="000000"/>
        </w:rPr>
        <w:t>million in 2025 to $208.2 million in 2026, or 15.7%, driven by a decrease in global demand as patients continue the long-term trend of transitioning to oral and higher efficacy therapies and unfavorable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5900" w:right="140" w:hanging="161"/>
        <w:spacing w:after="0" w:line="257" w:lineRule="auto"/>
        <w:rPr>
          <w:sz w:val="20"/>
          <w:szCs w:val="20"/>
          <w:color w:val="auto"/>
        </w:rPr>
      </w:pPr>
      <w:r>
        <w:rPr>
          <w:rFonts w:ascii="Arial" w:cs="Arial" w:eastAsia="Arial" w:hAnsi="Arial"/>
          <w:sz w:val="17"/>
          <w:szCs w:val="17"/>
          <w:b w:val="1"/>
          <w:bCs w:val="1"/>
          <w:color w:val="0070C0"/>
        </w:rPr>
        <w:t xml:space="preserve">• </w:t>
      </w:r>
      <w:r>
        <w:rPr>
          <w:rFonts w:ascii="Arial" w:cs="Arial" w:eastAsia="Arial" w:hAnsi="Arial"/>
          <w:sz w:val="17"/>
          <w:szCs w:val="17"/>
          <w:color w:val="000000"/>
        </w:rPr>
        <w:t>Global TYSABRI revenue increased $61.5 million, from $1,267.9</w:t>
      </w:r>
      <w:r>
        <w:rPr>
          <w:rFonts w:ascii="Arial" w:cs="Arial" w:eastAsia="Arial" w:hAnsi="Arial"/>
          <w:sz w:val="17"/>
          <w:szCs w:val="17"/>
          <w:b w:val="1"/>
          <w:bCs w:val="1"/>
          <w:color w:val="0070C0"/>
        </w:rPr>
        <w:t xml:space="preserve"> </w:t>
      </w:r>
      <w:r>
        <w:rPr>
          <w:rFonts w:ascii="Arial" w:cs="Arial" w:eastAsia="Arial" w:hAnsi="Arial"/>
          <w:sz w:val="17"/>
          <w:szCs w:val="17"/>
          <w:color w:val="000000"/>
        </w:rPr>
        <w:t>million in 2025 to $1,329.4 million in 2026, or 4.9%, primarily due to a favorable pricing change in the U.S. and the favorable impact of foreign currency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2571750" cy="21431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ind w:left="5900" w:right="280" w:hanging="161"/>
        <w:spacing w:after="0" w:line="251" w:lineRule="auto"/>
        <w:rPr>
          <w:sz w:val="20"/>
          <w:szCs w:val="20"/>
          <w:color w:val="auto"/>
        </w:rPr>
      </w:pPr>
      <w:r>
        <w:rPr>
          <w:rFonts w:ascii="Arial" w:cs="Arial" w:eastAsia="Arial" w:hAnsi="Arial"/>
          <w:sz w:val="17"/>
          <w:szCs w:val="17"/>
          <w:b w:val="1"/>
          <w:bCs w:val="1"/>
          <w:color w:val="0070C0"/>
        </w:rPr>
        <w:t xml:space="preserve">• </w:t>
      </w:r>
      <w:r>
        <w:rPr>
          <w:rFonts w:ascii="Arial" w:cs="Arial" w:eastAsia="Arial" w:hAnsi="Arial"/>
          <w:sz w:val="17"/>
          <w:szCs w:val="17"/>
          <w:color w:val="000000"/>
        </w:rPr>
        <w:t>Global VUMERITY revenue increased $1.8 million, from $565.7</w:t>
      </w:r>
      <w:r>
        <w:rPr>
          <w:rFonts w:ascii="Arial" w:cs="Arial" w:eastAsia="Arial" w:hAnsi="Arial"/>
          <w:sz w:val="17"/>
          <w:szCs w:val="17"/>
          <w:b w:val="1"/>
          <w:bCs w:val="1"/>
          <w:color w:val="0070C0"/>
        </w:rPr>
        <w:t xml:space="preserve"> </w:t>
      </w:r>
      <w:r>
        <w:rPr>
          <w:rFonts w:ascii="Arial" w:cs="Arial" w:eastAsia="Arial" w:hAnsi="Arial"/>
          <w:sz w:val="17"/>
          <w:szCs w:val="17"/>
          <w:color w:val="000000"/>
        </w:rPr>
        <w:t>million in 2025 to $567.5 million in 2026, or 0.3%, primarily due to favorable pricing in the U.S and the favorable impact of foreign currency exchange, partially offset by a shift in patient dynamics resulting from changes in the U.S. Medicare Part D.</w:t>
      </w:r>
    </w:p>
    <w:p>
      <w:pPr>
        <w:spacing w:after="0" w:line="4" w:lineRule="exact"/>
        <w:rPr>
          <w:sz w:val="20"/>
          <w:szCs w:val="20"/>
          <w:color w:val="auto"/>
        </w:rPr>
      </w:pPr>
    </w:p>
    <w:p>
      <w:pPr>
        <w:ind w:left="5900" w:right="140" w:hanging="161"/>
        <w:spacing w:after="0" w:line="256" w:lineRule="auto"/>
        <w:rPr>
          <w:sz w:val="20"/>
          <w:szCs w:val="20"/>
          <w:color w:val="auto"/>
        </w:rPr>
      </w:pPr>
      <w:r>
        <w:rPr>
          <w:rFonts w:ascii="Arial" w:cs="Arial" w:eastAsia="Arial" w:hAnsi="Arial"/>
          <w:sz w:val="17"/>
          <w:szCs w:val="17"/>
          <w:color w:val="0070C0"/>
        </w:rPr>
        <w:t xml:space="preserve">• </w:t>
      </w:r>
      <w:r>
        <w:rPr>
          <w:rFonts w:ascii="Arial" w:cs="Arial" w:eastAsia="Arial" w:hAnsi="Arial"/>
          <w:sz w:val="17"/>
          <w:szCs w:val="17"/>
          <w:color w:val="000000"/>
        </w:rPr>
        <w:t>Global TECFIDERA revenue decreased $285.5 million, from $567.9</w:t>
      </w:r>
      <w:r>
        <w:rPr>
          <w:rFonts w:ascii="Arial" w:cs="Arial" w:eastAsia="Arial" w:hAnsi="Arial"/>
          <w:sz w:val="17"/>
          <w:szCs w:val="17"/>
          <w:color w:val="0070C0"/>
        </w:rPr>
        <w:t xml:space="preserve"> </w:t>
      </w:r>
      <w:r>
        <w:rPr>
          <w:rFonts w:ascii="Arial" w:cs="Arial" w:eastAsia="Arial" w:hAnsi="Arial"/>
          <w:sz w:val="17"/>
          <w:szCs w:val="17"/>
          <w:color w:val="000000"/>
        </w:rPr>
        <w:t>million in 2025 to $282.4 million in 2026, or 50.3%, driven by a decrease in global demand, particularly in Europe, as a result of multiple TECFIDERA generic entrants.</w:t>
      </w:r>
    </w:p>
    <w:p>
      <w:pPr>
        <w:ind w:left="5900" w:right="100" w:hanging="161"/>
        <w:spacing w:after="0" w:line="259" w:lineRule="auto"/>
        <w:rPr>
          <w:sz w:val="20"/>
          <w:szCs w:val="20"/>
          <w:color w:val="auto"/>
        </w:rPr>
      </w:pPr>
      <w:r>
        <w:rPr>
          <w:rFonts w:ascii="Arial" w:cs="Arial" w:eastAsia="Arial" w:hAnsi="Arial"/>
          <w:sz w:val="17"/>
          <w:szCs w:val="17"/>
          <w:b w:val="1"/>
          <w:bCs w:val="1"/>
          <w:color w:val="0070C0"/>
        </w:rPr>
        <w:t xml:space="preserve">• </w:t>
      </w:r>
      <w:r>
        <w:rPr>
          <w:rFonts w:ascii="Arial" w:cs="Arial" w:eastAsia="Arial" w:hAnsi="Arial"/>
          <w:sz w:val="17"/>
          <w:szCs w:val="17"/>
          <w:color w:val="000000"/>
        </w:rPr>
        <w:t>Global Interferon revenue decreased $59.1 million, from $719.9</w:t>
      </w:r>
      <w:r>
        <w:rPr>
          <w:rFonts w:ascii="Arial" w:cs="Arial" w:eastAsia="Arial" w:hAnsi="Arial"/>
          <w:sz w:val="17"/>
          <w:szCs w:val="17"/>
          <w:b w:val="1"/>
          <w:bCs w:val="1"/>
          <w:color w:val="0070C0"/>
        </w:rPr>
        <w:t xml:space="preserve"> </w:t>
      </w:r>
      <w:r>
        <w:rPr>
          <w:rFonts w:ascii="Arial" w:cs="Arial" w:eastAsia="Arial" w:hAnsi="Arial"/>
          <w:sz w:val="17"/>
          <w:szCs w:val="17"/>
          <w:color w:val="000000"/>
        </w:rPr>
        <w:t>million in 2025 to $660.8 million in 2026, or 8.2%, driven by a decrease in global demand as patients continue the long-term trend of transitioning to oral and higher efficacy therapies, partially offset by an increase in pricing in the U.S. and the favorable impact of foreign currency exchange.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MS revenue includes sales from TECFIDERA, VUMERITY, AVONEX, PLEGRIDY and TYSABRI.</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expect total MS revenue to continue to decline as a result of high levels of competition for many of our MS products in both the U.S. and rest of world markets. We expect TECFIDERA revenue will be adversely impacted by accelerating generic competition in certain markets in the E.U., and we expect TYSABRI revenue to continue to be adversely affected by the entrance of a biosimilar.</w:t>
      </w: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color w:val="0070C0"/>
        </w:rPr>
        <w:t>RARE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9" w:lineRule="exact"/>
        <w:rPr>
          <w:sz w:val="20"/>
          <w:szCs w:val="20"/>
          <w:color w:val="auto"/>
        </w:rPr>
      </w:pPr>
    </w:p>
    <w:p>
      <w:pPr>
        <w:ind w:left="5860" w:right="20" w:hanging="323"/>
        <w:spacing w:after="0" w:line="262" w:lineRule="auto"/>
        <w:tabs>
          <w:tab w:leader="none" w:pos="5840" w:val="left"/>
        </w:tabs>
        <w:rPr>
          <w:sz w:val="20"/>
          <w:szCs w:val="20"/>
          <w:color w:val="auto"/>
        </w:rPr>
      </w:pPr>
      <w:r>
        <w:rPr>
          <w:rFonts w:ascii="Arial" w:cs="Arial" w:eastAsia="Arial" w:hAnsi="Arial"/>
          <w:sz w:val="18"/>
          <w:szCs w:val="18"/>
          <w:b w:val="1"/>
          <w:bCs w:val="1"/>
          <w:color w:val="0070C0"/>
        </w:rPr>
        <w:t>•</w:t>
      </w:r>
      <w:r>
        <w:rPr>
          <w:sz w:val="20"/>
          <w:szCs w:val="20"/>
          <w:color w:val="auto"/>
        </w:rPr>
        <w:tab/>
      </w:r>
      <w:r>
        <w:rPr>
          <w:rFonts w:ascii="Arial" w:cs="Arial" w:eastAsia="Arial" w:hAnsi="Arial"/>
          <w:sz w:val="18"/>
          <w:szCs w:val="18"/>
          <w:color w:val="auto"/>
        </w:rPr>
        <w:t>U.S. SPINRAZA revenue increased $93.2 million, from $153.2 million in 2025 to $246.4 million in 2026, or 60.8%, primarily driven by demand and stocking for the high-dose regimen as well as a favorable pricing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-527050</wp:posOffset>
            </wp:positionV>
            <wp:extent cx="2571750" cy="3703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71750" cy="3703320"/>
                    </a:xfrm>
                    <a:prstGeom prst="rect">
                      <a:avLst/>
                    </a:prstGeom>
                    <a:noFill/>
                  </pic:spPr>
                </pic:pic>
              </a:graphicData>
            </a:graphic>
          </wp:anchor>
        </w:drawing>
      </w:r>
    </w:p>
    <w:p>
      <w:pPr>
        <w:ind w:left="5860" w:right="240" w:hanging="323"/>
        <w:spacing w:after="0" w:line="259" w:lineRule="auto"/>
        <w:tabs>
          <w:tab w:leader="none" w:pos="5840" w:val="left"/>
        </w:tabs>
        <w:rPr>
          <w:sz w:val="20"/>
          <w:szCs w:val="20"/>
          <w:color w:val="auto"/>
        </w:rPr>
      </w:pPr>
      <w:r>
        <w:rPr>
          <w:rFonts w:ascii="Arial" w:cs="Arial" w:eastAsia="Arial" w:hAnsi="Arial"/>
          <w:sz w:val="18"/>
          <w:szCs w:val="18"/>
          <w:b w:val="1"/>
          <w:bCs w:val="1"/>
          <w:color w:val="0070C0"/>
        </w:rPr>
        <w:t>•</w:t>
      </w:r>
      <w:r>
        <w:rPr>
          <w:sz w:val="20"/>
          <w:szCs w:val="20"/>
          <w:color w:val="auto"/>
        </w:rPr>
        <w:tab/>
      </w:r>
      <w:r>
        <w:rPr>
          <w:rFonts w:ascii="Arial" w:cs="Arial" w:eastAsia="Arial" w:hAnsi="Arial"/>
          <w:sz w:val="18"/>
          <w:szCs w:val="18"/>
          <w:color w:val="auto"/>
        </w:rPr>
        <w:t>Rest of world SPINRAZA revenue decreased $6.6 million, from $220.8 million in 2025 to $214.2 million in 2026, or 3.0%, primarily due to unfavorable inventory dynamics resulting from timing of shipments of SPINRAZA in certain international markets, partially offset by the launch of high-dose regimen.</w:t>
      </w:r>
    </w:p>
    <w:p>
      <w:pPr>
        <w:spacing w:after="0" w:line="17" w:lineRule="exact"/>
        <w:rPr>
          <w:sz w:val="20"/>
          <w:szCs w:val="20"/>
          <w:color w:val="auto"/>
        </w:rPr>
      </w:pPr>
    </w:p>
    <w:p>
      <w:pPr>
        <w:ind w:left="5860" w:right="120" w:hanging="323"/>
        <w:spacing w:after="0" w:line="259" w:lineRule="auto"/>
        <w:tabs>
          <w:tab w:leader="none" w:pos="5840" w:val="left"/>
        </w:tabs>
        <w:rPr>
          <w:sz w:val="20"/>
          <w:szCs w:val="20"/>
          <w:color w:val="auto"/>
        </w:rPr>
      </w:pPr>
      <w:r>
        <w:rPr>
          <w:rFonts w:ascii="Arial" w:cs="Arial" w:eastAsia="Arial" w:hAnsi="Arial"/>
          <w:sz w:val="18"/>
          <w:szCs w:val="18"/>
          <w:b w:val="1"/>
          <w:bCs w:val="1"/>
          <w:color w:val="0070C0"/>
        </w:rPr>
        <w:t>•</w:t>
      </w:r>
      <w:r>
        <w:rPr>
          <w:rFonts w:ascii="Arial" w:cs="Arial" w:eastAsia="Arial" w:hAnsi="Arial"/>
          <w:sz w:val="18"/>
          <w:szCs w:val="18"/>
          <w:b w:val="1"/>
          <w:bCs w:val="1"/>
          <w:color w:val="auto"/>
        </w:rPr>
        <w:tab/>
        <w:t xml:space="preserve">The global </w:t>
      </w:r>
      <w:r>
        <w:rPr>
          <w:rFonts w:ascii="Arial" w:cs="Arial" w:eastAsia="Arial" w:hAnsi="Arial"/>
          <w:sz w:val="18"/>
          <w:szCs w:val="18"/>
          <w:color w:val="auto"/>
        </w:rPr>
        <w:t>results for the third quarter of 2026 reflect rapid</w:t>
      </w:r>
      <w:r>
        <w:rPr>
          <w:rFonts w:ascii="Arial" w:cs="Arial" w:eastAsia="Arial" w:hAnsi="Arial"/>
          <w:sz w:val="18"/>
          <w:szCs w:val="18"/>
          <w:b w:val="1"/>
          <w:bCs w:val="1"/>
          <w:color w:val="auto"/>
        </w:rPr>
        <w:t xml:space="preserve"> </w:t>
      </w:r>
      <w:r>
        <w:rPr>
          <w:rFonts w:ascii="Arial" w:cs="Arial" w:eastAsia="Arial" w:hAnsi="Arial"/>
          <w:sz w:val="18"/>
          <w:szCs w:val="18"/>
          <w:color w:val="auto"/>
        </w:rPr>
        <w:t>patient conversion to the high-dose regimen and the higher benefit of a one-time transition dose for patients converting from low-dose SPINRAZA. As the conversion cohort matures and dosing patterns normalize, we expect revenue to normalize.</w:t>
      </w:r>
    </w:p>
    <w:p>
      <w:pPr>
        <w:spacing w:after="0" w:line="17" w:lineRule="exact"/>
        <w:rPr>
          <w:sz w:val="20"/>
          <w:szCs w:val="20"/>
          <w:color w:val="auto"/>
        </w:rPr>
      </w:pPr>
    </w:p>
    <w:p>
      <w:pPr>
        <w:ind w:left="5860" w:right="60" w:hanging="323"/>
        <w:spacing w:after="0" w:line="259" w:lineRule="auto"/>
        <w:tabs>
          <w:tab w:leader="none" w:pos="5840" w:val="left"/>
        </w:tabs>
        <w:rPr>
          <w:sz w:val="20"/>
          <w:szCs w:val="20"/>
          <w:color w:val="auto"/>
        </w:rPr>
      </w:pPr>
      <w:r>
        <w:rPr>
          <w:rFonts w:ascii="Arial" w:cs="Arial" w:eastAsia="Arial" w:hAnsi="Arial"/>
          <w:sz w:val="18"/>
          <w:szCs w:val="18"/>
          <w:color w:val="0070C0"/>
        </w:rPr>
        <w:t>•</w:t>
      </w:r>
      <w:r>
        <w:rPr>
          <w:rFonts w:ascii="Arial" w:cs="Arial" w:eastAsia="Arial" w:hAnsi="Arial"/>
          <w:sz w:val="18"/>
          <w:szCs w:val="18"/>
          <w:color w:val="auto"/>
        </w:rPr>
        <w:tab/>
        <w:t>Global SKYCLARYS revenue increased $45.3 million, from $132.9 million in 2025 to $178.2 million in 2026, or 34.1%, primarily related to an increase in global demand primarily driven by the continued launch in Europe and certain other international markets.</w:t>
      </w:r>
    </w:p>
    <w:p>
      <w:pPr>
        <w:spacing w:after="0" w:line="17" w:lineRule="exact"/>
        <w:rPr>
          <w:sz w:val="20"/>
          <w:szCs w:val="20"/>
          <w:color w:val="auto"/>
        </w:rPr>
      </w:pPr>
    </w:p>
    <w:p>
      <w:pPr>
        <w:ind w:left="5860" w:hanging="323"/>
        <w:spacing w:after="0" w:line="262" w:lineRule="auto"/>
        <w:tabs>
          <w:tab w:leader="none" w:pos="5840" w:val="left"/>
        </w:tabs>
        <w:rPr>
          <w:sz w:val="20"/>
          <w:szCs w:val="20"/>
          <w:color w:val="auto"/>
        </w:rPr>
      </w:pPr>
      <w:r>
        <w:rPr>
          <w:rFonts w:ascii="Arial" w:cs="Arial" w:eastAsia="Arial" w:hAnsi="Arial"/>
          <w:sz w:val="18"/>
          <w:szCs w:val="18"/>
          <w:color w:val="0070C0"/>
        </w:rPr>
        <w:t>•</w:t>
      </w:r>
      <w:r>
        <w:rPr>
          <w:rFonts w:ascii="Arial" w:cs="Arial" w:eastAsia="Arial" w:hAnsi="Arial"/>
          <w:sz w:val="18"/>
          <w:szCs w:val="18"/>
          <w:color w:val="auto"/>
        </w:rPr>
        <w:tab/>
        <w:t>Global QALSODY revenue increased $11.1 million, from $26.4 million in 2025 to $37.5 million in 2026, or 42.0%, primarily related to an increase in rest of world sales volumes driven by the continued launch in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578485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860" w:right="200" w:hanging="323"/>
        <w:spacing w:after="0" w:line="268" w:lineRule="auto"/>
        <w:tabs>
          <w:tab w:leader="none" w:pos="5840" w:val="left"/>
        </w:tabs>
        <w:rPr>
          <w:sz w:val="20"/>
          <w:szCs w:val="20"/>
          <w:color w:val="auto"/>
        </w:rPr>
      </w:pPr>
      <w:r>
        <w:rPr>
          <w:rFonts w:ascii="Arial" w:cs="Arial" w:eastAsia="Arial" w:hAnsi="Arial"/>
          <w:sz w:val="18"/>
          <w:szCs w:val="18"/>
          <w:b w:val="1"/>
          <w:bCs w:val="1"/>
          <w:color w:val="0070C0"/>
        </w:rPr>
        <w:t>•</w:t>
      </w:r>
      <w:r>
        <w:rPr>
          <w:sz w:val="20"/>
          <w:szCs w:val="20"/>
          <w:color w:val="auto"/>
        </w:rPr>
        <w:tab/>
      </w:r>
      <w:r>
        <w:rPr>
          <w:rFonts w:ascii="Arial" w:cs="Arial" w:eastAsia="Arial" w:hAnsi="Arial"/>
          <w:sz w:val="18"/>
          <w:szCs w:val="18"/>
          <w:color w:val="auto"/>
        </w:rPr>
        <w:t>U.S. SPINRAZA revenue increased $136.0 million, from $456.9 million in 2025 to $592.9 million in 2026, or 29.8% primarily driven by demand and stocking for the high-dose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2571750" cy="2957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71750" cy="2957195"/>
                    </a:xfrm>
                    <a:prstGeom prst="rect">
                      <a:avLst/>
                    </a:prstGeom>
                    <a:noFill/>
                  </pic:spPr>
                </pic:pic>
              </a:graphicData>
            </a:graphic>
          </wp:anchor>
        </w:drawing>
      </w:r>
    </w:p>
    <w:p>
      <w:pPr>
        <w:ind w:left="5860" w:right="140" w:hanging="323"/>
        <w:spacing w:after="0" w:line="257" w:lineRule="auto"/>
        <w:tabs>
          <w:tab w:leader="none" w:pos="5840" w:val="left"/>
        </w:tabs>
        <w:rPr>
          <w:sz w:val="20"/>
          <w:szCs w:val="20"/>
          <w:color w:val="auto"/>
        </w:rPr>
      </w:pPr>
      <w:r>
        <w:rPr>
          <w:rFonts w:ascii="Arial" w:cs="Arial" w:eastAsia="Arial" w:hAnsi="Arial"/>
          <w:sz w:val="18"/>
          <w:szCs w:val="18"/>
          <w:b w:val="1"/>
          <w:bCs w:val="1"/>
          <w:color w:val="0070C0"/>
        </w:rPr>
        <w:t>•</w:t>
      </w:r>
      <w:r>
        <w:rPr>
          <w:sz w:val="20"/>
          <w:szCs w:val="20"/>
          <w:color w:val="auto"/>
        </w:rPr>
        <w:tab/>
      </w:r>
      <w:r>
        <w:rPr>
          <w:rFonts w:ascii="Arial" w:cs="Arial" w:eastAsia="Arial" w:hAnsi="Arial"/>
          <w:sz w:val="18"/>
          <w:szCs w:val="18"/>
          <w:color w:val="auto"/>
        </w:rPr>
        <w:t>Rest of world SPINRAZA revenue decreased $90.1 million, from $733.7 million in 2025 to $643.6 million in 2026, or 12.3%, primarily due to unfavorable inventory dynamics resulting from timing of shipments of SPINRAZA in certain international markets, partially offset by the favorable impact of foreign currency exchange.</w:t>
      </w:r>
    </w:p>
    <w:p>
      <w:pPr>
        <w:spacing w:after="0" w:line="20" w:lineRule="exact"/>
        <w:rPr>
          <w:sz w:val="20"/>
          <w:szCs w:val="20"/>
          <w:color w:val="auto"/>
        </w:rPr>
      </w:pPr>
    </w:p>
    <w:p>
      <w:pPr>
        <w:ind w:left="5860" w:right="60" w:hanging="323"/>
        <w:spacing w:after="0" w:line="259" w:lineRule="auto"/>
        <w:tabs>
          <w:tab w:leader="none" w:pos="5840" w:val="left"/>
        </w:tabs>
        <w:rPr>
          <w:sz w:val="20"/>
          <w:szCs w:val="20"/>
          <w:color w:val="auto"/>
        </w:rPr>
      </w:pPr>
      <w:r>
        <w:rPr>
          <w:rFonts w:ascii="Arial" w:cs="Arial" w:eastAsia="Arial" w:hAnsi="Arial"/>
          <w:sz w:val="18"/>
          <w:szCs w:val="18"/>
          <w:b w:val="1"/>
          <w:bCs w:val="1"/>
          <w:color w:val="0070C0"/>
        </w:rPr>
        <w:t>•</w:t>
      </w:r>
      <w:r>
        <w:rPr>
          <w:sz w:val="20"/>
          <w:szCs w:val="20"/>
          <w:color w:val="auto"/>
        </w:rPr>
        <w:tab/>
      </w:r>
      <w:r>
        <w:rPr>
          <w:rFonts w:ascii="Arial" w:cs="Arial" w:eastAsia="Arial" w:hAnsi="Arial"/>
          <w:sz w:val="18"/>
          <w:szCs w:val="18"/>
          <w:color w:val="auto"/>
        </w:rPr>
        <w:t>Global SKYCLARYS revenue increased $109.7 million, from $387.1 million in 2025 to $496.8 million in 2026, or 28.3%, primarily related to an increase in global demand primarily driven by the continued launch in Europe and certain other international markets.</w:t>
      </w:r>
    </w:p>
    <w:p>
      <w:pPr>
        <w:spacing w:after="0" w:line="17" w:lineRule="exact"/>
        <w:rPr>
          <w:sz w:val="20"/>
          <w:szCs w:val="20"/>
          <w:color w:val="auto"/>
        </w:rPr>
      </w:pPr>
    </w:p>
    <w:p>
      <w:pPr>
        <w:ind w:left="5860" w:hanging="323"/>
        <w:spacing w:after="0" w:line="262" w:lineRule="auto"/>
        <w:tabs>
          <w:tab w:leader="none" w:pos="5840" w:val="left"/>
        </w:tabs>
        <w:rPr>
          <w:sz w:val="20"/>
          <w:szCs w:val="20"/>
          <w:color w:val="auto"/>
        </w:rPr>
      </w:pPr>
      <w:r>
        <w:rPr>
          <w:rFonts w:ascii="Arial" w:cs="Arial" w:eastAsia="Arial" w:hAnsi="Arial"/>
          <w:sz w:val="18"/>
          <w:szCs w:val="18"/>
          <w:b w:val="1"/>
          <w:bCs w:val="1"/>
          <w:color w:val="0070C0"/>
        </w:rPr>
        <w:t>•</w:t>
      </w:r>
      <w:r>
        <w:rPr>
          <w:sz w:val="20"/>
          <w:szCs w:val="20"/>
          <w:color w:val="auto"/>
        </w:rPr>
        <w:tab/>
      </w:r>
      <w:r>
        <w:rPr>
          <w:rFonts w:ascii="Arial" w:cs="Arial" w:eastAsia="Arial" w:hAnsi="Arial"/>
          <w:sz w:val="18"/>
          <w:szCs w:val="18"/>
          <w:color w:val="auto"/>
        </w:rPr>
        <w:t>Global QALSODY revenue increased $40.0 million, from $61.9 million in 2025 to $101.9 million in 2026, or 64.6%, primarily related to an increase in rest of world sales volumes driven by the continued launch in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Rare disease revenue includes sales from SPINRAZA, QALSODY and SKYCLARYS.</w:t>
      </w:r>
    </w:p>
    <w:p>
      <w:pPr>
        <w:sectPr>
          <w:pgSz w:w="11900" w:h="16838" w:orient="portrait"/>
          <w:cols w:equalWidth="0" w:num="1">
            <w:col w:w="11120"/>
          </w:cols>
          <w:pgMar w:left="320" w:top="130" w:right="4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color w:val="0070C0"/>
        </w:rPr>
        <w:t>SPECIALIZED IMMUNOLOGY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3" w:lineRule="exact"/>
        <w:rPr>
          <w:sz w:val="20"/>
          <w:szCs w:val="20"/>
          <w:color w:val="auto"/>
        </w:rPr>
      </w:pPr>
    </w:p>
    <w:p>
      <w:pPr>
        <w:ind w:left="5860" w:hanging="323"/>
        <w:spacing w:after="0" w:line="271" w:lineRule="auto"/>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In connection with our acquisition of Apellis on May 14, 2026, we acquired SYFOVRE (pegcetacoplan injection) for the treatment of GA, an immune-mediated retinal disease and EMPAVELI (pegcetacoplan) for the treatment of PNH, a rare blood disorder, and C3G and IC-MPGN, rare immune-mediated kidney diseases. U.S. revenue for SYFOVRE and EMPAVELI were $ 191.3 million and $51.5 million, respectively for the three months ended September 30, 2026 and $288.7 million and $81.9 million, respectively, for the 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-1249045</wp:posOffset>
            </wp:positionV>
            <wp:extent cx="2571750" cy="3703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71750" cy="3703320"/>
                    </a:xfrm>
                    <a:prstGeom prst="rect">
                      <a:avLst/>
                    </a:prstGeom>
                    <a:noFill/>
                  </pic:spPr>
                </pic:pic>
              </a:graphicData>
            </a:graphic>
          </wp:anchor>
        </w:drawing>
      </w:r>
    </w:p>
    <w:p>
      <w:pPr>
        <w:spacing w:after="0" w:line="289" w:lineRule="exact"/>
        <w:rPr>
          <w:sz w:val="20"/>
          <w:szCs w:val="20"/>
          <w:color w:val="auto"/>
        </w:rPr>
      </w:pPr>
    </w:p>
    <w:p>
      <w:pPr>
        <w:ind w:left="5900" w:right="320"/>
        <w:spacing w:after="0" w:line="268" w:lineRule="auto"/>
        <w:rPr>
          <w:sz w:val="20"/>
          <w:szCs w:val="20"/>
          <w:color w:val="auto"/>
        </w:rPr>
      </w:pPr>
      <w:r>
        <w:rPr>
          <w:rFonts w:ascii="Arial" w:cs="Arial" w:eastAsia="Arial" w:hAnsi="Arial"/>
          <w:sz w:val="18"/>
          <w:szCs w:val="18"/>
          <w:color w:val="auto"/>
        </w:rPr>
        <w:t xml:space="preserve">For additional information on our acquisition of Apellis,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condensed consolidated financial statements included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1963420</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color w:val="0070C0"/>
        </w:rPr>
        <w:t>BIOSIMILARS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9" w:lineRule="exact"/>
        <w:rPr>
          <w:sz w:val="20"/>
          <w:szCs w:val="20"/>
          <w:color w:val="auto"/>
        </w:rPr>
      </w:pPr>
    </w:p>
    <w:p>
      <w:pPr>
        <w:ind w:left="5840" w:right="400" w:hanging="323"/>
        <w:spacing w:after="0" w:line="257" w:lineRule="auto"/>
        <w:tabs>
          <w:tab w:leader="none" w:pos="5820" w:val="left"/>
        </w:tabs>
        <w:rPr>
          <w:sz w:val="20"/>
          <w:szCs w:val="20"/>
          <w:color w:val="auto"/>
        </w:rPr>
      </w:pPr>
      <w:r>
        <w:rPr>
          <w:rFonts w:ascii="Arial" w:cs="Arial" w:eastAsia="Arial" w:hAnsi="Arial"/>
          <w:sz w:val="18"/>
          <w:szCs w:val="18"/>
          <w:b w:val="1"/>
          <w:bCs w:val="1"/>
          <w:i w:val="1"/>
          <w:iCs w:val="1"/>
          <w:color w:val="0070C0"/>
        </w:rPr>
        <w:t>•</w:t>
      </w:r>
      <w:r>
        <w:rPr>
          <w:sz w:val="20"/>
          <w:szCs w:val="20"/>
          <w:color w:val="auto"/>
        </w:rPr>
        <w:tab/>
      </w:r>
      <w:r>
        <w:rPr>
          <w:rFonts w:ascii="Arial" w:cs="Arial" w:eastAsia="Arial" w:hAnsi="Arial"/>
          <w:sz w:val="18"/>
          <w:szCs w:val="18"/>
          <w:color w:val="auto"/>
        </w:rPr>
        <w:t>For the three and nine months ended September 30, 2026, compared to the same periods in 2025, the decreases in biosimilar revenue were primarily due to a decrease in sales volume and unfavorable pricing resulting from competition, partially offset by the favorable impact of foreign currency exchange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-831850</wp:posOffset>
            </wp:positionV>
            <wp:extent cx="7132320" cy="52292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522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Biosimilars revenue includes sales from BENEPALI, IMRALDI, FLIXABI, BYOOVIZ and TOFIDENCE. In 2025 we completed the sale of our rights to TOFIDENCE and BYOOVIZ.</w:t>
      </w:r>
    </w:p>
    <w:p>
      <w:pPr>
        <w:spacing w:after="0" w:line="200" w:lineRule="exact"/>
        <w:rPr>
          <w:sz w:val="20"/>
          <w:szCs w:val="20"/>
          <w:color w:val="auto"/>
        </w:rPr>
      </w:pP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22"/>
          <w:szCs w:val="22"/>
          <w:color w:val="0070C0"/>
        </w:rPr>
        <w:t>OTHER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ZURZUVAE</w:t>
      </w:r>
    </w:p>
    <w:p>
      <w:pPr>
        <w:spacing w:after="0" w:line="16" w:lineRule="exact"/>
        <w:rPr>
          <w:sz w:val="20"/>
          <w:szCs w:val="20"/>
          <w:color w:val="auto"/>
        </w:rPr>
      </w:pPr>
    </w:p>
    <w:p>
      <w:pPr>
        <w:ind w:left="5840" w:hanging="323"/>
        <w:spacing w:after="0" w:line="252" w:lineRule="auto"/>
        <w:tabs>
          <w:tab w:leader="none" w:pos="5820" w:val="left"/>
        </w:tabs>
        <w:rPr>
          <w:sz w:val="20"/>
          <w:szCs w:val="20"/>
          <w:color w:val="auto"/>
        </w:rPr>
      </w:pPr>
      <w:r>
        <w:rPr>
          <w:rFonts w:ascii="Arial" w:cs="Arial" w:eastAsia="Arial" w:hAnsi="Arial"/>
          <w:sz w:val="18"/>
          <w:szCs w:val="18"/>
          <w:b w:val="1"/>
          <w:bCs w:val="1"/>
          <w:i w:val="1"/>
          <w:iCs w:val="1"/>
          <w:color w:val="0070C0"/>
        </w:rPr>
        <w:t>•</w:t>
      </w:r>
      <w:r>
        <w:rPr>
          <w:sz w:val="20"/>
          <w:szCs w:val="20"/>
          <w:color w:val="auto"/>
        </w:rPr>
        <w:tab/>
      </w:r>
      <w:r>
        <w:rPr>
          <w:rFonts w:ascii="Arial" w:cs="Arial" w:eastAsia="Arial" w:hAnsi="Arial"/>
          <w:sz w:val="18"/>
          <w:szCs w:val="18"/>
          <w:color w:val="auto"/>
        </w:rPr>
        <w:t>For three months ended September 30, 2026, global ZURZUVAE revenue increased $29.1 million, from $55.3 million in 2025 to $84.4 million in 2026, or 52.6%. For nine months ended September 30, 2026, global ZURZUVAE revenue increased $81.2 million, from $ 129.4 million in 2025 to $210.6 million in 2026 or 62.8%. The increases were primarily due to higher demand resulting from an increase in total patients in the U.S. We anticipate growth in U.S. ZURZUVAE revenue as we expect total patients to continue to increase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-1172210</wp:posOffset>
            </wp:positionV>
            <wp:extent cx="2434590" cy="3703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3459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0" w:right="5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REVENUE FROM ANTI-CD20 THERAPEUTIC PROGRAMS</w:t>
      </w:r>
    </w:p>
    <w:p>
      <w:pPr>
        <w:spacing w:after="0" w:line="10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share of RITUXAN, including RITUXAN HYCELA, GAZYVA and LUNSUMIO collaboration operating profits in the U.S., royalty revenue on sales of OCREVUS and other revenue from anti-CD20 therapeutic programs are summarized in the table below. For purposes of this discussion, we refer to RITUXAN and RITUXAN HYCELA collectively as RITUXAN.</w:t>
      </w:r>
    </w:p>
    <w:tbl>
      <w:tblPr>
        <w:tblLayout w:type="fixed"/>
        <w:tblInd w:w="0" w:type="dxa"/>
        <w:tblCellMar>
          <w:top w:w="0" w:type="dxa"/>
          <w:left w:w="0" w:type="dxa"/>
          <w:bottom w:w="0" w:type="dxa"/>
          <w:right w:w="0" w:type="dxa"/>
        </w:tblCellMar>
      </w:tblPr>
      <w:tr>
        <w:trPr>
          <w:trHeight w:val="153"/>
        </w:trPr>
        <w:tc>
          <w:tcPr>
            <w:tcW w:w="6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5"/>
          </w:tcPr>
          <w:p>
            <w:pPr>
              <w:jc w:val="center"/>
              <w:ind w:right="280"/>
              <w:spacing w:after="0" w:line="153" w:lineRule="exact"/>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3"/>
                <w:szCs w:val="13"/>
                <w:color w:val="auto"/>
              </w:rPr>
            </w:pPr>
          </w:p>
        </w:tc>
        <w:tc>
          <w:tcPr>
            <w:tcW w:w="2260" w:type="dxa"/>
            <w:vAlign w:val="bottom"/>
            <w:gridSpan w:val="4"/>
          </w:tcPr>
          <w:p>
            <w:pPr>
              <w:jc w:val="right"/>
              <w:ind w:right="208"/>
              <w:spacing w:after="0" w:line="153" w:lineRule="exact"/>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6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6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98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257ACB"/>
              </w:rPr>
              <w:t>2026</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r>
      <w:tr>
        <w:trPr>
          <w:trHeight w:val="189"/>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Royalty revenue on sales of OCREVUS</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369.9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386.4</w:t>
            </w:r>
          </w:p>
        </w:tc>
        <w:tc>
          <w:tcPr>
            <w:tcW w:w="100" w:type="dxa"/>
            <w:vAlign w:val="bottom"/>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1,068.5</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1,029.0</w:t>
            </w:r>
          </w:p>
        </w:tc>
      </w:tr>
      <w:tr>
        <w:trPr>
          <w:trHeight w:val="203"/>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338.7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292.4</w:t>
            </w:r>
          </w:p>
        </w:tc>
      </w:tr>
      <w:tr>
        <w:trPr>
          <w:trHeight w:val="206"/>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1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22.7</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r>
      <w:tr>
        <w:trPr>
          <w:trHeight w:val="220"/>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Total revenue from anti-CD20 therapeutic programs</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497.3</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493.9</w:t>
            </w:r>
          </w:p>
        </w:tc>
        <w:tc>
          <w:tcPr>
            <w:tcW w:w="100" w:type="dxa"/>
            <w:vAlign w:val="bottom"/>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1,429.9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1,339.4</w:t>
            </w: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ROYALTY REVENUE ON SALES OF OCREVUS</w:t>
      </w:r>
    </w:p>
    <w:p>
      <w:pPr>
        <w:spacing w:after="0" w:line="10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the three months ended September 30, 2026, compared to the same period in 2025, royalty revenue on sales of OCREVUS remained relatively consistent. For the nine months ended September 30, 2026, compared to the same period in 2025, the increase in royalty revenue on sales of OCREVUS was primarily due to sales growth of OCREVUS in the U.S.</w:t>
      </w:r>
    </w:p>
    <w:p>
      <w:pPr>
        <w:spacing w:after="0" w:line="6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BIOGEN'S SHARE OF PRE-TAX PROFITS IN THE U.S. FOR RITUXAN, GAZYVA AND LUNSUMIO</w:t>
      </w:r>
    </w:p>
    <w:p>
      <w:pPr>
        <w:spacing w:after="0" w:line="106"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For the three and nine months ended September 30, 2026, compared to the same periods in 2025, the increases in our share of pre-tax profits in the U.S. for RITUXAN, GAZYVA and LUNSUMIO were primarily due to increases in sales volumes.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OTHER REVENUE FROM ANTI-CD20 THERAPEUTIC PROGRAMS</w:t>
      </w:r>
    </w:p>
    <w:p>
      <w:pPr>
        <w:spacing w:after="0" w:line="10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Other revenue from anti-CD20 therapeutic programs consists of our share of pre-tax co-promotion profits from RITUXAN in Canada, royalty revenue on sales of LUNSUMIO outside the U.S. and royalty revenue on net sales of COLUMVI in the U.S.</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For additional information on our collaboration arrangements with Genentech, including information regarding the pre-tax profit-sharing formula and its impact on future revenue from anti-CD20 therapeutic programs,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70C0"/>
        </w:rPr>
        <w:t>ALZHEIMER'S COLLABORATION REVENUE</w:t>
      </w:r>
    </w:p>
    <w:p>
      <w:pPr>
        <w:spacing w:after="0" w:line="11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Alzheimer's collaboration revenue consists of our 50.0% share of LEQEMBI product revenue, net and cost of sales, including royalties, as we are not the principal. We began recognizing Alzheimer's collaboration revenue upon the accelerated approval of LEQEMBI in the U.S. during the first quarter of 2023.</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and nine months ended September 30, 2026, we recognized Alzheimer's collaboration revenue of approximately $68.4 million and $191.6 million, respectively, compared to $42.7 million and $130.6 million, respectively, in the prior year comparative periods. The increases were primarily due to higher sales volumes driven by the continued launch of LEQEMBI in the U.S. and international markets. Additionally, the second quarter of 2025 reflects the favorable impact from the timing of shipments to China as we optimized our global inventory positions.</w:t>
      </w:r>
    </w:p>
    <w:p>
      <w:pPr>
        <w:spacing w:after="0" w:line="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CONTRACT MANUFACTURING, ROYALTY AND OTHER REVENUE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royalty and other revenue is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2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6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spacing w:after="0"/>
              <w:rPr>
                <w:sz w:val="16"/>
                <w:szCs w:val="16"/>
                <w:color w:val="auto"/>
              </w:rPr>
            </w:pPr>
          </w:p>
        </w:tc>
        <w:tc>
          <w:tcPr>
            <w:tcW w:w="100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2026</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DDDDD"/>
          </w:tcPr>
          <w:p>
            <w:pPr>
              <w:spacing w:after="0"/>
              <w:rPr>
                <w:sz w:val="16"/>
                <w:szCs w:val="16"/>
                <w:color w:val="auto"/>
              </w:rPr>
            </w:pPr>
          </w:p>
        </w:tc>
        <w:tc>
          <w:tcPr>
            <w:tcW w:w="1000" w:type="dxa"/>
            <w:vAlign w:val="bottom"/>
            <w:tcBorders>
              <w:top w:val="single" w:sz="8" w:color="auto"/>
              <w:bottom w:val="single" w:sz="8" w:color="auto"/>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257ACB"/>
              </w:rPr>
              <w:t>2026</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r>
      <w:tr>
        <w:trPr>
          <w:trHeight w:val="189"/>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135.9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141.5</w:t>
            </w:r>
          </w:p>
        </w:tc>
        <w:tc>
          <w:tcPr>
            <w:tcW w:w="120" w:type="dxa"/>
            <w:vAlign w:val="bottom"/>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605.5</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648.8</w:t>
            </w:r>
          </w:p>
        </w:tc>
      </w:tr>
      <w:tr>
        <w:trPr>
          <w:trHeight w:val="207"/>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Royalty and other revenue</w:t>
            </w: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13.8</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33.5</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r>
      <w:tr>
        <w:trPr>
          <w:trHeight w:val="220"/>
        </w:trPr>
        <w:tc>
          <w:tcPr>
            <w:tcW w:w="6280" w:type="dxa"/>
            <w:vAlign w:val="bottom"/>
            <w:gridSpan w:val="2"/>
          </w:tcPr>
          <w:p>
            <w:pPr>
              <w:ind w:left="140"/>
              <w:spacing w:after="0"/>
              <w:rPr>
                <w:sz w:val="20"/>
                <w:szCs w:val="20"/>
                <w:color w:val="auto"/>
              </w:rPr>
            </w:pPr>
            <w:r>
              <w:rPr>
                <w:rFonts w:ascii="Arial" w:cs="Arial" w:eastAsia="Arial" w:hAnsi="Arial"/>
                <w:sz w:val="14"/>
                <w:szCs w:val="14"/>
                <w:color w:val="auto"/>
              </w:rPr>
              <w:t>Total contract manufacturing, royalty and other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149.7</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151.2</w:t>
            </w:r>
          </w:p>
        </w:tc>
        <w:tc>
          <w:tcPr>
            <w:tcW w:w="120" w:type="dxa"/>
            <w:vAlign w:val="bottom"/>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639.0</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689.1</w:t>
            </w:r>
          </w:p>
        </w:tc>
      </w:tr>
      <w:tr>
        <w:trPr>
          <w:trHeight w:val="20"/>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CONTRACT MANUFACTURING REVENUE</w:t>
      </w:r>
    </w:p>
    <w:p>
      <w:pPr>
        <w:spacing w:after="0" w:line="13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Contract manufacturing revenue primarily reflects amounts earned under contract manufacturing agreements with our strategic customers and batches of LEQEMBI related to our collaboration with Eisai.</w:t>
      </w:r>
    </w:p>
    <w:p>
      <w:pPr>
        <w:spacing w:after="0" w:line="4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For the three and nine months ended September 30, 2026, compared to the same periods in 2025, the decreases in contract manufacturing revenue were primarily driven by the timing of batch releases partially offset by the contract manufacturing business acquired as part of our acquisition of Apellis.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ROYALTY AND OTHER REVENUE</w:t>
      </w:r>
    </w:p>
    <w:p>
      <w:pPr>
        <w:spacing w:after="0" w:line="11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Royalty and other revenue primarily reflects royalty revenue on biosimilar products from our license arrangements with Samsung Bioepis and royalties we receive from net sales on products related to patents that we have out-licensed, including arrangements with Sobi that we inherited through our acquisition of Apellis.</w:t>
      </w:r>
    </w:p>
    <w:p>
      <w:pPr>
        <w:spacing w:after="0" w:line="6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For additional information on our license arrangements with Samsung Bioepis and our collaboration arrangements with Eisai, please read </w:t>
      </w:r>
      <w:r>
        <w:rPr>
          <w:rFonts w:ascii="Arial" w:cs="Arial" w:eastAsia="Arial" w:hAnsi="Arial"/>
          <w:sz w:val="18"/>
          <w:szCs w:val="18"/>
          <w:i w:val="1"/>
          <w:iCs w:val="1"/>
          <w:color w:val="auto"/>
        </w:rPr>
        <w:t xml:space="preserve">Note 19, Collaborative and Other Relationships, </w:t>
      </w:r>
      <w:r>
        <w:rPr>
          <w:rFonts w:ascii="Arial" w:cs="Arial" w:eastAsia="Arial" w:hAnsi="Arial"/>
          <w:sz w:val="18"/>
          <w:szCs w:val="18"/>
          <w:color w:val="auto"/>
        </w:rPr>
        <w:t>to our condensed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RESERVES FOR DISCOUNTS AND ALLOWANCES</w:t>
      </w:r>
    </w:p>
    <w:p>
      <w:pPr>
        <w:spacing w:after="0" w:line="11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Revenue from product sales is recorded net of reserves established for applicable discounts and allowances, including those associated with the implementation of pricing actions in certain international markets where we operate.</w:t>
      </w:r>
    </w:p>
    <w:p>
      <w:pPr>
        <w:spacing w:after="0" w:line="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IRA's drug pricing controls and Medicare Part D redesign have had an adverse impact on our sales, particularly for our products that are more substantially reliant on Medicare reimbursement. The IRA Medicare Part D redesign had a modest net unfavorable impact to our revenue, concentrated in our SKYCLARYS and MS portfolio product revenue.</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degree of impact from this legislation on our business depends on a number of forthcoming implementation actions by regulatory authorities, which may be further impacted by other legislative acts that may modify or replace the IRA. The full extent of the IRA's impact on our sales and, in turn, our business, remains uncertain.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Reserves for discounts, contractual adjustments and returns that reduced gross product revenue are summarized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2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6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6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98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0070C0"/>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0070C0"/>
              </w:rPr>
              <w:t>2026</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r>
      <w:tr>
        <w:trPr>
          <w:trHeight w:val="189"/>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Contractual adjustments</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725.7</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632.2</w:t>
            </w:r>
          </w:p>
        </w:tc>
        <w:tc>
          <w:tcPr>
            <w:tcW w:w="100" w:type="dxa"/>
            <w:vAlign w:val="bottom"/>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2,008.6</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1,970.6</w:t>
            </w:r>
          </w:p>
        </w:tc>
      </w:tr>
      <w:tr>
        <w:trPr>
          <w:trHeight w:val="203"/>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Discounts</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225.2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213.7</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663.0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609.2</w:t>
            </w:r>
          </w:p>
        </w:tc>
      </w:tr>
      <w:tr>
        <w:trPr>
          <w:trHeight w:val="206"/>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Returns</w:t>
            </w:r>
          </w:p>
        </w:tc>
        <w:tc>
          <w:tcPr>
            <w:tcW w:w="1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39.3</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r>
      <w:tr>
        <w:trPr>
          <w:trHeight w:val="220"/>
        </w:trPr>
        <w:tc>
          <w:tcPr>
            <w:tcW w:w="6280" w:type="dxa"/>
            <w:vAlign w:val="bottom"/>
            <w:gridSpan w:val="2"/>
          </w:tcPr>
          <w:p>
            <w:pPr>
              <w:ind w:left="240"/>
              <w:spacing w:after="0"/>
              <w:rPr>
                <w:sz w:val="20"/>
                <w:szCs w:val="20"/>
                <w:color w:val="auto"/>
              </w:rPr>
            </w:pPr>
            <w:r>
              <w:rPr>
                <w:rFonts w:ascii="Arial" w:cs="Arial" w:eastAsia="Arial" w:hAnsi="Arial"/>
                <w:sz w:val="14"/>
                <w:szCs w:val="14"/>
                <w:color w:val="auto"/>
              </w:rPr>
              <w:t>Total discounts and allowances</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963.1</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849.4</w:t>
            </w:r>
          </w:p>
        </w:tc>
        <w:tc>
          <w:tcPr>
            <w:tcW w:w="100" w:type="dxa"/>
            <w:vAlign w:val="bottom"/>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2,710.9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2,601.5</w:t>
            </w: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For the three and nine months ended September 30, 2026, reserves for discounts and allowances as a percentage of gross product revenue were approximately 31.7% and 31.9%, respectively, compared to 31.2% and 32.0%, respectively, in the prior year comparative periods.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CONTRACTUAL ADJUSTMENTS</w:t>
      </w:r>
    </w:p>
    <w:p>
      <w:pPr>
        <w:spacing w:after="0" w:line="124" w:lineRule="exact"/>
        <w:rPr>
          <w:sz w:val="20"/>
          <w:szCs w:val="20"/>
          <w:color w:val="auto"/>
        </w:rPr>
      </w:pPr>
    </w:p>
    <w:p>
      <w:pPr>
        <w:ind w:right="300"/>
        <w:spacing w:after="0" w:line="318" w:lineRule="auto"/>
        <w:rPr>
          <w:sz w:val="20"/>
          <w:szCs w:val="20"/>
          <w:color w:val="auto"/>
        </w:rPr>
      </w:pPr>
      <w:r>
        <w:rPr>
          <w:rFonts w:ascii="Arial" w:cs="Arial" w:eastAsia="Arial" w:hAnsi="Arial"/>
          <w:sz w:val="17"/>
          <w:szCs w:val="17"/>
          <w:color w:val="auto"/>
        </w:rPr>
        <w:t>Contractual adjustments primarily relate to Medicaid and managed care rebates in the U.S., pharmacy rebates, co-payment (copay) assistance, VA, 340B discounts, GPO rebates, specialty pharmacy program fees and other government rebates or applicable allowances.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the three months ended September 30, 2026, compared to the same period in 2025, the increase in contractual adjustments was primarily driven by higher GPO rebates resulting from the sale of SYFOVRE and EMPAVELI subsequent to our acquisition of Apellis, as well as, higher Medicaid and managed care rebates in the U.S. due to favorable changes in estimates in 2025.</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the nine months ended September 30, 2026, compared to the same period in 2025, the increase in contractual adjustments was primarily driven by GPO rebates and other rebates resulting from the sale of SYFOVRE and EMPAVELI subsequent to our acquisition of Apellis, partially offset by favorable changes in estimates primarily due to lower Medicaid rebates in the U.S. and lower rebates in rest of world markets.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DISCOUNTS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Discounts include trade term discounts, wholesaler incentives and volume related discounts.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For the three months ended September 30, 2026, compared to the same period in 2025, the increase in discounts was primarily driven by higher discounts recorded resulting from the sale of SYFOVRE and EMPAVELI subsequent to our acquisition of Apellis.</w:t>
      </w:r>
    </w:p>
    <w:p>
      <w:pPr>
        <w:spacing w:after="0" w:line="45"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For the nine months ended September 30, 2026, compared to the same period in 2025, the increase in discounts was primarily driven by higher discounts recorded resulting from the sale of SYFOVRE and EMPAVELI subsequent to our acquisition of Apellis as well as higher volume discounts in the U.S. and higher discounts in rest of world.</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RETURNS</w:t>
      </w:r>
    </w:p>
    <w:p>
      <w:pPr>
        <w:spacing w:after="0" w:line="110"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Product return reserves are established for returns made by wholesalers. In accordance with contractual terms, wholesalers are permitted to return product for reasons such as damaged or expired product. The majority of wholesaler returns are due to product expiration. Provisions for estimated product returns are recognized in the period the related revenue is recognized, resulting in a reduction to product sales.</w:t>
      </w:r>
    </w:p>
    <w:p>
      <w:pPr>
        <w:spacing w:after="0" w:line="4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For the three and nine months ended September 30, 2026, compared to the same period in 2025, the increases in returns were primarily driven by higher returns in the U.S.</w:t>
      </w:r>
    </w:p>
    <w:p>
      <w:pPr>
        <w:spacing w:after="0" w:line="5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 xml:space="preserve">For additional information on our revenue reserves, please read </w:t>
      </w:r>
      <w:r>
        <w:rPr>
          <w:rFonts w:ascii="Arial" w:cs="Arial" w:eastAsia="Arial" w:hAnsi="Arial"/>
          <w:sz w:val="18"/>
          <w:szCs w:val="18"/>
          <w:i w:val="1"/>
          <w:iCs w:val="1"/>
          <w:color w:val="auto"/>
        </w:rPr>
        <w:t>Note 5, Revenue,</w:t>
      </w:r>
      <w:r>
        <w:rPr>
          <w:rFonts w:ascii="Arial" w:cs="Arial" w:eastAsia="Arial" w:hAnsi="Arial"/>
          <w:sz w:val="18"/>
          <w:szCs w:val="18"/>
          <w:color w:val="auto"/>
        </w:rPr>
        <w:t xml:space="preserve"> to our condensed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FF"/>
        </w:rPr>
        <w:t>Table of Content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0070C0"/>
        </w:rPr>
        <w:t>COST AND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total cost and expense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7"/>
                <w:szCs w:val="17"/>
                <w:color w:val="auto"/>
              </w:rPr>
            </w:pPr>
          </w:p>
        </w:tc>
      </w:tr>
      <w:tr>
        <w:trPr>
          <w:trHeight w:val="190"/>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Cost of sales, excluding amortization and impairment of acquired intangible assets</w:t>
            </w:r>
          </w:p>
        </w:tc>
        <w:tc>
          <w:tcPr>
            <w:tcW w:w="220" w:type="dxa"/>
            <w:vAlign w:val="bottom"/>
          </w:tcPr>
          <w:p>
            <w:pPr>
              <w:jc w:val="right"/>
              <w:spacing w:after="0"/>
              <w:rPr>
                <w:sz w:val="20"/>
                <w:szCs w:val="20"/>
                <w:color w:val="auto"/>
              </w:rPr>
            </w:pPr>
            <w:r>
              <w:rPr>
                <w:rFonts w:ascii="Arial" w:cs="Arial" w:eastAsia="Arial" w:hAnsi="Arial"/>
                <w:sz w:val="14"/>
                <w:szCs w:val="14"/>
                <w:color w:val="257ACB"/>
              </w:rPr>
              <w:t>$</w:t>
            </w:r>
          </w:p>
        </w:tc>
      </w:tr>
      <w:tr>
        <w:trPr>
          <w:trHeight w:val="203"/>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220" w:type="dxa"/>
            <w:vAlign w:val="bottom"/>
          </w:tcPr>
          <w:p>
            <w:pPr>
              <w:spacing w:after="0"/>
              <w:rPr>
                <w:sz w:val="17"/>
                <w:szCs w:val="17"/>
                <w:color w:val="auto"/>
              </w:rPr>
            </w:pPr>
          </w:p>
        </w:tc>
      </w:tr>
      <w:tr>
        <w:trPr>
          <w:trHeight w:val="203"/>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Acquired in-process research and development, upfront and milestone expense</w:t>
            </w:r>
          </w:p>
        </w:tc>
        <w:tc>
          <w:tcPr>
            <w:tcW w:w="220" w:type="dxa"/>
            <w:vAlign w:val="bottom"/>
          </w:tcPr>
          <w:p>
            <w:pPr>
              <w:spacing w:after="0"/>
              <w:rPr>
                <w:sz w:val="17"/>
                <w:szCs w:val="17"/>
                <w:color w:val="auto"/>
              </w:rPr>
            </w:pPr>
          </w:p>
        </w:tc>
      </w:tr>
      <w:tr>
        <w:trPr>
          <w:trHeight w:val="203"/>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tcPr>
          <w:p>
            <w:pPr>
              <w:spacing w:after="0"/>
              <w:rPr>
                <w:sz w:val="17"/>
                <w:szCs w:val="17"/>
                <w:color w:val="auto"/>
              </w:rPr>
            </w:pPr>
          </w:p>
        </w:tc>
      </w:tr>
      <w:tr>
        <w:trPr>
          <w:trHeight w:val="203"/>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Amortization and impairment of acquired intangible assets</w:t>
            </w:r>
          </w:p>
        </w:tc>
        <w:tc>
          <w:tcPr>
            <w:tcW w:w="220" w:type="dxa"/>
            <w:vAlign w:val="bottom"/>
          </w:tcPr>
          <w:p>
            <w:pPr>
              <w:spacing w:after="0"/>
              <w:rPr>
                <w:sz w:val="17"/>
                <w:szCs w:val="17"/>
                <w:color w:val="auto"/>
              </w:rPr>
            </w:pPr>
          </w:p>
        </w:tc>
      </w:tr>
      <w:tr>
        <w:trPr>
          <w:trHeight w:val="203"/>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Collaboration profit sharing/(loss reimbursement)</w:t>
            </w:r>
          </w:p>
        </w:tc>
        <w:tc>
          <w:tcPr>
            <w:tcW w:w="220" w:type="dxa"/>
            <w:vAlign w:val="bottom"/>
          </w:tcPr>
          <w:p>
            <w:pPr>
              <w:spacing w:after="0"/>
              <w:rPr>
                <w:sz w:val="17"/>
                <w:szCs w:val="17"/>
                <w:color w:val="auto"/>
              </w:rPr>
            </w:pPr>
          </w:p>
        </w:tc>
      </w:tr>
      <w:tr>
        <w:trPr>
          <w:trHeight w:val="203"/>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(Gain) loss on fair value remeasurement of contingent consideration</w:t>
            </w:r>
          </w:p>
        </w:tc>
        <w:tc>
          <w:tcPr>
            <w:tcW w:w="220" w:type="dxa"/>
            <w:vAlign w:val="bottom"/>
          </w:tcPr>
          <w:p>
            <w:pPr>
              <w:spacing w:after="0"/>
              <w:rPr>
                <w:sz w:val="17"/>
                <w:szCs w:val="17"/>
                <w:color w:val="auto"/>
              </w:rPr>
            </w:pPr>
          </w:p>
        </w:tc>
      </w:tr>
      <w:tr>
        <w:trPr>
          <w:trHeight w:val="203"/>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220" w:type="dxa"/>
            <w:vAlign w:val="bottom"/>
          </w:tcPr>
          <w:p>
            <w:pPr>
              <w:spacing w:after="0"/>
              <w:rPr>
                <w:sz w:val="17"/>
                <w:szCs w:val="17"/>
                <w:color w:val="auto"/>
              </w:rPr>
            </w:pPr>
          </w:p>
        </w:tc>
      </w:tr>
      <w:tr>
        <w:trPr>
          <w:trHeight w:val="203"/>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Other (income) expense, net</w:t>
            </w:r>
          </w:p>
        </w:tc>
        <w:tc>
          <w:tcPr>
            <w:tcW w:w="220" w:type="dxa"/>
            <w:vAlign w:val="bottom"/>
          </w:tcPr>
          <w:p>
            <w:pPr>
              <w:spacing w:after="0"/>
              <w:rPr>
                <w:sz w:val="17"/>
                <w:szCs w:val="17"/>
                <w:color w:val="auto"/>
              </w:rPr>
            </w:pPr>
          </w:p>
        </w:tc>
      </w:tr>
      <w:tr>
        <w:trPr>
          <w:trHeight w:val="243"/>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Total cost and expense</w:t>
            </w:r>
          </w:p>
        </w:tc>
        <w:tc>
          <w:tcPr>
            <w:tcW w:w="220" w:type="dxa"/>
            <w:vAlign w:val="bottom"/>
          </w:tcPr>
          <w:p>
            <w:pPr>
              <w:jc w:val="right"/>
              <w:spacing w:after="0"/>
              <w:rPr>
                <w:sz w:val="20"/>
                <w:szCs w:val="20"/>
                <w:color w:val="auto"/>
              </w:rPr>
            </w:pPr>
            <w:r>
              <w:rPr>
                <w:rFonts w:ascii="Arial" w:cs="Arial" w:eastAsia="Arial" w:hAnsi="Arial"/>
                <w:sz w:val="14"/>
                <w:szCs w:val="14"/>
                <w:color w:val="257ACB"/>
              </w:rPr>
              <w:t>$</w:t>
            </w:r>
          </w:p>
        </w:tc>
      </w:tr>
      <w:tr>
        <w:trPr>
          <w:trHeight w:val="695"/>
        </w:trPr>
        <w:tc>
          <w:tcPr>
            <w:tcW w:w="5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24"/>
                <w:szCs w:val="24"/>
                <w:color w:val="auto"/>
              </w:rPr>
            </w:pPr>
          </w:p>
        </w:tc>
      </w:tr>
      <w:tr>
        <w:trPr>
          <w:trHeight w:val="190"/>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Cost of sales, excluding amortization and impairment of acquired intangible assets</w:t>
            </w:r>
          </w:p>
        </w:tc>
        <w:tc>
          <w:tcPr>
            <w:tcW w:w="220" w:type="dxa"/>
            <w:vAlign w:val="bottom"/>
          </w:tcPr>
          <w:p>
            <w:pPr>
              <w:jc w:val="right"/>
              <w:spacing w:after="0"/>
              <w:rPr>
                <w:sz w:val="20"/>
                <w:szCs w:val="20"/>
                <w:color w:val="auto"/>
              </w:rPr>
            </w:pPr>
            <w:r>
              <w:rPr>
                <w:rFonts w:ascii="Arial" w:cs="Arial" w:eastAsia="Arial" w:hAnsi="Arial"/>
                <w:sz w:val="14"/>
                <w:szCs w:val="14"/>
                <w:color w:val="257ACB"/>
              </w:rPr>
              <w:t>$</w:t>
            </w:r>
          </w:p>
        </w:tc>
      </w:tr>
      <w:tr>
        <w:trPr>
          <w:trHeight w:val="203"/>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Research and development</w:t>
            </w:r>
          </w:p>
        </w:tc>
        <w:tc>
          <w:tcPr>
            <w:tcW w:w="220" w:type="dxa"/>
            <w:vAlign w:val="bottom"/>
          </w:tcPr>
          <w:p>
            <w:pPr>
              <w:spacing w:after="0"/>
              <w:rPr>
                <w:sz w:val="17"/>
                <w:szCs w:val="17"/>
                <w:color w:val="auto"/>
              </w:rPr>
            </w:pPr>
          </w:p>
        </w:tc>
      </w:tr>
      <w:tr>
        <w:trPr>
          <w:trHeight w:val="203"/>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Acquired in-process research and development, upfront and milestone expense</w:t>
            </w:r>
          </w:p>
        </w:tc>
        <w:tc>
          <w:tcPr>
            <w:tcW w:w="220" w:type="dxa"/>
            <w:vAlign w:val="bottom"/>
          </w:tcPr>
          <w:p>
            <w:pPr>
              <w:spacing w:after="0"/>
              <w:rPr>
                <w:sz w:val="17"/>
                <w:szCs w:val="17"/>
                <w:color w:val="auto"/>
              </w:rPr>
            </w:pPr>
          </w:p>
        </w:tc>
      </w:tr>
      <w:tr>
        <w:trPr>
          <w:trHeight w:val="203"/>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tcPr>
          <w:p>
            <w:pPr>
              <w:spacing w:after="0"/>
              <w:rPr>
                <w:sz w:val="17"/>
                <w:szCs w:val="17"/>
                <w:color w:val="auto"/>
              </w:rPr>
            </w:pPr>
          </w:p>
        </w:tc>
      </w:tr>
      <w:tr>
        <w:trPr>
          <w:trHeight w:val="203"/>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Amortization and impairment of acquired intangible assets</w:t>
            </w:r>
          </w:p>
        </w:tc>
        <w:tc>
          <w:tcPr>
            <w:tcW w:w="220" w:type="dxa"/>
            <w:vAlign w:val="bottom"/>
          </w:tcPr>
          <w:p>
            <w:pPr>
              <w:spacing w:after="0"/>
              <w:rPr>
                <w:sz w:val="17"/>
                <w:szCs w:val="17"/>
                <w:color w:val="auto"/>
              </w:rPr>
            </w:pPr>
          </w:p>
        </w:tc>
      </w:tr>
      <w:tr>
        <w:trPr>
          <w:trHeight w:val="203"/>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Collaboration profit sharing/(loss reimbursement)</w:t>
            </w:r>
          </w:p>
        </w:tc>
        <w:tc>
          <w:tcPr>
            <w:tcW w:w="220" w:type="dxa"/>
            <w:vAlign w:val="bottom"/>
          </w:tcPr>
          <w:p>
            <w:pPr>
              <w:spacing w:after="0"/>
              <w:rPr>
                <w:sz w:val="17"/>
                <w:szCs w:val="17"/>
                <w:color w:val="auto"/>
              </w:rPr>
            </w:pPr>
          </w:p>
        </w:tc>
      </w:tr>
      <w:tr>
        <w:trPr>
          <w:trHeight w:val="203"/>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(Gain) loss on fair value remeasurement of contingent consideration</w:t>
            </w:r>
          </w:p>
        </w:tc>
        <w:tc>
          <w:tcPr>
            <w:tcW w:w="220" w:type="dxa"/>
            <w:vAlign w:val="bottom"/>
          </w:tcPr>
          <w:p>
            <w:pPr>
              <w:spacing w:after="0"/>
              <w:rPr>
                <w:sz w:val="17"/>
                <w:szCs w:val="17"/>
                <w:color w:val="auto"/>
              </w:rPr>
            </w:pPr>
          </w:p>
        </w:tc>
      </w:tr>
      <w:tr>
        <w:trPr>
          <w:trHeight w:val="203"/>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Restructuring charges</w:t>
            </w:r>
          </w:p>
        </w:tc>
        <w:tc>
          <w:tcPr>
            <w:tcW w:w="220" w:type="dxa"/>
            <w:vAlign w:val="bottom"/>
          </w:tcPr>
          <w:p>
            <w:pPr>
              <w:spacing w:after="0"/>
              <w:rPr>
                <w:sz w:val="17"/>
                <w:szCs w:val="17"/>
                <w:color w:val="auto"/>
              </w:rPr>
            </w:pPr>
          </w:p>
        </w:tc>
      </w:tr>
      <w:tr>
        <w:trPr>
          <w:trHeight w:val="202"/>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Other (income) expense, net</w:t>
            </w:r>
          </w:p>
        </w:tc>
        <w:tc>
          <w:tcPr>
            <w:tcW w:w="220" w:type="dxa"/>
            <w:vAlign w:val="bottom"/>
          </w:tcPr>
          <w:p>
            <w:pPr>
              <w:spacing w:after="0"/>
              <w:rPr>
                <w:sz w:val="17"/>
                <w:szCs w:val="17"/>
                <w:color w:val="auto"/>
              </w:rPr>
            </w:pPr>
          </w:p>
        </w:tc>
      </w:tr>
      <w:tr>
        <w:trPr>
          <w:trHeight w:val="243"/>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Total cost and expense</w:t>
            </w:r>
          </w:p>
        </w:tc>
        <w:tc>
          <w:tcPr>
            <w:tcW w:w="220" w:type="dxa"/>
            <w:vAlign w:val="bottom"/>
          </w:tcPr>
          <w:p>
            <w:pPr>
              <w:jc w:val="right"/>
              <w:spacing w:after="0"/>
              <w:rPr>
                <w:sz w:val="20"/>
                <w:szCs w:val="20"/>
                <w:color w:val="auto"/>
              </w:rPr>
            </w:pPr>
            <w:r>
              <w:rPr>
                <w:rFonts w:ascii="Arial" w:cs="Arial" w:eastAsia="Arial" w:hAnsi="Arial"/>
                <w:sz w:val="14"/>
                <w:szCs w:val="14"/>
                <w:color w:val="257ACB"/>
              </w:rPr>
              <w:t>$</w:t>
            </w:r>
          </w:p>
        </w:tc>
      </w:tr>
      <w:tr>
        <w:trPr>
          <w:trHeight w:val="224"/>
        </w:trPr>
        <w:tc>
          <w:tcPr>
            <w:tcW w:w="3820" w:type="dxa"/>
            <w:vAlign w:val="bottom"/>
            <w:tcBorders>
              <w:bottom w:val="single" w:sz="8" w:color="auto"/>
            </w:tcBorders>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26"/>
        </w:trPr>
        <w:tc>
          <w:tcPr>
            <w:tcW w:w="5480" w:type="dxa"/>
            <w:vAlign w:val="bottom"/>
            <w:gridSpan w:val="2"/>
          </w:tcPr>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tc>
        <w:tc>
          <w:tcPr>
            <w:tcW w:w="220" w:type="dxa"/>
            <w:vAlign w:val="bottom"/>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23495</wp:posOffset>
            </wp:positionV>
            <wp:extent cx="3583305"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83305" cy="13716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0" w:type="dxa"/>
            <w:vAlign w:val="bottom"/>
          </w:tcPr>
          <w:p>
            <w:pPr>
              <w:jc w:val="right"/>
              <w:ind w:right="428"/>
              <w:spacing w:after="0"/>
              <w:rPr>
                <w:sz w:val="20"/>
                <w:szCs w:val="20"/>
                <w:color w:val="auto"/>
              </w:rPr>
            </w:pPr>
            <w:r>
              <w:rPr>
                <w:rFonts w:ascii="Arial" w:cs="Arial" w:eastAsia="Arial" w:hAnsi="Arial"/>
                <w:sz w:val="14"/>
                <w:szCs w:val="14"/>
                <w:b w:val="1"/>
                <w:bCs w:val="1"/>
                <w:color w:val="257ACB"/>
                <w:w w:val="96"/>
              </w:rPr>
              <w:t>2026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0070C0"/>
              </w:rPr>
              <w:t>$ Change</w:t>
            </w:r>
          </w:p>
        </w:tc>
        <w:tc>
          <w:tcPr>
            <w:tcW w:w="80" w:type="dxa"/>
            <w:vAlign w:val="bottom"/>
          </w:tcPr>
          <w:p>
            <w:pPr>
              <w:spacing w:after="0"/>
              <w:rPr>
                <w:sz w:val="17"/>
                <w:szCs w:val="17"/>
                <w:color w:val="auto"/>
              </w:rPr>
            </w:pPr>
          </w:p>
        </w:tc>
        <w:tc>
          <w:tcPr>
            <w:tcW w:w="1440" w:type="dxa"/>
            <w:vAlign w:val="bottom"/>
            <w:tcBorders>
              <w:bottom w:val="single" w:sz="8" w:color="auto"/>
            </w:tcBorders>
            <w:gridSpan w:val="2"/>
            <w:shd w:val="clear" w:color="auto" w:fill="DBDBDB"/>
          </w:tcPr>
          <w:p>
            <w:pPr>
              <w:jc w:val="right"/>
              <w:ind w:right="288"/>
              <w:spacing w:after="0"/>
              <w:rPr>
                <w:sz w:val="20"/>
                <w:szCs w:val="20"/>
                <w:color w:val="auto"/>
              </w:rPr>
            </w:pPr>
            <w:r>
              <w:rPr>
                <w:rFonts w:ascii="Arial" w:cs="Arial" w:eastAsia="Arial" w:hAnsi="Arial"/>
                <w:sz w:val="14"/>
                <w:szCs w:val="14"/>
                <w:b w:val="1"/>
                <w:bCs w:val="1"/>
                <w:color w:val="0070C0"/>
              </w:rPr>
              <w:t>% Change</w:t>
            </w:r>
          </w:p>
        </w:tc>
      </w:tr>
      <w:tr>
        <w:trPr>
          <w:trHeight w:val="188"/>
        </w:trPr>
        <w:tc>
          <w:tcPr>
            <w:tcW w:w="820" w:type="dxa"/>
            <w:vAlign w:val="bottom"/>
          </w:tcPr>
          <w:p>
            <w:pPr>
              <w:jc w:val="right"/>
              <w:ind w:right="8"/>
              <w:spacing w:after="0"/>
              <w:rPr>
                <w:sz w:val="20"/>
                <w:szCs w:val="20"/>
                <w:color w:val="auto"/>
              </w:rPr>
            </w:pPr>
            <w:r>
              <w:rPr>
                <w:rFonts w:ascii="Arial" w:cs="Arial" w:eastAsia="Arial" w:hAnsi="Arial"/>
                <w:sz w:val="14"/>
                <w:szCs w:val="14"/>
                <w:color w:val="257ACB"/>
              </w:rPr>
              <w:t>748.4</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674.4</w:t>
            </w:r>
          </w:p>
        </w:tc>
        <w:tc>
          <w:tcPr>
            <w:tcW w:w="80" w:type="dxa"/>
            <w:vAlign w:val="bottom"/>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rPr>
              <w:t>$</w:t>
            </w: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74.0</w:t>
            </w:r>
          </w:p>
        </w:tc>
        <w:tc>
          <w:tcPr>
            <w:tcW w:w="80" w:type="dxa"/>
            <w:vAlign w:val="bottom"/>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r>
      <w:tr>
        <w:trPr>
          <w:trHeight w:val="203"/>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574.0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436.1</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137.9</w:t>
            </w:r>
          </w:p>
        </w:tc>
        <w:tc>
          <w:tcPr>
            <w:tcW w:w="80" w:type="dxa"/>
            <w:vAlign w:val="bottom"/>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31.6</w:t>
            </w:r>
          </w:p>
        </w:tc>
        <w:tc>
          <w:tcPr>
            <w:tcW w:w="140" w:type="dxa"/>
            <w:vAlign w:val="bottom"/>
            <w:shd w:val="clear" w:color="auto" w:fill="DBDBDB"/>
          </w:tcPr>
          <w:p>
            <w:pPr>
              <w:spacing w:after="0"/>
              <w:rPr>
                <w:sz w:val="17"/>
                <w:szCs w:val="17"/>
                <w:color w:val="auto"/>
              </w:rPr>
            </w:pPr>
          </w:p>
        </w:tc>
      </w:tr>
      <w:tr>
        <w:trPr>
          <w:trHeight w:val="203"/>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0070C0"/>
              </w:rPr>
              <w:t>283.8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281.7</w:t>
            </w:r>
          </w:p>
        </w:tc>
        <w:tc>
          <w:tcPr>
            <w:tcW w:w="80" w:type="dxa"/>
            <w:vAlign w:val="bottom"/>
          </w:tcPr>
          <w:p>
            <w:pPr>
              <w:spacing w:after="0"/>
              <w:rPr>
                <w:sz w:val="17"/>
                <w:szCs w:val="17"/>
                <w:color w:val="auto"/>
              </w:rPr>
            </w:pPr>
          </w:p>
        </w:tc>
        <w:tc>
          <w:tcPr>
            <w:tcW w:w="144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r>
      <w:tr>
        <w:trPr>
          <w:trHeight w:val="203"/>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752.0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594.8</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157.2</w:t>
            </w:r>
          </w:p>
        </w:tc>
        <w:tc>
          <w:tcPr>
            <w:tcW w:w="80" w:type="dxa"/>
            <w:vAlign w:val="bottom"/>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26.4</w:t>
            </w:r>
          </w:p>
        </w:tc>
        <w:tc>
          <w:tcPr>
            <w:tcW w:w="140" w:type="dxa"/>
            <w:vAlign w:val="bottom"/>
            <w:shd w:val="clear" w:color="auto" w:fill="DBDBDB"/>
          </w:tcPr>
          <w:p>
            <w:pPr>
              <w:spacing w:after="0"/>
              <w:rPr>
                <w:sz w:val="17"/>
                <w:szCs w:val="17"/>
                <w:color w:val="auto"/>
              </w:rPr>
            </w:pPr>
          </w:p>
        </w:tc>
      </w:tr>
      <w:tr>
        <w:trPr>
          <w:trHeight w:val="203"/>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172.8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135.7</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37.1</w:t>
            </w:r>
          </w:p>
        </w:tc>
        <w:tc>
          <w:tcPr>
            <w:tcW w:w="80" w:type="dxa"/>
            <w:vAlign w:val="bottom"/>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27.3</w:t>
            </w:r>
          </w:p>
        </w:tc>
        <w:tc>
          <w:tcPr>
            <w:tcW w:w="140" w:type="dxa"/>
            <w:vAlign w:val="bottom"/>
            <w:shd w:val="clear" w:color="auto" w:fill="DBDBDB"/>
          </w:tcPr>
          <w:p>
            <w:pPr>
              <w:spacing w:after="0"/>
              <w:rPr>
                <w:sz w:val="17"/>
                <w:szCs w:val="17"/>
                <w:color w:val="auto"/>
              </w:rPr>
            </w:pPr>
          </w:p>
        </w:tc>
      </w:tr>
      <w:tr>
        <w:trPr>
          <w:trHeight w:val="203"/>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77.8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87.2</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(9.4)</w:t>
            </w:r>
          </w:p>
        </w:tc>
        <w:tc>
          <w:tcPr>
            <w:tcW w:w="80" w:type="dxa"/>
            <w:vAlign w:val="bottom"/>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(10.8)</w:t>
            </w:r>
          </w:p>
        </w:tc>
        <w:tc>
          <w:tcPr>
            <w:tcW w:w="140" w:type="dxa"/>
            <w:vAlign w:val="bottom"/>
            <w:shd w:val="clear" w:color="auto" w:fill="DBDBDB"/>
          </w:tcPr>
          <w:p>
            <w:pPr>
              <w:spacing w:after="0"/>
              <w:rPr>
                <w:sz w:val="17"/>
                <w:szCs w:val="17"/>
                <w:color w:val="auto"/>
              </w:rPr>
            </w:pPr>
          </w:p>
        </w:tc>
      </w:tr>
      <w:tr>
        <w:trPr>
          <w:trHeight w:val="203"/>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(5.2)</w:t>
            </w:r>
          </w:p>
        </w:tc>
        <w:tc>
          <w:tcPr>
            <w:tcW w:w="80" w:type="dxa"/>
            <w:vAlign w:val="bottom"/>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(92.9)</w:t>
            </w:r>
          </w:p>
        </w:tc>
        <w:tc>
          <w:tcPr>
            <w:tcW w:w="140" w:type="dxa"/>
            <w:vAlign w:val="bottom"/>
            <w:shd w:val="clear" w:color="auto" w:fill="DBDBDB"/>
          </w:tcPr>
          <w:p>
            <w:pPr>
              <w:spacing w:after="0"/>
              <w:rPr>
                <w:sz w:val="17"/>
                <w:szCs w:val="17"/>
                <w:color w:val="auto"/>
              </w:rPr>
            </w:pPr>
          </w:p>
        </w:tc>
      </w:tr>
      <w:tr>
        <w:trPr>
          <w:trHeight w:val="203"/>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66.5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59.1</w:t>
            </w:r>
          </w:p>
        </w:tc>
        <w:tc>
          <w:tcPr>
            <w:tcW w:w="80" w:type="dxa"/>
            <w:vAlign w:val="bottom"/>
          </w:tcPr>
          <w:p>
            <w:pPr>
              <w:spacing w:after="0"/>
              <w:rPr>
                <w:sz w:val="17"/>
                <w:szCs w:val="17"/>
                <w:color w:val="auto"/>
              </w:rPr>
            </w:pPr>
          </w:p>
        </w:tc>
        <w:tc>
          <w:tcPr>
            <w:tcW w:w="144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r>
      <w:tr>
        <w:trPr>
          <w:trHeight w:val="204"/>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137.4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34.1</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103.3</w:t>
            </w:r>
          </w:p>
        </w:tc>
        <w:tc>
          <w:tcPr>
            <w:tcW w:w="80" w:type="dxa"/>
            <w:vAlign w:val="bottom"/>
          </w:tcPr>
          <w:p>
            <w:pPr>
              <w:spacing w:after="0"/>
              <w:rPr>
                <w:sz w:val="17"/>
                <w:szCs w:val="17"/>
                <w:color w:val="auto"/>
              </w:rPr>
            </w:pPr>
          </w:p>
        </w:tc>
        <w:tc>
          <w:tcPr>
            <w:tcW w:w="1440" w:type="dxa"/>
            <w:vAlign w:val="bottom"/>
            <w:tcBorders>
              <w:bottom w:val="single" w:sz="8" w:color="auto"/>
            </w:tcBorders>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r>
      <w:tr>
        <w:trPr>
          <w:trHeight w:val="218"/>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2,813.1</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1,977.4</w:t>
            </w:r>
          </w:p>
        </w:tc>
        <w:tc>
          <w:tcPr>
            <w:tcW w:w="80" w:type="dxa"/>
            <w:vAlign w:val="bottom"/>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rPr>
              <w:t>$</w:t>
            </w: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835.7</w:t>
            </w:r>
          </w:p>
        </w:tc>
        <w:tc>
          <w:tcPr>
            <w:tcW w:w="80" w:type="dxa"/>
            <w:vAlign w:val="bottom"/>
          </w:tcPr>
          <w:p>
            <w:pPr>
              <w:spacing w:after="0"/>
              <w:rPr>
                <w:sz w:val="19"/>
                <w:szCs w:val="19"/>
                <w:color w:val="auto"/>
              </w:rPr>
            </w:pPr>
          </w:p>
        </w:tc>
        <w:tc>
          <w:tcPr>
            <w:tcW w:w="14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42.3 %</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-1336675</wp:posOffset>
            </wp:positionV>
            <wp:extent cx="822960" cy="13373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2960" cy="1337310"/>
                    </a:xfrm>
                    <a:prstGeom prst="rect">
                      <a:avLst/>
                    </a:prstGeom>
                    <a:noFill/>
                  </pic:spPr>
                </pic:pic>
              </a:graphicData>
            </a:graphic>
          </wp:anchor>
        </w:drawing>
      </w:r>
    </w:p>
    <w:p>
      <w:pPr>
        <w:spacing w:after="0" w:line="227"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23495</wp:posOffset>
            </wp:positionV>
            <wp:extent cx="3583305" cy="14573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83305" cy="145732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0" w:type="dxa"/>
            <w:vAlign w:val="bottom"/>
          </w:tcPr>
          <w:p>
            <w:pPr>
              <w:jc w:val="right"/>
              <w:ind w:right="428"/>
              <w:spacing w:after="0"/>
              <w:rPr>
                <w:sz w:val="20"/>
                <w:szCs w:val="20"/>
                <w:color w:val="auto"/>
              </w:rPr>
            </w:pPr>
            <w:r>
              <w:rPr>
                <w:rFonts w:ascii="Arial" w:cs="Arial" w:eastAsia="Arial" w:hAnsi="Arial"/>
                <w:sz w:val="14"/>
                <w:szCs w:val="14"/>
                <w:b w:val="1"/>
                <w:bCs w:val="1"/>
                <w:color w:val="257ACB"/>
                <w:w w:val="96"/>
              </w:rPr>
              <w:t>2026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0070C0"/>
              </w:rPr>
              <w:t>$ Change</w:t>
            </w:r>
          </w:p>
        </w:tc>
        <w:tc>
          <w:tcPr>
            <w:tcW w:w="80" w:type="dxa"/>
            <w:vAlign w:val="bottom"/>
          </w:tcPr>
          <w:p>
            <w:pPr>
              <w:spacing w:after="0"/>
              <w:rPr>
                <w:sz w:val="17"/>
                <w:szCs w:val="17"/>
                <w:color w:val="auto"/>
              </w:rPr>
            </w:pPr>
          </w:p>
        </w:tc>
        <w:tc>
          <w:tcPr>
            <w:tcW w:w="1440" w:type="dxa"/>
            <w:vAlign w:val="bottom"/>
            <w:tcBorders>
              <w:bottom w:val="single" w:sz="8" w:color="auto"/>
            </w:tcBorders>
            <w:gridSpan w:val="2"/>
            <w:shd w:val="clear" w:color="auto" w:fill="DBDBDB"/>
          </w:tcPr>
          <w:p>
            <w:pPr>
              <w:jc w:val="right"/>
              <w:ind w:right="288"/>
              <w:spacing w:after="0"/>
              <w:rPr>
                <w:sz w:val="20"/>
                <w:szCs w:val="20"/>
                <w:color w:val="auto"/>
              </w:rPr>
            </w:pPr>
            <w:r>
              <w:rPr>
                <w:rFonts w:ascii="Arial" w:cs="Arial" w:eastAsia="Arial" w:hAnsi="Arial"/>
                <w:sz w:val="14"/>
                <w:szCs w:val="14"/>
                <w:b w:val="1"/>
                <w:bCs w:val="1"/>
                <w:color w:val="0070C0"/>
              </w:rPr>
              <w:t>% Change</w:t>
            </w:r>
          </w:p>
        </w:tc>
      </w:tr>
      <w:tr>
        <w:trPr>
          <w:trHeight w:val="188"/>
        </w:trPr>
        <w:tc>
          <w:tcPr>
            <w:tcW w:w="820" w:type="dxa"/>
            <w:vAlign w:val="bottom"/>
          </w:tcPr>
          <w:p>
            <w:pPr>
              <w:jc w:val="right"/>
              <w:ind w:right="8"/>
              <w:spacing w:after="0"/>
              <w:rPr>
                <w:sz w:val="20"/>
                <w:szCs w:val="20"/>
                <w:color w:val="auto"/>
              </w:rPr>
            </w:pPr>
            <w:r>
              <w:rPr>
                <w:rFonts w:ascii="Arial" w:cs="Arial" w:eastAsia="Arial" w:hAnsi="Arial"/>
                <w:sz w:val="14"/>
                <w:szCs w:val="14"/>
                <w:color w:val="257ACB"/>
              </w:rPr>
              <w:t>2,186.3</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1,908.7</w:t>
            </w:r>
          </w:p>
        </w:tc>
        <w:tc>
          <w:tcPr>
            <w:tcW w:w="80" w:type="dxa"/>
            <w:vAlign w:val="bottom"/>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rPr>
              <w:t>$</w:t>
            </w: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277.6</w:t>
            </w:r>
          </w:p>
        </w:tc>
        <w:tc>
          <w:tcPr>
            <w:tcW w:w="80" w:type="dxa"/>
            <w:vAlign w:val="bottom"/>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14.5</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r>
      <w:tr>
        <w:trPr>
          <w:trHeight w:val="203"/>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1,642.6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1,269.2</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373.4</w:t>
            </w:r>
          </w:p>
        </w:tc>
        <w:tc>
          <w:tcPr>
            <w:tcW w:w="80" w:type="dxa"/>
            <w:vAlign w:val="bottom"/>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29.4</w:t>
            </w:r>
          </w:p>
        </w:tc>
        <w:tc>
          <w:tcPr>
            <w:tcW w:w="140" w:type="dxa"/>
            <w:vAlign w:val="bottom"/>
            <w:shd w:val="clear" w:color="auto" w:fill="DBDBDB"/>
          </w:tcPr>
          <w:p>
            <w:pPr>
              <w:spacing w:after="0"/>
              <w:rPr>
                <w:sz w:val="17"/>
                <w:szCs w:val="17"/>
                <w:color w:val="auto"/>
              </w:rPr>
            </w:pPr>
          </w:p>
        </w:tc>
      </w:tr>
      <w:tr>
        <w:trPr>
          <w:trHeight w:val="203"/>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481.8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249.4</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232.4</w:t>
            </w:r>
          </w:p>
        </w:tc>
        <w:tc>
          <w:tcPr>
            <w:tcW w:w="80" w:type="dxa"/>
            <w:vAlign w:val="bottom"/>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93.2</w:t>
            </w:r>
          </w:p>
        </w:tc>
        <w:tc>
          <w:tcPr>
            <w:tcW w:w="140" w:type="dxa"/>
            <w:vAlign w:val="bottom"/>
            <w:shd w:val="clear" w:color="auto" w:fill="DBDBDB"/>
          </w:tcPr>
          <w:p>
            <w:pPr>
              <w:spacing w:after="0"/>
              <w:rPr>
                <w:sz w:val="17"/>
                <w:szCs w:val="17"/>
                <w:color w:val="auto"/>
              </w:rPr>
            </w:pPr>
          </w:p>
        </w:tc>
      </w:tr>
      <w:tr>
        <w:trPr>
          <w:trHeight w:val="203"/>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2,069.0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1,751.1</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317.9</w:t>
            </w:r>
          </w:p>
        </w:tc>
        <w:tc>
          <w:tcPr>
            <w:tcW w:w="80" w:type="dxa"/>
            <w:vAlign w:val="bottom"/>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18.2</w:t>
            </w:r>
          </w:p>
        </w:tc>
        <w:tc>
          <w:tcPr>
            <w:tcW w:w="140" w:type="dxa"/>
            <w:vAlign w:val="bottom"/>
            <w:shd w:val="clear" w:color="auto" w:fill="DBDBDB"/>
          </w:tcPr>
          <w:p>
            <w:pPr>
              <w:spacing w:after="0"/>
              <w:rPr>
                <w:sz w:val="17"/>
                <w:szCs w:val="17"/>
                <w:color w:val="auto"/>
              </w:rPr>
            </w:pPr>
          </w:p>
        </w:tc>
      </w:tr>
      <w:tr>
        <w:trPr>
          <w:trHeight w:val="203"/>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477.5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378.4</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99.1</w:t>
            </w:r>
          </w:p>
        </w:tc>
        <w:tc>
          <w:tcPr>
            <w:tcW w:w="80" w:type="dxa"/>
            <w:vAlign w:val="bottom"/>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26.2</w:t>
            </w:r>
          </w:p>
        </w:tc>
        <w:tc>
          <w:tcPr>
            <w:tcW w:w="140" w:type="dxa"/>
            <w:vAlign w:val="bottom"/>
            <w:shd w:val="clear" w:color="auto" w:fill="DBDBDB"/>
          </w:tcPr>
          <w:p>
            <w:pPr>
              <w:spacing w:after="0"/>
              <w:rPr>
                <w:sz w:val="17"/>
                <w:szCs w:val="17"/>
                <w:color w:val="auto"/>
              </w:rPr>
            </w:pPr>
          </w:p>
        </w:tc>
      </w:tr>
      <w:tr>
        <w:trPr>
          <w:trHeight w:val="203"/>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220.8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220.3</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0.5</w:t>
            </w:r>
          </w:p>
        </w:tc>
        <w:tc>
          <w:tcPr>
            <w:tcW w:w="80" w:type="dxa"/>
            <w:vAlign w:val="bottom"/>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0.2</w:t>
            </w:r>
          </w:p>
        </w:tc>
        <w:tc>
          <w:tcPr>
            <w:tcW w:w="140" w:type="dxa"/>
            <w:vAlign w:val="bottom"/>
            <w:shd w:val="clear" w:color="auto" w:fill="DBDBDB"/>
          </w:tcPr>
          <w:p>
            <w:pPr>
              <w:spacing w:after="0"/>
              <w:rPr>
                <w:sz w:val="17"/>
                <w:szCs w:val="17"/>
                <w:color w:val="auto"/>
              </w:rPr>
            </w:pPr>
          </w:p>
        </w:tc>
      </w:tr>
      <w:tr>
        <w:trPr>
          <w:trHeight w:val="203"/>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23.4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(5.0)</w:t>
            </w:r>
          </w:p>
        </w:tc>
        <w:tc>
          <w:tcPr>
            <w:tcW w:w="80" w:type="dxa"/>
            <w:vAlign w:val="bottom"/>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(17.6)</w:t>
            </w:r>
          </w:p>
        </w:tc>
        <w:tc>
          <w:tcPr>
            <w:tcW w:w="140" w:type="dxa"/>
            <w:vAlign w:val="bottom"/>
            <w:shd w:val="clear" w:color="auto" w:fill="DBDBDB"/>
          </w:tcPr>
          <w:p>
            <w:pPr>
              <w:spacing w:after="0"/>
              <w:rPr>
                <w:sz w:val="17"/>
                <w:szCs w:val="17"/>
                <w:color w:val="auto"/>
              </w:rPr>
            </w:pPr>
          </w:p>
        </w:tc>
      </w:tr>
      <w:tr>
        <w:trPr>
          <w:trHeight w:val="203"/>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239.8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42.0</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197.8</w:t>
            </w:r>
          </w:p>
        </w:tc>
        <w:tc>
          <w:tcPr>
            <w:tcW w:w="80" w:type="dxa"/>
            <w:vAlign w:val="bottom"/>
          </w:tcPr>
          <w:p>
            <w:pPr>
              <w:spacing w:after="0"/>
              <w:rPr>
                <w:sz w:val="17"/>
                <w:szCs w:val="17"/>
                <w:color w:val="auto"/>
              </w:rPr>
            </w:pPr>
          </w:p>
        </w:tc>
        <w:tc>
          <w:tcPr>
            <w:tcW w:w="144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r>
      <w:tr>
        <w:trPr>
          <w:trHeight w:val="204"/>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175.6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151.2</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24.4</w:t>
            </w:r>
          </w:p>
        </w:tc>
        <w:tc>
          <w:tcPr>
            <w:tcW w:w="80" w:type="dxa"/>
            <w:vAlign w:val="bottom"/>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16.1</w:t>
            </w:r>
          </w:p>
        </w:tc>
        <w:tc>
          <w:tcPr>
            <w:tcW w:w="140" w:type="dxa"/>
            <w:vAlign w:val="bottom"/>
            <w:tcBorders>
              <w:bottom w:val="single" w:sz="8" w:color="auto"/>
            </w:tcBorders>
            <w:shd w:val="clear" w:color="auto" w:fill="DBDBDB"/>
          </w:tcPr>
          <w:p>
            <w:pPr>
              <w:spacing w:after="0"/>
              <w:rPr>
                <w:sz w:val="17"/>
                <w:szCs w:val="17"/>
                <w:color w:val="auto"/>
              </w:rPr>
            </w:pPr>
          </w:p>
        </w:tc>
      </w:tr>
      <w:tr>
        <w:trPr>
          <w:trHeight w:val="219"/>
        </w:trPr>
        <w:tc>
          <w:tcPr>
            <w:tcW w:w="82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ACB"/>
              </w:rPr>
              <w:t>7,516.8</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5,998.7</w:t>
            </w:r>
          </w:p>
        </w:tc>
        <w:tc>
          <w:tcPr>
            <w:tcW w:w="80" w:type="dxa"/>
            <w:vAlign w:val="bottom"/>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rPr>
              <w:t>$</w:t>
            </w: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1,518.1</w:t>
            </w:r>
          </w:p>
        </w:tc>
        <w:tc>
          <w:tcPr>
            <w:tcW w:w="80" w:type="dxa"/>
            <w:vAlign w:val="bottom"/>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25.3</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highlight w:val="lightGray"/>
                <w:w w:val="79"/>
              </w:rPr>
              <w:t>%</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-8255</wp:posOffset>
            </wp:positionV>
            <wp:extent cx="8229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ectPr>
          <w:pgSz w:w="11900" w:h="16838" w:orient="portrait"/>
          <w:cols w:equalWidth="0" w:num="2">
            <w:col w:w="5720" w:space="360"/>
            <w:col w:w="5160"/>
          </w:cols>
          <w:pgMar w:left="320" w:top="130"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COST OF SALES, EXCLUDING AMORTIZATION AND IMPAIRMENT OF ACQUIRED INTANGIBLE ASSETS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2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6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5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6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980" w:type="dxa"/>
            <w:vAlign w:val="bottom"/>
            <w:tcBorders>
              <w:top w:val="single" w:sz="8" w:color="auto"/>
              <w:bottom w:val="single" w:sz="8" w:color="auto"/>
            </w:tcBorders>
            <w:shd w:val="clear" w:color="auto" w:fill="DBDBDB"/>
          </w:tcPr>
          <w:p>
            <w:pPr>
              <w:ind w:left="240"/>
              <w:spacing w:after="0"/>
              <w:rPr>
                <w:sz w:val="20"/>
                <w:szCs w:val="20"/>
                <w:color w:val="auto"/>
              </w:rPr>
            </w:pPr>
            <w:r>
              <w:rPr>
                <w:rFonts w:ascii="Arial" w:cs="Arial" w:eastAsia="Arial" w:hAnsi="Arial"/>
                <w:sz w:val="14"/>
                <w:szCs w:val="14"/>
                <w:b w:val="1"/>
                <w:bCs w:val="1"/>
                <w:color w:val="0070C0"/>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0070C0"/>
              </w:rPr>
              <w:t>2026</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r>
      <w:tr>
        <w:trPr>
          <w:trHeight w:val="189"/>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Product</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980" w:type="dxa"/>
            <w:vAlign w:val="bottom"/>
            <w:shd w:val="clear" w:color="auto" w:fill="DBDBDB"/>
          </w:tcPr>
          <w:p>
            <w:pPr>
              <w:ind w:left="560"/>
              <w:spacing w:after="0"/>
              <w:rPr>
                <w:sz w:val="20"/>
                <w:szCs w:val="20"/>
                <w:color w:val="auto"/>
              </w:rPr>
            </w:pPr>
            <w:r>
              <w:rPr>
                <w:rFonts w:ascii="Arial" w:cs="Arial" w:eastAsia="Arial" w:hAnsi="Arial"/>
                <w:sz w:val="14"/>
                <w:szCs w:val="14"/>
                <w:color w:val="0070C0"/>
              </w:rPr>
              <w:t>541.6</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384.0</w:t>
            </w:r>
          </w:p>
        </w:tc>
        <w:tc>
          <w:tcPr>
            <w:tcW w:w="100" w:type="dxa"/>
            <w:vAlign w:val="bottom"/>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1,602.6</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1,261.2</w:t>
            </w:r>
          </w:p>
        </w:tc>
      </w:tr>
      <w:tr>
        <w:trPr>
          <w:trHeight w:val="207"/>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Royalty</w:t>
            </w:r>
          </w:p>
        </w:tc>
        <w:tc>
          <w:tcPr>
            <w:tcW w:w="1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ind w:left="560"/>
              <w:spacing w:after="0"/>
              <w:rPr>
                <w:sz w:val="20"/>
                <w:szCs w:val="20"/>
                <w:color w:val="auto"/>
              </w:rPr>
            </w:pPr>
            <w:r>
              <w:rPr>
                <w:rFonts w:ascii="Arial" w:cs="Arial" w:eastAsia="Arial" w:hAnsi="Arial"/>
                <w:sz w:val="14"/>
                <w:szCs w:val="14"/>
                <w:color w:val="0070C0"/>
              </w:rPr>
              <w:t>206.8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290.4</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583.7</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647.5</w:t>
            </w:r>
          </w:p>
        </w:tc>
      </w:tr>
      <w:tr>
        <w:trPr>
          <w:trHeight w:val="220"/>
        </w:trPr>
        <w:tc>
          <w:tcPr>
            <w:tcW w:w="6280" w:type="dxa"/>
            <w:vAlign w:val="bottom"/>
            <w:gridSpan w:val="2"/>
          </w:tcPr>
          <w:p>
            <w:pPr>
              <w:ind w:left="240"/>
              <w:spacing w:after="0"/>
              <w:rPr>
                <w:sz w:val="20"/>
                <w:szCs w:val="20"/>
                <w:color w:val="auto"/>
              </w:rPr>
            </w:pPr>
            <w:r>
              <w:rPr>
                <w:rFonts w:ascii="Arial" w:cs="Arial" w:eastAsia="Arial" w:hAnsi="Arial"/>
                <w:sz w:val="14"/>
                <w:szCs w:val="14"/>
                <w:color w:val="auto"/>
              </w:rPr>
              <w:t>Total cost of sales</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ind w:left="560"/>
              <w:spacing w:after="0"/>
              <w:rPr>
                <w:sz w:val="20"/>
                <w:szCs w:val="20"/>
                <w:color w:val="auto"/>
              </w:rPr>
            </w:pPr>
            <w:r>
              <w:rPr>
                <w:rFonts w:ascii="Arial" w:cs="Arial" w:eastAsia="Arial" w:hAnsi="Arial"/>
                <w:sz w:val="14"/>
                <w:szCs w:val="14"/>
                <w:color w:val="257ACB"/>
              </w:rPr>
              <w:t>748.4</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674.4</w:t>
            </w:r>
          </w:p>
        </w:tc>
        <w:tc>
          <w:tcPr>
            <w:tcW w:w="100" w:type="dxa"/>
            <w:vAlign w:val="bottom"/>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2,186.3</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1,908.7</w:t>
            </w: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COST OF SALES</w:t>
      </w:r>
    </w:p>
    <w:p>
      <w:pPr>
        <w:spacing w:after="0" w:line="11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three and nine months ended September 30, 2026, compared to the same periods in 2025, the increases in product cost of sales were primarily due to higher period costs and higher amortization costs associated with the acquired inventory fair value step-up adjustment for SKYCLARYS, SYFOVRE and EMPAVELI.</w:t>
      </w:r>
    </w:p>
    <w:p>
      <w:pPr>
        <w:spacing w:after="0" w:line="6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 xml:space="preserve">Contract manufacturing revenue includes LEQEMBI inventory produced for Eisai. Cost of sales as a percentage of revenue was adversely affected by LEQEMBI batches due to lower margins associated with this business. 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6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As a result of our acquisition of Apellis in May 2026, we recorded approximately $681.0 million of acquired inventory related to SYFOVRE and EMPAVELI, inclusive of fair value step-up adjustments related to the acquired inventory of SYFOVRE and EMPAVELI totaling approximately $541.5 million. We expect these amounts to be fully amortized by the end of 2029. For the three and nine months ended September 30, 2026, amortization from the fair value step-up adjustments was approximately $100.0 million and $169.7 million, respectively. For additional information on our acquisition of Apellis,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 consolidated financial statements.</w:t>
      </w:r>
    </w:p>
    <w:p>
      <w:pPr>
        <w:spacing w:after="0" w:line="7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As a result of our acquisition of Reata in September 2023 we recorded a fair value step-up adjustment related to the acquired inventory of SKYCLARYS. We expect this amount to be fully amortized by the end of 2028. For the three and nine months ended September 30, 2026, amortization from the fair value step-up adjustment recorded in cost of sales was approximately $97.2 million and $243.6 million, respectively, compared to $61.5 million and $ 165.4 million, respectively, in the prior year comparative periods. 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our 2025 Form 10-K.</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ROYALTY COST OF SALES</w:t>
      </w:r>
    </w:p>
    <w:p>
      <w:pPr>
        <w:spacing w:after="0" w:line="22"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For the three months ended September 30, 2026, compared to the same period in 2025, the decrease in royalty cost of sales was primarily due to a charge recorded during the third quarter of 2025 of approximately $104.3 million related to a litigation matter, partially offset by higher royalties associated with higher sales of SPINRAZA and royalties associated with agreements acquired from Apellis.</w:t>
      </w:r>
    </w:p>
    <w:p>
      <w:pPr>
        <w:spacing w:after="0" w:line="8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For the nine months ended September 30, 2026, compared to the same period in 2025, the decrease in royalty cost of sales was primarily due to a charge recorded during the third quarter of 2025 of approximately $104.3 million related to a litigation matter, partially offset by higher royalties payable associated with higher sales of TYSABRI and SPINRAZA as well as royalties associated with agreements acquired from Apellis.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0070C0"/>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17165" cy="65665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17165" cy="65665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80" w:right="640"/>
        <w:spacing w:after="0" w:line="264" w:lineRule="auto"/>
        <w:rPr>
          <w:sz w:val="20"/>
          <w:szCs w:val="20"/>
          <w:color w:val="auto"/>
        </w:rPr>
      </w:pPr>
      <w:r>
        <w:rPr>
          <w:rFonts w:ascii="Arial" w:cs="Arial" w:eastAsia="Arial" w:hAnsi="Arial"/>
          <w:sz w:val="17"/>
          <w:szCs w:val="17"/>
          <w:color w:val="auto"/>
        </w:rPr>
        <w:t>Research and development expense, as a percentage of total revenue, was 20.5% and 17.2% for the three months ended September 30, 2026 and 2025, respectively.</w:t>
      </w:r>
    </w:p>
    <w:p>
      <w:pPr>
        <w:spacing w:after="0" w:line="70" w:lineRule="exact"/>
        <w:rPr>
          <w:sz w:val="20"/>
          <w:szCs w:val="20"/>
          <w:color w:val="auto"/>
        </w:rPr>
      </w:pPr>
    </w:p>
    <w:p>
      <w:pPr>
        <w:ind w:left="380" w:right="40"/>
        <w:spacing w:after="0" w:line="269" w:lineRule="auto"/>
        <w:rPr>
          <w:sz w:val="20"/>
          <w:szCs w:val="20"/>
          <w:color w:val="auto"/>
        </w:rPr>
      </w:pPr>
      <w:r>
        <w:rPr>
          <w:rFonts w:ascii="Arial" w:cs="Arial" w:eastAsia="Arial" w:hAnsi="Arial"/>
          <w:sz w:val="16"/>
          <w:szCs w:val="16"/>
          <w:color w:val="auto"/>
        </w:rPr>
        <w:t>For the three months ended September 30, 2026, compared to the same period in 2025, the increase in research and development was primarily driven by higher spend on clinical trials, including felzartamab, salanersen and litifilimab as well as additional expenses resulting from our acquisition of Apellis. Clinical trial spend related to litifilimab during the third quarter of 2025 was offset by $50.0 million in research and development funding received from Royalty Pharma.</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EARLY STAGE PROGRAMS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Q3 2026 vs. Q3 2025</w:t>
      </w:r>
    </w:p>
    <w:p>
      <w:pPr>
        <w:spacing w:after="0" w:line="61" w:lineRule="exact"/>
        <w:rPr>
          <w:sz w:val="20"/>
          <w:szCs w:val="20"/>
          <w:color w:val="auto"/>
        </w:rPr>
      </w:pPr>
    </w:p>
    <w:p>
      <w:pPr>
        <w:ind w:left="380" w:right="560"/>
        <w:spacing w:after="0" w:line="256" w:lineRule="auto"/>
        <w:rPr>
          <w:sz w:val="20"/>
          <w:szCs w:val="20"/>
          <w:color w:val="auto"/>
        </w:rPr>
      </w:pPr>
      <w:r>
        <w:rPr>
          <w:rFonts w:ascii="Arial" w:cs="Arial" w:eastAsia="Arial" w:hAnsi="Arial"/>
          <w:sz w:val="17"/>
          <w:szCs w:val="17"/>
          <w:color w:val="auto"/>
        </w:rPr>
        <w:t>The increase in early stage program expense was driven by an increase in costs associated with:</w:t>
      </w:r>
    </w:p>
    <w:p>
      <w:pPr>
        <w:spacing w:after="0" w:line="1" w:lineRule="exact"/>
        <w:rPr>
          <w:sz w:val="20"/>
          <w:szCs w:val="20"/>
          <w:color w:val="auto"/>
        </w:rPr>
      </w:pPr>
    </w:p>
    <w:p>
      <w:pPr>
        <w:ind w:left="380" w:right="1000" w:hanging="157"/>
        <w:spacing w:after="0" w:line="256" w:lineRule="auto"/>
        <w:tabs>
          <w:tab w:leader="none" w:pos="330" w:val="left"/>
        </w:tabs>
        <w:numPr>
          <w:ilvl w:val="0"/>
          <w:numId w:val="35"/>
        </w:numPr>
        <w:rPr>
          <w:rFonts w:ascii="Arial" w:cs="Arial" w:eastAsia="Arial" w:hAnsi="Arial"/>
          <w:sz w:val="17"/>
          <w:szCs w:val="17"/>
          <w:color w:val="0070C0"/>
        </w:rPr>
      </w:pPr>
      <w:r>
        <w:rPr>
          <w:rFonts w:ascii="Arial" w:cs="Arial" w:eastAsia="Arial" w:hAnsi="Arial"/>
          <w:sz w:val="17"/>
          <w:szCs w:val="17"/>
          <w:color w:val="auto"/>
        </w:rPr>
        <w:t>programs acquired from Apellis, including development of pegcetacoplan for the treatment of FSGS; and</w:t>
      </w:r>
    </w:p>
    <w:p>
      <w:pPr>
        <w:spacing w:after="0" w:line="1" w:lineRule="exact"/>
        <w:rPr>
          <w:rFonts w:ascii="Arial" w:cs="Arial" w:eastAsia="Arial" w:hAnsi="Arial"/>
          <w:sz w:val="17"/>
          <w:szCs w:val="17"/>
          <w:color w:val="0070C0"/>
        </w:rPr>
      </w:pPr>
    </w:p>
    <w:p>
      <w:pPr>
        <w:ind w:left="380" w:right="120" w:hanging="157"/>
        <w:spacing w:after="0" w:line="273" w:lineRule="auto"/>
        <w:tabs>
          <w:tab w:leader="none" w:pos="330" w:val="left"/>
        </w:tabs>
        <w:numPr>
          <w:ilvl w:val="0"/>
          <w:numId w:val="35"/>
        </w:numPr>
        <w:rPr>
          <w:rFonts w:ascii="Arial" w:cs="Arial" w:eastAsia="Arial" w:hAnsi="Arial"/>
          <w:sz w:val="17"/>
          <w:szCs w:val="17"/>
          <w:color w:val="0070C0"/>
        </w:rPr>
      </w:pPr>
      <w:r>
        <w:rPr>
          <w:rFonts w:ascii="Arial" w:cs="Arial" w:eastAsia="Arial" w:hAnsi="Arial"/>
          <w:sz w:val="17"/>
          <w:szCs w:val="17"/>
          <w:color w:val="auto"/>
        </w:rPr>
        <w:t>development of felzartamab in various early stage programs including MVI.</w:t>
      </w:r>
    </w:p>
    <w:p>
      <w:pPr>
        <w:ind w:left="380"/>
        <w:spacing w:after="0"/>
        <w:rPr>
          <w:rFonts w:ascii="Arial" w:cs="Arial" w:eastAsia="Arial" w:hAnsi="Arial"/>
          <w:sz w:val="17"/>
          <w:szCs w:val="17"/>
          <w:color w:val="0070C0"/>
        </w:rPr>
      </w:pPr>
      <w:r>
        <w:rPr>
          <w:rFonts w:ascii="Arial" w:cs="Arial" w:eastAsia="Arial" w:hAnsi="Arial"/>
          <w:sz w:val="17"/>
          <w:szCs w:val="17"/>
          <w:color w:val="auto"/>
        </w:rPr>
        <w:t>The increase was partially offset by:</w:t>
      </w:r>
    </w:p>
    <w:p>
      <w:pPr>
        <w:spacing w:after="0" w:line="34" w:lineRule="exact"/>
        <w:rPr>
          <w:rFonts w:ascii="Arial" w:cs="Arial" w:eastAsia="Arial" w:hAnsi="Arial"/>
          <w:sz w:val="17"/>
          <w:szCs w:val="17"/>
          <w:color w:val="0070C0"/>
        </w:rPr>
      </w:pPr>
    </w:p>
    <w:p>
      <w:pPr>
        <w:ind w:left="340" w:hanging="117"/>
        <w:spacing w:after="0"/>
        <w:tabs>
          <w:tab w:leader="none" w:pos="340" w:val="left"/>
        </w:tabs>
        <w:numPr>
          <w:ilvl w:val="0"/>
          <w:numId w:val="35"/>
        </w:numPr>
        <w:rPr>
          <w:rFonts w:ascii="Arial" w:cs="Arial" w:eastAsia="Arial" w:hAnsi="Arial"/>
          <w:sz w:val="16"/>
          <w:szCs w:val="16"/>
          <w:color w:val="0070C0"/>
        </w:rPr>
      </w:pPr>
      <w:r>
        <w:rPr>
          <w:rFonts w:ascii="Arial" w:cs="Arial" w:eastAsia="Arial" w:hAnsi="Arial"/>
          <w:sz w:val="16"/>
          <w:szCs w:val="16"/>
          <w:color w:val="auto"/>
        </w:rPr>
        <w:t>the advancement of salanersen for the treatment of SMA to late stage.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LATE STAGE PROGRAMS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Q3 2026 vs. Q3 2025</w:t>
      </w:r>
    </w:p>
    <w:p>
      <w:pPr>
        <w:spacing w:after="0" w:line="61" w:lineRule="exact"/>
        <w:rPr>
          <w:sz w:val="20"/>
          <w:szCs w:val="20"/>
          <w:color w:val="auto"/>
        </w:rPr>
      </w:pPr>
    </w:p>
    <w:p>
      <w:pPr>
        <w:ind w:left="380" w:right="640"/>
        <w:spacing w:after="0" w:line="260" w:lineRule="auto"/>
        <w:rPr>
          <w:sz w:val="20"/>
          <w:szCs w:val="20"/>
          <w:color w:val="auto"/>
        </w:rPr>
      </w:pPr>
      <w:r>
        <w:rPr>
          <w:rFonts w:ascii="Arial" w:cs="Arial" w:eastAsia="Arial" w:hAnsi="Arial"/>
          <w:sz w:val="17"/>
          <w:szCs w:val="17"/>
          <w:color w:val="auto"/>
        </w:rPr>
        <w:t>The increase in late stage program expense was driven by an increase in costs associated with:</w:t>
      </w:r>
    </w:p>
    <w:p>
      <w:pPr>
        <w:ind w:left="380" w:right="40" w:hanging="157"/>
        <w:spacing w:after="0" w:line="256" w:lineRule="auto"/>
        <w:tabs>
          <w:tab w:leader="none" w:pos="330" w:val="left"/>
        </w:tabs>
        <w:numPr>
          <w:ilvl w:val="0"/>
          <w:numId w:val="36"/>
        </w:numPr>
        <w:rPr>
          <w:rFonts w:ascii="Arial" w:cs="Arial" w:eastAsia="Arial" w:hAnsi="Arial"/>
          <w:sz w:val="17"/>
          <w:szCs w:val="17"/>
          <w:color w:val="0070C0"/>
        </w:rPr>
      </w:pPr>
      <w:r>
        <w:rPr>
          <w:rFonts w:ascii="Arial" w:cs="Arial" w:eastAsia="Arial" w:hAnsi="Arial"/>
          <w:sz w:val="17"/>
          <w:szCs w:val="17"/>
          <w:color w:val="auto"/>
        </w:rPr>
        <w:t>the conclusion of the research and development funding received from Royalty Pharma in Q2 2026;</w:t>
      </w:r>
    </w:p>
    <w:p>
      <w:pPr>
        <w:spacing w:after="0" w:line="1" w:lineRule="exact"/>
        <w:rPr>
          <w:rFonts w:ascii="Arial" w:cs="Arial" w:eastAsia="Arial" w:hAnsi="Arial"/>
          <w:sz w:val="17"/>
          <w:szCs w:val="17"/>
          <w:color w:val="0070C0"/>
        </w:rPr>
      </w:pPr>
    </w:p>
    <w:p>
      <w:pPr>
        <w:ind w:left="340" w:hanging="117"/>
        <w:spacing w:after="0"/>
        <w:tabs>
          <w:tab w:leader="none" w:pos="340" w:val="left"/>
        </w:tabs>
        <w:numPr>
          <w:ilvl w:val="0"/>
          <w:numId w:val="36"/>
        </w:numPr>
        <w:rPr>
          <w:rFonts w:ascii="Arial" w:cs="Arial" w:eastAsia="Arial" w:hAnsi="Arial"/>
          <w:sz w:val="17"/>
          <w:szCs w:val="17"/>
          <w:color w:val="0070C0"/>
        </w:rPr>
      </w:pPr>
      <w:r>
        <w:rPr>
          <w:rFonts w:ascii="Arial" w:cs="Arial" w:eastAsia="Arial" w:hAnsi="Arial"/>
          <w:sz w:val="17"/>
          <w:szCs w:val="17"/>
          <w:color w:val="auto"/>
        </w:rPr>
        <w:t>the advancement of salanersen for the treatment of SMA;</w:t>
      </w:r>
    </w:p>
    <w:p>
      <w:pPr>
        <w:spacing w:after="0" w:line="28" w:lineRule="exact"/>
        <w:rPr>
          <w:rFonts w:ascii="Arial" w:cs="Arial" w:eastAsia="Arial" w:hAnsi="Arial"/>
          <w:sz w:val="17"/>
          <w:szCs w:val="17"/>
          <w:color w:val="0070C0"/>
        </w:rPr>
      </w:pPr>
    </w:p>
    <w:p>
      <w:pPr>
        <w:ind w:left="380" w:right="260" w:hanging="157"/>
        <w:spacing w:after="0" w:line="256" w:lineRule="auto"/>
        <w:tabs>
          <w:tab w:leader="none" w:pos="330" w:val="left"/>
        </w:tabs>
        <w:numPr>
          <w:ilvl w:val="0"/>
          <w:numId w:val="36"/>
        </w:numPr>
        <w:rPr>
          <w:rFonts w:ascii="Arial" w:cs="Arial" w:eastAsia="Arial" w:hAnsi="Arial"/>
          <w:sz w:val="17"/>
          <w:szCs w:val="17"/>
          <w:color w:val="0070C0"/>
        </w:rPr>
      </w:pPr>
      <w:r>
        <w:rPr>
          <w:rFonts w:ascii="Arial" w:cs="Arial" w:eastAsia="Arial" w:hAnsi="Arial"/>
          <w:sz w:val="17"/>
          <w:szCs w:val="17"/>
          <w:color w:val="auto"/>
        </w:rPr>
        <w:t>the development of felzartamab for the treatment of AMR, IgAN and PMN; and</w:t>
      </w:r>
    </w:p>
    <w:p>
      <w:pPr>
        <w:spacing w:after="0" w:line="1" w:lineRule="exact"/>
        <w:rPr>
          <w:rFonts w:ascii="Arial" w:cs="Arial" w:eastAsia="Arial" w:hAnsi="Arial"/>
          <w:sz w:val="17"/>
          <w:szCs w:val="17"/>
          <w:color w:val="0070C0"/>
        </w:rPr>
      </w:pPr>
    </w:p>
    <w:p>
      <w:pPr>
        <w:ind w:left="380" w:right="780" w:hanging="157"/>
        <w:spacing w:after="0" w:line="280" w:lineRule="auto"/>
        <w:tabs>
          <w:tab w:leader="none" w:pos="330" w:val="left"/>
        </w:tabs>
        <w:numPr>
          <w:ilvl w:val="0"/>
          <w:numId w:val="36"/>
        </w:numPr>
        <w:rPr>
          <w:rFonts w:ascii="Arial" w:cs="Arial" w:eastAsia="Arial" w:hAnsi="Arial"/>
          <w:sz w:val="17"/>
          <w:szCs w:val="17"/>
          <w:color w:val="0070C0"/>
        </w:rPr>
      </w:pPr>
      <w:r>
        <w:rPr>
          <w:rFonts w:ascii="Arial" w:cs="Arial" w:eastAsia="Arial" w:hAnsi="Arial"/>
          <w:sz w:val="17"/>
          <w:szCs w:val="17"/>
          <w:color w:val="auto"/>
        </w:rPr>
        <w:t>the development of zorevunersen for the treatment of Dravet syndrome.</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MARKETED PROGRAMS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Q3 2026 vs. Q3 2025</w:t>
      </w:r>
    </w:p>
    <w:p>
      <w:pPr>
        <w:spacing w:after="0" w:line="61" w:lineRule="exact"/>
        <w:rPr>
          <w:sz w:val="20"/>
          <w:szCs w:val="20"/>
          <w:color w:val="auto"/>
        </w:rPr>
      </w:pPr>
    </w:p>
    <w:p>
      <w:pPr>
        <w:ind w:left="380"/>
        <w:spacing w:after="0" w:line="260" w:lineRule="auto"/>
        <w:rPr>
          <w:sz w:val="20"/>
          <w:szCs w:val="20"/>
          <w:color w:val="auto"/>
        </w:rPr>
      </w:pPr>
      <w:r>
        <w:rPr>
          <w:rFonts w:ascii="Arial" w:cs="Arial" w:eastAsia="Arial" w:hAnsi="Arial"/>
          <w:sz w:val="17"/>
          <w:szCs w:val="17"/>
          <w:color w:val="auto"/>
        </w:rPr>
        <w:t>The increase in marketed program expense was driven by an increase in costs associated with:</w:t>
      </w:r>
    </w:p>
    <w:p>
      <w:pPr>
        <w:ind w:left="340" w:hanging="117"/>
        <w:spacing w:after="0"/>
        <w:tabs>
          <w:tab w:leader="none" w:pos="340" w:val="left"/>
        </w:tabs>
        <w:numPr>
          <w:ilvl w:val="0"/>
          <w:numId w:val="37"/>
        </w:numPr>
        <w:rPr>
          <w:rFonts w:ascii="Arial" w:cs="Arial" w:eastAsia="Arial" w:hAnsi="Arial"/>
          <w:sz w:val="17"/>
          <w:szCs w:val="17"/>
          <w:color w:val="0070C0"/>
        </w:rPr>
      </w:pPr>
      <w:r>
        <w:rPr>
          <w:rFonts w:ascii="Arial" w:cs="Arial" w:eastAsia="Arial" w:hAnsi="Arial"/>
          <w:sz w:val="17"/>
          <w:szCs w:val="17"/>
          <w:color w:val="auto"/>
        </w:rPr>
        <w:t>expenses incurred resulting from our acquisition of Apellis.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73660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0" w:space="720"/>
            <w:col w:w="5600"/>
          </w:cols>
          <w:pgMar w:left="320" w:top="130" w:right="45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399" w:lineRule="exact"/>
        <w:rPr>
          <w:sz w:val="20"/>
          <w:szCs w:val="20"/>
          <w:color w:val="auto"/>
        </w:rPr>
      </w:pPr>
    </w:p>
    <w:p>
      <w:pPr>
        <w:ind w:left="5900"/>
        <w:spacing w:after="0" w:line="264" w:lineRule="auto"/>
        <w:rPr>
          <w:sz w:val="20"/>
          <w:szCs w:val="20"/>
          <w:color w:val="auto"/>
        </w:rPr>
      </w:pPr>
      <w:r>
        <w:rPr>
          <w:rFonts w:ascii="Arial" w:cs="Arial" w:eastAsia="Arial" w:hAnsi="Arial"/>
          <w:sz w:val="17"/>
          <w:szCs w:val="17"/>
          <w:color w:val="auto"/>
        </w:rPr>
        <w:t>Research and development expense, as a percentage of total revenue, was 20.5% and 16.7% for the nine months ended September 30, 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2717165" cy="7406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17165" cy="7406640"/>
                    </a:xfrm>
                    <a:prstGeom prst="rect">
                      <a:avLst/>
                    </a:prstGeom>
                    <a:noFill/>
                  </pic:spPr>
                </pic:pic>
              </a:graphicData>
            </a:graphic>
          </wp:anchor>
        </w:drawing>
      </w:r>
    </w:p>
    <w:p>
      <w:pPr>
        <w:spacing w:after="0" w:line="50" w:lineRule="exact"/>
        <w:rPr>
          <w:sz w:val="20"/>
          <w:szCs w:val="20"/>
          <w:color w:val="auto"/>
        </w:rPr>
      </w:pPr>
    </w:p>
    <w:p>
      <w:pPr>
        <w:ind w:left="5900" w:right="20"/>
        <w:spacing w:after="0" w:line="250" w:lineRule="auto"/>
        <w:rPr>
          <w:sz w:val="20"/>
          <w:szCs w:val="20"/>
          <w:color w:val="auto"/>
        </w:rPr>
      </w:pPr>
      <w:r>
        <w:rPr>
          <w:rFonts w:ascii="Arial" w:cs="Arial" w:eastAsia="Arial" w:hAnsi="Arial"/>
          <w:sz w:val="17"/>
          <w:szCs w:val="17"/>
          <w:color w:val="auto"/>
        </w:rPr>
        <w:t>For the nine months ended September 30, 2026, compared to the same period in 2025, the increase in research and development was primarily driven by higher spend on clinical trials, including felzartamab, salanersen and litifilimab as well as additional expenses resulting from our acquisition of Apellis. Clinical trial spend related to litifilimab during 2026 and 2025 was offset by $50.0 million and $150.0 million, respectively, in research and development funding received from Royalty Pharma.</w:t>
      </w:r>
    </w:p>
    <w:p>
      <w:pPr>
        <w:spacing w:after="0" w:line="8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EARLY STAGE PROGRAMS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YTD 2026 vs. YTD 2025</w:t>
      </w:r>
    </w:p>
    <w:p>
      <w:pPr>
        <w:spacing w:after="0" w:line="9" w:lineRule="exact"/>
        <w:rPr>
          <w:sz w:val="20"/>
          <w:szCs w:val="20"/>
          <w:color w:val="auto"/>
        </w:rPr>
      </w:pPr>
    </w:p>
    <w:p>
      <w:pPr>
        <w:ind w:left="5900" w:right="560"/>
        <w:spacing w:after="0"/>
        <w:rPr>
          <w:sz w:val="20"/>
          <w:szCs w:val="20"/>
          <w:color w:val="auto"/>
        </w:rPr>
      </w:pPr>
      <w:r>
        <w:rPr>
          <w:rFonts w:ascii="Arial" w:cs="Arial" w:eastAsia="Arial" w:hAnsi="Arial"/>
          <w:sz w:val="17"/>
          <w:szCs w:val="17"/>
          <w:color w:val="auto"/>
        </w:rPr>
        <w:t>The increase in early stage program expense was driven by an increase in costs associated with:</w:t>
      </w:r>
    </w:p>
    <w:p>
      <w:pPr>
        <w:spacing w:after="0" w:line="1" w:lineRule="exact"/>
        <w:rPr>
          <w:sz w:val="20"/>
          <w:szCs w:val="20"/>
          <w:color w:val="auto"/>
        </w:rPr>
      </w:pPr>
    </w:p>
    <w:p>
      <w:pPr>
        <w:ind w:left="6000" w:right="860" w:hanging="242"/>
        <w:spacing w:after="0" w:line="248" w:lineRule="auto"/>
        <w:tabs>
          <w:tab w:leader="none" w:pos="598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programs acquired from Apellis, including development of pegcetacoplan for the treatment of FSGS; and</w:t>
      </w:r>
    </w:p>
    <w:p>
      <w:pPr>
        <w:spacing w:after="0" w:line="1" w:lineRule="exact"/>
        <w:rPr>
          <w:sz w:val="20"/>
          <w:szCs w:val="20"/>
          <w:color w:val="auto"/>
        </w:rPr>
      </w:pPr>
    </w:p>
    <w:p>
      <w:pPr>
        <w:ind w:left="5820"/>
        <w:spacing w:after="0"/>
        <w:tabs>
          <w:tab w:leader="none" w:pos="5980" w:val="left"/>
        </w:tabs>
        <w:rPr>
          <w:sz w:val="20"/>
          <w:szCs w:val="20"/>
          <w:color w:val="auto"/>
        </w:rPr>
      </w:pPr>
      <w:r>
        <w:rPr>
          <w:rFonts w:ascii="Arial" w:cs="Arial" w:eastAsia="Arial" w:hAnsi="Arial"/>
          <w:sz w:val="17"/>
          <w:szCs w:val="17"/>
          <w:color w:val="0070C0"/>
        </w:rPr>
        <w:t>•</w:t>
      </w:r>
      <w:r>
        <w:rPr>
          <w:sz w:val="20"/>
          <w:szCs w:val="20"/>
          <w:color w:val="auto"/>
        </w:rPr>
        <w:tab/>
      </w:r>
      <w:r>
        <w:rPr>
          <w:rFonts w:ascii="Arial" w:cs="Arial" w:eastAsia="Arial" w:hAnsi="Arial"/>
          <w:sz w:val="16"/>
          <w:szCs w:val="16"/>
          <w:color w:val="auto"/>
        </w:rPr>
        <w:t>development of felzartamab in various early stage programs.</w:t>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The increase was partially offset by:</w:t>
      </w:r>
    </w:p>
    <w:p>
      <w:pPr>
        <w:spacing w:after="0" w:line="7" w:lineRule="exact"/>
        <w:rPr>
          <w:sz w:val="20"/>
          <w:szCs w:val="20"/>
          <w:color w:val="auto"/>
        </w:rPr>
      </w:pPr>
    </w:p>
    <w:p>
      <w:pPr>
        <w:ind w:left="5820"/>
        <w:spacing w:after="0"/>
        <w:tabs>
          <w:tab w:leader="none" w:pos="5980" w:val="left"/>
        </w:tabs>
        <w:rPr>
          <w:sz w:val="20"/>
          <w:szCs w:val="20"/>
          <w:color w:val="auto"/>
        </w:rPr>
      </w:pPr>
      <w:r>
        <w:rPr>
          <w:rFonts w:ascii="Arial" w:cs="Arial" w:eastAsia="Arial" w:hAnsi="Arial"/>
          <w:sz w:val="17"/>
          <w:szCs w:val="17"/>
          <w:color w:val="0070C0"/>
        </w:rPr>
        <w:t>•</w:t>
      </w:r>
      <w:r>
        <w:rPr>
          <w:sz w:val="20"/>
          <w:szCs w:val="20"/>
          <w:color w:val="auto"/>
        </w:rPr>
        <w:tab/>
      </w:r>
      <w:r>
        <w:rPr>
          <w:rFonts w:ascii="Arial" w:cs="Arial" w:eastAsia="Arial" w:hAnsi="Arial"/>
          <w:sz w:val="16"/>
          <w:szCs w:val="16"/>
          <w:color w:val="auto"/>
        </w:rPr>
        <w:t>the discontinuation of BIIB122 in idiopathic Parkinson's disease; and</w:t>
      </w:r>
    </w:p>
    <w:p>
      <w:pPr>
        <w:spacing w:after="0" w:line="7" w:lineRule="exact"/>
        <w:rPr>
          <w:sz w:val="20"/>
          <w:szCs w:val="20"/>
          <w:color w:val="auto"/>
        </w:rPr>
      </w:pPr>
    </w:p>
    <w:p>
      <w:pPr>
        <w:ind w:left="6000" w:right="400" w:hanging="242"/>
        <w:spacing w:after="0" w:line="260" w:lineRule="auto"/>
        <w:tabs>
          <w:tab w:leader="none" w:pos="598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the advancement of salanersen for the treatment of SMA to late stage.</w:t>
      </w:r>
    </w:p>
    <w:p>
      <w:pPr>
        <w:spacing w:after="0" w:line="7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LATE STAGE PROGRAMS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YTD 2026 vs. YTD 2025</w:t>
      </w:r>
    </w:p>
    <w:p>
      <w:pPr>
        <w:spacing w:after="0" w:line="9" w:lineRule="exact"/>
        <w:rPr>
          <w:sz w:val="20"/>
          <w:szCs w:val="20"/>
          <w:color w:val="auto"/>
        </w:rPr>
      </w:pPr>
    </w:p>
    <w:p>
      <w:pPr>
        <w:ind w:left="5900" w:right="400"/>
        <w:spacing w:after="0" w:line="250" w:lineRule="auto"/>
        <w:rPr>
          <w:sz w:val="20"/>
          <w:szCs w:val="20"/>
          <w:color w:val="auto"/>
        </w:rPr>
      </w:pPr>
      <w:r>
        <w:rPr>
          <w:rFonts w:ascii="Arial" w:cs="Arial" w:eastAsia="Arial" w:hAnsi="Arial"/>
          <w:sz w:val="17"/>
          <w:szCs w:val="17"/>
          <w:color w:val="auto"/>
        </w:rPr>
        <w:t>The increase in late stage programs was driven by an increase in costs associated with:</w:t>
      </w:r>
    </w:p>
    <w:p>
      <w:pPr>
        <w:spacing w:after="0" w:line="1" w:lineRule="exact"/>
        <w:rPr>
          <w:sz w:val="20"/>
          <w:szCs w:val="20"/>
          <w:color w:val="auto"/>
        </w:rPr>
      </w:pPr>
    </w:p>
    <w:p>
      <w:pPr>
        <w:ind w:left="6000" w:right="420" w:hanging="242"/>
        <w:spacing w:after="0" w:line="256" w:lineRule="auto"/>
        <w:tabs>
          <w:tab w:leader="none" w:pos="598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a reduction in research and development funding received from Royalty Pharma;</w:t>
      </w:r>
    </w:p>
    <w:p>
      <w:pPr>
        <w:spacing w:after="0" w:line="1" w:lineRule="exact"/>
        <w:rPr>
          <w:sz w:val="20"/>
          <w:szCs w:val="20"/>
          <w:color w:val="auto"/>
        </w:rPr>
      </w:pPr>
    </w:p>
    <w:p>
      <w:pPr>
        <w:ind w:left="5820"/>
        <w:spacing w:after="0"/>
        <w:tabs>
          <w:tab w:leader="none" w:pos="5980" w:val="left"/>
        </w:tabs>
        <w:rPr>
          <w:sz w:val="20"/>
          <w:szCs w:val="20"/>
          <w:color w:val="auto"/>
        </w:rPr>
      </w:pPr>
      <w:r>
        <w:rPr>
          <w:rFonts w:ascii="Arial" w:cs="Arial" w:eastAsia="Arial" w:hAnsi="Arial"/>
          <w:sz w:val="17"/>
          <w:szCs w:val="17"/>
          <w:color w:val="0070C0"/>
        </w:rPr>
        <w:t>•</w:t>
      </w:r>
      <w:r>
        <w:rPr>
          <w:sz w:val="20"/>
          <w:szCs w:val="20"/>
          <w:color w:val="auto"/>
        </w:rPr>
        <w:tab/>
      </w:r>
      <w:r>
        <w:rPr>
          <w:rFonts w:ascii="Arial" w:cs="Arial" w:eastAsia="Arial" w:hAnsi="Arial"/>
          <w:sz w:val="16"/>
          <w:szCs w:val="16"/>
          <w:color w:val="auto"/>
        </w:rPr>
        <w:t>the development of felzartamab for AMR, IgAN and PMN;</w:t>
      </w:r>
    </w:p>
    <w:p>
      <w:pPr>
        <w:spacing w:after="0" w:line="21" w:lineRule="exact"/>
        <w:rPr>
          <w:sz w:val="20"/>
          <w:szCs w:val="20"/>
          <w:color w:val="auto"/>
        </w:rPr>
      </w:pPr>
    </w:p>
    <w:p>
      <w:pPr>
        <w:ind w:left="5820"/>
        <w:spacing w:after="0"/>
        <w:tabs>
          <w:tab w:leader="none" w:pos="5980" w:val="left"/>
        </w:tabs>
        <w:rPr>
          <w:sz w:val="20"/>
          <w:szCs w:val="20"/>
          <w:color w:val="auto"/>
        </w:rPr>
      </w:pPr>
      <w:r>
        <w:rPr>
          <w:rFonts w:ascii="Arial" w:cs="Arial" w:eastAsia="Arial" w:hAnsi="Arial"/>
          <w:sz w:val="17"/>
          <w:szCs w:val="17"/>
          <w:color w:val="0070C0"/>
        </w:rPr>
        <w:t>•</w:t>
      </w:r>
      <w:r>
        <w:rPr>
          <w:sz w:val="20"/>
          <w:szCs w:val="20"/>
          <w:color w:val="auto"/>
        </w:rPr>
        <w:tab/>
      </w:r>
      <w:r>
        <w:rPr>
          <w:rFonts w:ascii="Arial" w:cs="Arial" w:eastAsia="Arial" w:hAnsi="Arial"/>
          <w:sz w:val="16"/>
          <w:szCs w:val="16"/>
          <w:color w:val="auto"/>
        </w:rPr>
        <w:t>the advancement of salanersen for the treatment of SMA; and</w:t>
      </w:r>
    </w:p>
    <w:p>
      <w:pPr>
        <w:spacing w:after="0" w:line="21" w:lineRule="exact"/>
        <w:rPr>
          <w:sz w:val="20"/>
          <w:szCs w:val="20"/>
          <w:color w:val="auto"/>
        </w:rPr>
      </w:pPr>
    </w:p>
    <w:p>
      <w:pPr>
        <w:ind w:left="6000" w:right="640" w:hanging="242"/>
        <w:spacing w:after="0" w:line="273" w:lineRule="auto"/>
        <w:tabs>
          <w:tab w:leader="none" w:pos="598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the development of zorevunersen for the treatment of Dravet syndrome.</w:t>
      </w:r>
    </w:p>
    <w:p>
      <w:pPr>
        <w:spacing w:after="0" w:line="6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MARKETED PROGRAMS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YTD 2026 vs. YTD 2025</w:t>
      </w:r>
    </w:p>
    <w:p>
      <w:pPr>
        <w:spacing w:after="0" w:line="9" w:lineRule="exact"/>
        <w:rPr>
          <w:sz w:val="20"/>
          <w:szCs w:val="20"/>
          <w:color w:val="auto"/>
        </w:rPr>
      </w:pPr>
    </w:p>
    <w:p>
      <w:pPr>
        <w:ind w:left="5900" w:right="420"/>
        <w:spacing w:after="0" w:line="248" w:lineRule="auto"/>
        <w:rPr>
          <w:sz w:val="20"/>
          <w:szCs w:val="20"/>
          <w:color w:val="auto"/>
        </w:rPr>
      </w:pPr>
      <w:r>
        <w:rPr>
          <w:rFonts w:ascii="Arial" w:cs="Arial" w:eastAsia="Arial" w:hAnsi="Arial"/>
          <w:sz w:val="17"/>
          <w:szCs w:val="17"/>
          <w:color w:val="auto"/>
        </w:rPr>
        <w:t>The increase in marketed programs was driven by an increase in costs associated with:</w:t>
      </w:r>
    </w:p>
    <w:p>
      <w:pPr>
        <w:spacing w:after="0" w:line="1" w:lineRule="exact"/>
        <w:rPr>
          <w:sz w:val="20"/>
          <w:szCs w:val="20"/>
          <w:color w:val="auto"/>
        </w:rPr>
      </w:pPr>
    </w:p>
    <w:p>
      <w:pPr>
        <w:ind w:left="6000" w:right="640" w:hanging="242"/>
        <w:spacing w:after="0" w:line="250" w:lineRule="auto"/>
        <w:tabs>
          <w:tab w:leader="none" w:pos="598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$94.3 million of step-up amortization related to SKYCLARYS inventory; and</w:t>
      </w:r>
    </w:p>
    <w:p>
      <w:pPr>
        <w:spacing w:after="0" w:line="1" w:lineRule="exact"/>
        <w:rPr>
          <w:sz w:val="20"/>
          <w:szCs w:val="20"/>
          <w:color w:val="auto"/>
        </w:rPr>
      </w:pPr>
    </w:p>
    <w:p>
      <w:pPr>
        <w:ind w:left="5820"/>
        <w:spacing w:after="0"/>
        <w:tabs>
          <w:tab w:leader="none" w:pos="5980" w:val="left"/>
        </w:tabs>
        <w:rPr>
          <w:sz w:val="20"/>
          <w:szCs w:val="20"/>
          <w:color w:val="auto"/>
        </w:rPr>
      </w:pPr>
      <w:r>
        <w:rPr>
          <w:rFonts w:ascii="Arial" w:cs="Arial" w:eastAsia="Arial" w:hAnsi="Arial"/>
          <w:sz w:val="17"/>
          <w:szCs w:val="17"/>
          <w:color w:val="0070C0"/>
        </w:rPr>
        <w:t>•</w:t>
      </w:r>
      <w:r>
        <w:rPr>
          <w:sz w:val="20"/>
          <w:szCs w:val="20"/>
          <w:color w:val="auto"/>
        </w:rPr>
        <w:tab/>
      </w:r>
      <w:r>
        <w:rPr>
          <w:rFonts w:ascii="Arial" w:cs="Arial" w:eastAsia="Arial" w:hAnsi="Arial"/>
          <w:sz w:val="16"/>
          <w:szCs w:val="16"/>
          <w:color w:val="auto"/>
        </w:rPr>
        <w:t>expenses incurred resulting from our acquisition of Apellis.</w:t>
      </w:r>
    </w:p>
    <w:p>
      <w:pPr>
        <w:sectPr>
          <w:pgSz w:w="11900" w:h="16838" w:orient="portrait"/>
          <w:cols w:equalWidth="0" w:num="1">
            <w:col w:w="11120"/>
          </w:cols>
          <w:pgMar w:left="320" w:top="13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Research and development expense is reported above based on the following classifications. The development stage reported is based upon the program status when incurred. Therefore, the same program could be reflected in different development stages in the same year. For several of our programs, the research and development activities are part of our collaborative and other relationships. Our costs reflect our share of the total costs incurred.</w:t>
      </w:r>
    </w:p>
    <w:p>
      <w:pPr>
        <w:spacing w:after="0" w:line="14" w:lineRule="exact"/>
        <w:rPr>
          <w:sz w:val="20"/>
          <w:szCs w:val="20"/>
          <w:color w:val="auto"/>
        </w:rPr>
      </w:pPr>
    </w:p>
    <w:p>
      <w:pPr>
        <w:ind w:left="440" w:hanging="270"/>
        <w:spacing w:after="0"/>
        <w:tabs>
          <w:tab w:leader="none" w:pos="440" w:val="left"/>
        </w:tabs>
        <w:numPr>
          <w:ilvl w:val="0"/>
          <w:numId w:val="38"/>
        </w:numPr>
        <w:rPr>
          <w:rFonts w:ascii="Arial" w:cs="Arial" w:eastAsia="Arial" w:hAnsi="Arial"/>
          <w:sz w:val="18"/>
          <w:szCs w:val="18"/>
          <w:color w:val="0070C0"/>
        </w:rPr>
      </w:pPr>
      <w:r>
        <w:rPr>
          <w:rFonts w:ascii="Arial" w:cs="Arial" w:eastAsia="Arial" w:hAnsi="Arial"/>
          <w:sz w:val="18"/>
          <w:szCs w:val="18"/>
          <w:b w:val="1"/>
          <w:bCs w:val="1"/>
          <w:color w:val="0070C0"/>
        </w:rPr>
        <w:t xml:space="preserve">Research and discovery: </w:t>
      </w:r>
      <w:r>
        <w:rPr>
          <w:rFonts w:ascii="Arial" w:cs="Arial" w:eastAsia="Arial" w:hAnsi="Arial"/>
          <w:sz w:val="18"/>
          <w:szCs w:val="18"/>
          <w:color w:val="000000"/>
        </w:rPr>
        <w:t>represents costs incurred to support our discovery research and translational science efforts.</w:t>
      </w:r>
    </w:p>
    <w:p>
      <w:pPr>
        <w:spacing w:after="0" w:line="63" w:lineRule="exact"/>
        <w:rPr>
          <w:rFonts w:ascii="Arial" w:cs="Arial" w:eastAsia="Arial" w:hAnsi="Arial"/>
          <w:sz w:val="18"/>
          <w:szCs w:val="18"/>
          <w:color w:val="0070C0"/>
        </w:rPr>
      </w:pPr>
    </w:p>
    <w:p>
      <w:pPr>
        <w:ind w:left="440" w:hanging="270"/>
        <w:spacing w:after="0"/>
        <w:tabs>
          <w:tab w:leader="none" w:pos="440" w:val="left"/>
        </w:tabs>
        <w:numPr>
          <w:ilvl w:val="0"/>
          <w:numId w:val="38"/>
        </w:numPr>
        <w:rPr>
          <w:rFonts w:ascii="Arial" w:cs="Arial" w:eastAsia="Arial" w:hAnsi="Arial"/>
          <w:sz w:val="18"/>
          <w:szCs w:val="18"/>
          <w:color w:val="0070C0"/>
        </w:rPr>
      </w:pPr>
      <w:r>
        <w:rPr>
          <w:rFonts w:ascii="Arial" w:cs="Arial" w:eastAsia="Arial" w:hAnsi="Arial"/>
          <w:sz w:val="18"/>
          <w:szCs w:val="18"/>
          <w:b w:val="1"/>
          <w:bCs w:val="1"/>
          <w:color w:val="0070C0"/>
        </w:rPr>
        <w:t xml:space="preserve">Early stage programs: </w:t>
      </w:r>
      <w:r>
        <w:rPr>
          <w:rFonts w:ascii="Arial" w:cs="Arial" w:eastAsia="Arial" w:hAnsi="Arial"/>
          <w:sz w:val="18"/>
          <w:szCs w:val="18"/>
          <w:color w:val="000000"/>
        </w:rPr>
        <w:t>are programs in Phase 1 or Phase 2 development.</w:t>
      </w:r>
    </w:p>
    <w:p>
      <w:pPr>
        <w:spacing w:after="0" w:line="63" w:lineRule="exact"/>
        <w:rPr>
          <w:rFonts w:ascii="Arial" w:cs="Arial" w:eastAsia="Arial" w:hAnsi="Arial"/>
          <w:sz w:val="18"/>
          <w:szCs w:val="18"/>
          <w:color w:val="0070C0"/>
        </w:rPr>
      </w:pPr>
    </w:p>
    <w:p>
      <w:pPr>
        <w:ind w:left="440" w:hanging="270"/>
        <w:spacing w:after="0"/>
        <w:tabs>
          <w:tab w:leader="none" w:pos="440" w:val="left"/>
        </w:tabs>
        <w:numPr>
          <w:ilvl w:val="0"/>
          <w:numId w:val="38"/>
        </w:numPr>
        <w:rPr>
          <w:rFonts w:ascii="Arial" w:cs="Arial" w:eastAsia="Arial" w:hAnsi="Arial"/>
          <w:sz w:val="18"/>
          <w:szCs w:val="18"/>
          <w:color w:val="0070C0"/>
        </w:rPr>
      </w:pPr>
      <w:r>
        <w:rPr>
          <w:rFonts w:ascii="Arial" w:cs="Arial" w:eastAsia="Arial" w:hAnsi="Arial"/>
          <w:sz w:val="18"/>
          <w:szCs w:val="18"/>
          <w:b w:val="1"/>
          <w:bCs w:val="1"/>
          <w:color w:val="0070C0"/>
        </w:rPr>
        <w:t xml:space="preserve">Late stage programs: </w:t>
      </w:r>
      <w:r>
        <w:rPr>
          <w:rFonts w:ascii="Arial" w:cs="Arial" w:eastAsia="Arial" w:hAnsi="Arial"/>
          <w:sz w:val="18"/>
          <w:szCs w:val="18"/>
          <w:color w:val="000000"/>
        </w:rPr>
        <w:t>are programs in Phase 3 development or in registration stage.</w:t>
      </w:r>
    </w:p>
    <w:p>
      <w:pPr>
        <w:spacing w:after="0" w:line="63" w:lineRule="exact"/>
        <w:rPr>
          <w:rFonts w:ascii="Arial" w:cs="Arial" w:eastAsia="Arial" w:hAnsi="Arial"/>
          <w:sz w:val="18"/>
          <w:szCs w:val="18"/>
          <w:color w:val="0070C0"/>
        </w:rPr>
      </w:pPr>
    </w:p>
    <w:p>
      <w:pPr>
        <w:ind w:left="500" w:right="180" w:hanging="330"/>
        <w:spacing w:after="0" w:line="281" w:lineRule="auto"/>
        <w:tabs>
          <w:tab w:leader="none" w:pos="455" w:val="left"/>
        </w:tabs>
        <w:numPr>
          <w:ilvl w:val="0"/>
          <w:numId w:val="38"/>
        </w:numPr>
        <w:rPr>
          <w:rFonts w:ascii="Arial" w:cs="Arial" w:eastAsia="Arial" w:hAnsi="Arial"/>
          <w:sz w:val="18"/>
          <w:szCs w:val="18"/>
          <w:color w:val="0070C0"/>
        </w:rPr>
      </w:pPr>
      <w:r>
        <w:rPr>
          <w:rFonts w:ascii="Arial" w:cs="Arial" w:eastAsia="Arial" w:hAnsi="Arial"/>
          <w:sz w:val="18"/>
          <w:szCs w:val="18"/>
          <w:b w:val="1"/>
          <w:bCs w:val="1"/>
          <w:color w:val="0070C0"/>
        </w:rPr>
        <w:t xml:space="preserve">Marketed products: </w:t>
      </w:r>
      <w:r>
        <w:rPr>
          <w:rFonts w:ascii="Arial" w:cs="Arial" w:eastAsia="Arial" w:hAnsi="Arial"/>
          <w:sz w:val="18"/>
          <w:szCs w:val="18"/>
          <w:color w:val="000000"/>
        </w:rPr>
        <w:t>includes costs associated with product lifecycle management activities including, if applicable, costs associated</w:t>
      </w:r>
      <w:r>
        <w:rPr>
          <w:rFonts w:ascii="Arial" w:cs="Arial" w:eastAsia="Arial" w:hAnsi="Arial"/>
          <w:sz w:val="18"/>
          <w:szCs w:val="18"/>
          <w:b w:val="1"/>
          <w:bCs w:val="1"/>
          <w:color w:val="0070C0"/>
        </w:rPr>
        <w:t xml:space="preserve"> </w:t>
      </w:r>
      <w:r>
        <w:rPr>
          <w:rFonts w:ascii="Arial" w:cs="Arial" w:eastAsia="Arial" w:hAnsi="Arial"/>
          <w:sz w:val="18"/>
          <w:szCs w:val="18"/>
          <w:color w:val="000000"/>
        </w:rPr>
        <w:t>with the development of new indications for existing products.</w:t>
      </w:r>
    </w:p>
    <w:p>
      <w:pPr>
        <w:spacing w:after="0" w:line="1" w:lineRule="exact"/>
        <w:rPr>
          <w:rFonts w:ascii="Arial" w:cs="Arial" w:eastAsia="Arial" w:hAnsi="Arial"/>
          <w:sz w:val="18"/>
          <w:szCs w:val="18"/>
          <w:color w:val="0070C0"/>
        </w:rPr>
      </w:pPr>
    </w:p>
    <w:p>
      <w:pPr>
        <w:ind w:left="500" w:right="160" w:hanging="330"/>
        <w:spacing w:after="0" w:line="262" w:lineRule="auto"/>
        <w:tabs>
          <w:tab w:leader="none" w:pos="455" w:val="left"/>
        </w:tabs>
        <w:numPr>
          <w:ilvl w:val="0"/>
          <w:numId w:val="38"/>
        </w:numPr>
        <w:rPr>
          <w:rFonts w:ascii="Arial" w:cs="Arial" w:eastAsia="Arial" w:hAnsi="Arial"/>
          <w:sz w:val="18"/>
          <w:szCs w:val="18"/>
          <w:color w:val="0070C0"/>
        </w:rPr>
      </w:pPr>
      <w:r>
        <w:rPr>
          <w:rFonts w:ascii="Arial" w:cs="Arial" w:eastAsia="Arial" w:hAnsi="Arial"/>
          <w:sz w:val="18"/>
          <w:szCs w:val="18"/>
          <w:b w:val="1"/>
          <w:bCs w:val="1"/>
          <w:color w:val="0070C0"/>
        </w:rPr>
        <w:t xml:space="preserve">Other research and development costs: </w:t>
      </w:r>
      <w:r>
        <w:rPr>
          <w:rFonts w:ascii="Arial" w:cs="Arial" w:eastAsia="Arial" w:hAnsi="Arial"/>
          <w:sz w:val="18"/>
          <w:szCs w:val="18"/>
          <w:color w:val="000000"/>
        </w:rPr>
        <w:t>A significant amount of our research and development costs consist of indirect costs</w:t>
      </w:r>
      <w:r>
        <w:rPr>
          <w:rFonts w:ascii="Arial" w:cs="Arial" w:eastAsia="Arial" w:hAnsi="Arial"/>
          <w:sz w:val="18"/>
          <w:szCs w:val="18"/>
          <w:b w:val="1"/>
          <w:bCs w:val="1"/>
          <w:color w:val="0070C0"/>
        </w:rPr>
        <w:t xml:space="preserve"> </w:t>
      </w:r>
      <w:r>
        <w:rPr>
          <w:rFonts w:ascii="Arial" w:cs="Arial" w:eastAsia="Arial" w:hAnsi="Arial"/>
          <w:sz w:val="18"/>
          <w:szCs w:val="18"/>
          <w:color w:val="000000"/>
        </w:rPr>
        <w:t>incurred in support of overall research and development activities and non-specific programs, including activities that benefit multiple programs, such as management costs, as well as depreciation, information technology and facility-based expenses. These costs are considered other research and development costs in the table above and are not allocated to a specific program or stage.</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expect our core research and development expense to increase in 2026, primarily due to investments in our late-stage programs and the reduction of research and development funding received from Royalty Pharma, which concluded during the second quarter of 2026. We intend to continue committing significant resources to targeted research and development opportunities while continuing to invest in our pipeline, where there is a significant unmet need and where a drug candidate has the potential to be highly differentiated.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ACQUIRED IN-PROCESS RESEARCH AND DEVELOPMENT, UPFRONT AND MILESTONE EXPENSE</w:t>
      </w:r>
    </w:p>
    <w:p>
      <w:pPr>
        <w:spacing w:after="0" w:line="108"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Acquired in-process research and development, upfront and milestone expense includes costs incurred in connection with collaboration and license agreements such as upfront and milestone payments and, when applicable, premiums on equity securities and asset acquisitions of acquired in-process research and development.</w:t>
      </w:r>
    </w:p>
    <w:p>
      <w:pPr>
        <w:spacing w:after="0" w:line="6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For the three and nine months ended September 30, 2026, acquired in-process research and development, upfront and milestone expense totaled approximately $283.8 million and $481.8 million, respectively, compared to $ 2.1 million and $249.4 million, respectively, in the prior year comparative periods. The increase was driven by higher upfront and milestone payments in 2026 compared to 2025.</w:t>
      </w:r>
    </w:p>
    <w:p>
      <w:pPr>
        <w:spacing w:after="0" w:line="63" w:lineRule="exact"/>
        <w:rPr>
          <w:sz w:val="20"/>
          <w:szCs w:val="20"/>
          <w:color w:val="auto"/>
        </w:rPr>
      </w:pPr>
    </w:p>
    <w:p>
      <w:pPr>
        <w:jc w:val="both"/>
        <w:ind w:right="120"/>
        <w:spacing w:after="0" w:line="287" w:lineRule="auto"/>
        <w:rPr>
          <w:sz w:val="20"/>
          <w:szCs w:val="20"/>
          <w:color w:val="auto"/>
        </w:rPr>
      </w:pPr>
      <w:r>
        <w:rPr>
          <w:rFonts w:ascii="Arial" w:cs="Arial" w:eastAsia="Arial" w:hAnsi="Arial"/>
          <w:sz w:val="18"/>
          <w:szCs w:val="18"/>
          <w:color w:val="auto"/>
        </w:rPr>
        <w:t>For the three months ended September 30, 2026, acquired in-process research and development, upfront and milestone expense primarily consists of the following activity:</w:t>
      </w:r>
    </w:p>
    <w:p>
      <w:pPr>
        <w:spacing w:after="0" w:line="45" w:lineRule="exact"/>
        <w:rPr>
          <w:sz w:val="20"/>
          <w:szCs w:val="20"/>
          <w:color w:val="auto"/>
        </w:rPr>
      </w:pPr>
    </w:p>
    <w:p>
      <w:pPr>
        <w:ind w:left="440" w:hanging="270"/>
        <w:spacing w:after="0"/>
        <w:tabs>
          <w:tab w:leader="none" w:pos="440" w:val="left"/>
        </w:tabs>
        <w:numPr>
          <w:ilvl w:val="0"/>
          <w:numId w:val="39"/>
        </w:numPr>
        <w:rPr>
          <w:rFonts w:ascii="Arial" w:cs="Arial" w:eastAsia="Arial" w:hAnsi="Arial"/>
          <w:sz w:val="18"/>
          <w:szCs w:val="18"/>
          <w:color w:val="0F6EC8"/>
        </w:rPr>
      </w:pPr>
      <w:r>
        <w:rPr>
          <w:rFonts w:ascii="Arial" w:cs="Arial" w:eastAsia="Arial" w:hAnsi="Arial"/>
          <w:sz w:val="18"/>
          <w:szCs w:val="18"/>
          <w:color w:val="auto"/>
        </w:rPr>
        <w:t>Payment of $225.0 million in connection with the closing of our acquisition of RayThera; and</w:t>
      </w:r>
    </w:p>
    <w:p>
      <w:pPr>
        <w:spacing w:after="0" w:line="117" w:lineRule="exact"/>
        <w:rPr>
          <w:rFonts w:ascii="Arial" w:cs="Arial" w:eastAsia="Arial" w:hAnsi="Arial"/>
          <w:sz w:val="18"/>
          <w:szCs w:val="18"/>
          <w:color w:val="0F6EC8"/>
        </w:rPr>
      </w:pPr>
    </w:p>
    <w:p>
      <w:pPr>
        <w:ind w:left="500" w:hanging="330"/>
        <w:spacing w:after="0" w:line="287" w:lineRule="auto"/>
        <w:tabs>
          <w:tab w:leader="none" w:pos="455" w:val="left"/>
        </w:tabs>
        <w:numPr>
          <w:ilvl w:val="0"/>
          <w:numId w:val="39"/>
        </w:numPr>
        <w:rPr>
          <w:rFonts w:ascii="Arial" w:cs="Arial" w:eastAsia="Arial" w:hAnsi="Arial"/>
          <w:sz w:val="18"/>
          <w:szCs w:val="18"/>
          <w:color w:val="0F6EC8"/>
        </w:rPr>
      </w:pPr>
      <w:r>
        <w:rPr>
          <w:rFonts w:ascii="Arial" w:cs="Arial" w:eastAsia="Arial" w:hAnsi="Arial"/>
          <w:sz w:val="18"/>
          <w:szCs w:val="18"/>
          <w:color w:val="auto"/>
        </w:rPr>
        <w:t>Milestone expense of $50.0 million to Dayra Therapeutics in connection with an option to obtain a worldwide, exclusive, royalty-bearing license to develop and commercialize a pre-clinical therapy.</w:t>
      </w:r>
    </w:p>
    <w:p>
      <w:pPr>
        <w:spacing w:after="0" w:line="45" w:lineRule="exact"/>
        <w:rPr>
          <w:sz w:val="20"/>
          <w:szCs w:val="20"/>
          <w:color w:val="auto"/>
        </w:rPr>
      </w:pPr>
    </w:p>
    <w:p>
      <w:pPr>
        <w:ind w:left="80" w:right="460"/>
        <w:spacing w:after="0" w:line="287" w:lineRule="auto"/>
        <w:rPr>
          <w:sz w:val="20"/>
          <w:szCs w:val="20"/>
          <w:color w:val="auto"/>
        </w:rPr>
      </w:pPr>
      <w:r>
        <w:rPr>
          <w:rFonts w:ascii="Arial" w:cs="Arial" w:eastAsia="Arial" w:hAnsi="Arial"/>
          <w:sz w:val="18"/>
          <w:szCs w:val="18"/>
          <w:color w:val="auto"/>
        </w:rPr>
        <w:t>For the nine months ended September 30, 2026, acquired in-process research and development, upfront and milestone expense also included the following activity:</w:t>
      </w:r>
    </w:p>
    <w:p>
      <w:pPr>
        <w:spacing w:after="0" w:line="45" w:lineRule="exact"/>
        <w:rPr>
          <w:sz w:val="20"/>
          <w:szCs w:val="20"/>
          <w:color w:val="auto"/>
        </w:rPr>
      </w:pPr>
    </w:p>
    <w:p>
      <w:pPr>
        <w:ind w:left="440" w:hanging="270"/>
        <w:spacing w:after="0"/>
        <w:tabs>
          <w:tab w:leader="none" w:pos="440" w:val="left"/>
        </w:tabs>
        <w:numPr>
          <w:ilvl w:val="0"/>
          <w:numId w:val="40"/>
        </w:numPr>
        <w:rPr>
          <w:rFonts w:ascii="Arial" w:cs="Arial" w:eastAsia="Arial" w:hAnsi="Arial"/>
          <w:sz w:val="18"/>
          <w:szCs w:val="18"/>
          <w:color w:val="0F6EC8"/>
        </w:rPr>
      </w:pPr>
      <w:r>
        <w:rPr>
          <w:rFonts w:ascii="Arial" w:cs="Arial" w:eastAsia="Arial" w:hAnsi="Arial"/>
          <w:sz w:val="18"/>
          <w:szCs w:val="18"/>
          <w:color w:val="auto"/>
        </w:rPr>
        <w:t>Payment of $100.0 million to TJ Bio to acquire exclusive rights to felzartamab in the greater China region;</w:t>
      </w:r>
    </w:p>
    <w:p>
      <w:pPr>
        <w:spacing w:after="0" w:line="117" w:lineRule="exact"/>
        <w:rPr>
          <w:rFonts w:ascii="Arial" w:cs="Arial" w:eastAsia="Arial" w:hAnsi="Arial"/>
          <w:sz w:val="18"/>
          <w:szCs w:val="18"/>
          <w:color w:val="0F6EC8"/>
        </w:rPr>
      </w:pPr>
    </w:p>
    <w:p>
      <w:pPr>
        <w:ind w:left="440" w:hanging="270"/>
        <w:spacing w:after="0"/>
        <w:tabs>
          <w:tab w:leader="none" w:pos="440" w:val="left"/>
        </w:tabs>
        <w:numPr>
          <w:ilvl w:val="0"/>
          <w:numId w:val="40"/>
        </w:numPr>
        <w:rPr>
          <w:rFonts w:ascii="Arial" w:cs="Arial" w:eastAsia="Arial" w:hAnsi="Arial"/>
          <w:sz w:val="18"/>
          <w:szCs w:val="18"/>
          <w:color w:val="0F6EC8"/>
        </w:rPr>
      </w:pPr>
      <w:r>
        <w:rPr>
          <w:rFonts w:ascii="Arial" w:cs="Arial" w:eastAsia="Arial" w:hAnsi="Arial"/>
          <w:sz w:val="18"/>
          <w:szCs w:val="18"/>
          <w:color w:val="auto"/>
        </w:rPr>
        <w:t>Milestone payment of $45.0 million to Ionis in connection with the initiation of a Phase 3 trial of salanersen;</w:t>
      </w:r>
    </w:p>
    <w:p>
      <w:pPr>
        <w:spacing w:after="0" w:line="117" w:lineRule="exact"/>
        <w:rPr>
          <w:rFonts w:ascii="Arial" w:cs="Arial" w:eastAsia="Arial" w:hAnsi="Arial"/>
          <w:sz w:val="18"/>
          <w:szCs w:val="18"/>
          <w:color w:val="0F6EC8"/>
        </w:rPr>
      </w:pPr>
    </w:p>
    <w:p>
      <w:pPr>
        <w:ind w:left="500" w:right="660" w:hanging="330"/>
        <w:spacing w:after="0" w:line="287" w:lineRule="auto"/>
        <w:tabs>
          <w:tab w:leader="none" w:pos="455" w:val="left"/>
        </w:tabs>
        <w:numPr>
          <w:ilvl w:val="0"/>
          <w:numId w:val="40"/>
        </w:numPr>
        <w:rPr>
          <w:rFonts w:ascii="Arial" w:cs="Arial" w:eastAsia="Arial" w:hAnsi="Arial"/>
          <w:sz w:val="18"/>
          <w:szCs w:val="18"/>
          <w:color w:val="0F6EC8"/>
        </w:rPr>
      </w:pPr>
      <w:r>
        <w:rPr>
          <w:rFonts w:ascii="Arial" w:cs="Arial" w:eastAsia="Arial" w:hAnsi="Arial"/>
          <w:sz w:val="18"/>
          <w:szCs w:val="18"/>
          <w:color w:val="auto"/>
        </w:rPr>
        <w:t>Option payment of $15.0 million to Ionis to obtain a worldwide, exclusive, royalty-bearing license to develop and commercialize BIIB147;</w:t>
      </w:r>
    </w:p>
    <w:p>
      <w:pPr>
        <w:spacing w:after="0" w:line="44" w:lineRule="exact"/>
        <w:rPr>
          <w:rFonts w:ascii="Arial" w:cs="Arial" w:eastAsia="Arial" w:hAnsi="Arial"/>
          <w:sz w:val="18"/>
          <w:szCs w:val="18"/>
          <w:color w:val="0F6EC8"/>
        </w:rPr>
      </w:pPr>
    </w:p>
    <w:p>
      <w:pPr>
        <w:ind w:left="440" w:hanging="270"/>
        <w:spacing w:after="0"/>
        <w:tabs>
          <w:tab w:leader="none" w:pos="440" w:val="left"/>
        </w:tabs>
        <w:numPr>
          <w:ilvl w:val="0"/>
          <w:numId w:val="40"/>
        </w:numPr>
        <w:rPr>
          <w:rFonts w:ascii="Arial" w:cs="Arial" w:eastAsia="Arial" w:hAnsi="Arial"/>
          <w:sz w:val="18"/>
          <w:szCs w:val="18"/>
          <w:color w:val="0F6EC8"/>
        </w:rPr>
      </w:pPr>
      <w:r>
        <w:rPr>
          <w:rFonts w:ascii="Arial" w:cs="Arial" w:eastAsia="Arial" w:hAnsi="Arial"/>
          <w:sz w:val="18"/>
          <w:szCs w:val="18"/>
          <w:color w:val="auto"/>
        </w:rPr>
        <w:t>Upfront payment of $20.0 million to Alteogen in connection with the closing of our collaboration and license agreement; and</w:t>
      </w:r>
    </w:p>
    <w:p>
      <w:pPr>
        <w:spacing w:after="0" w:line="117" w:lineRule="exact"/>
        <w:rPr>
          <w:rFonts w:ascii="Arial" w:cs="Arial" w:eastAsia="Arial" w:hAnsi="Arial"/>
          <w:sz w:val="18"/>
          <w:szCs w:val="18"/>
          <w:color w:val="0F6EC8"/>
        </w:rPr>
      </w:pPr>
    </w:p>
    <w:p>
      <w:pPr>
        <w:ind w:left="440" w:hanging="270"/>
        <w:spacing w:after="0"/>
        <w:tabs>
          <w:tab w:leader="none" w:pos="440" w:val="left"/>
        </w:tabs>
        <w:numPr>
          <w:ilvl w:val="0"/>
          <w:numId w:val="40"/>
        </w:numPr>
        <w:rPr>
          <w:rFonts w:ascii="Arial" w:cs="Arial" w:eastAsia="Arial" w:hAnsi="Arial"/>
          <w:sz w:val="18"/>
          <w:szCs w:val="18"/>
          <w:color w:val="0F6EC8"/>
        </w:rPr>
      </w:pPr>
      <w:r>
        <w:rPr>
          <w:rFonts w:ascii="Arial" w:cs="Arial" w:eastAsia="Arial" w:hAnsi="Arial"/>
          <w:sz w:val="18"/>
          <w:szCs w:val="18"/>
          <w:color w:val="auto"/>
        </w:rPr>
        <w:t>Upfront payment of $12.0 million to Alloy in connection with the closing of our collaboration and license agreement.</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For the nine months ended September 30, 2025, acquired in-process research and development, upfront and milestone expense included the following activity:</w:t>
      </w:r>
    </w:p>
    <w:p>
      <w:pPr>
        <w:spacing w:after="0" w:line="45" w:lineRule="exact"/>
        <w:rPr>
          <w:sz w:val="20"/>
          <w:szCs w:val="20"/>
          <w:color w:val="auto"/>
        </w:rPr>
      </w:pPr>
    </w:p>
    <w:p>
      <w:pPr>
        <w:ind w:left="500" w:right="720" w:hanging="330"/>
        <w:spacing w:after="0" w:line="287" w:lineRule="auto"/>
        <w:tabs>
          <w:tab w:leader="none" w:pos="455" w:val="left"/>
        </w:tabs>
        <w:numPr>
          <w:ilvl w:val="0"/>
          <w:numId w:val="41"/>
        </w:numPr>
        <w:rPr>
          <w:rFonts w:ascii="Arial" w:cs="Arial" w:eastAsia="Arial" w:hAnsi="Arial"/>
          <w:sz w:val="18"/>
          <w:szCs w:val="18"/>
          <w:color w:val="0F6EC8"/>
        </w:rPr>
      </w:pPr>
      <w:r>
        <w:rPr>
          <w:rFonts w:ascii="Arial" w:cs="Arial" w:eastAsia="Arial" w:hAnsi="Arial"/>
          <w:sz w:val="18"/>
          <w:szCs w:val="18"/>
          <w:color w:val="auto"/>
        </w:rPr>
        <w:t>Milestone payment of $30.0 million to MorphoSys accrued in connection with the first patient dosed in a Phase 3 clinical trial of felzartamab for the treatment of IgAN;</w:t>
      </w:r>
    </w:p>
    <w:p>
      <w:pPr>
        <w:spacing w:after="0" w:line="44" w:lineRule="exact"/>
        <w:rPr>
          <w:rFonts w:ascii="Arial" w:cs="Arial" w:eastAsia="Arial" w:hAnsi="Arial"/>
          <w:sz w:val="18"/>
          <w:szCs w:val="18"/>
          <w:color w:val="0F6EC8"/>
        </w:rPr>
      </w:pPr>
    </w:p>
    <w:p>
      <w:pPr>
        <w:ind w:left="440" w:hanging="270"/>
        <w:spacing w:after="0"/>
        <w:tabs>
          <w:tab w:leader="none" w:pos="440" w:val="left"/>
        </w:tabs>
        <w:numPr>
          <w:ilvl w:val="0"/>
          <w:numId w:val="41"/>
        </w:numPr>
        <w:rPr>
          <w:rFonts w:ascii="Arial" w:cs="Arial" w:eastAsia="Arial" w:hAnsi="Arial"/>
          <w:sz w:val="18"/>
          <w:szCs w:val="18"/>
          <w:color w:val="0F6EC8"/>
        </w:rPr>
      </w:pPr>
      <w:r>
        <w:rPr>
          <w:rFonts w:ascii="Arial" w:cs="Arial" w:eastAsia="Arial" w:hAnsi="Arial"/>
          <w:sz w:val="18"/>
          <w:szCs w:val="18"/>
          <w:color w:val="auto"/>
        </w:rPr>
        <w:t>Upfront payment of $16.0 million to City Therapeutics in connection with the closing of our strategic research arrangement;</w:t>
      </w:r>
    </w:p>
    <w:p>
      <w:pPr>
        <w:spacing w:after="0" w:line="117" w:lineRule="exact"/>
        <w:rPr>
          <w:rFonts w:ascii="Arial" w:cs="Arial" w:eastAsia="Arial" w:hAnsi="Arial"/>
          <w:sz w:val="18"/>
          <w:szCs w:val="18"/>
          <w:color w:val="0F6EC8"/>
        </w:rPr>
      </w:pPr>
    </w:p>
    <w:p>
      <w:pPr>
        <w:ind w:left="440" w:hanging="270"/>
        <w:spacing w:after="0"/>
        <w:tabs>
          <w:tab w:leader="none" w:pos="440" w:val="left"/>
        </w:tabs>
        <w:numPr>
          <w:ilvl w:val="0"/>
          <w:numId w:val="41"/>
        </w:numPr>
        <w:rPr>
          <w:rFonts w:ascii="Arial" w:cs="Arial" w:eastAsia="Arial" w:hAnsi="Arial"/>
          <w:sz w:val="18"/>
          <w:szCs w:val="18"/>
          <w:color w:val="0F6EC8"/>
        </w:rPr>
      </w:pPr>
      <w:r>
        <w:rPr>
          <w:rFonts w:ascii="Arial" w:cs="Arial" w:eastAsia="Arial" w:hAnsi="Arial"/>
          <w:sz w:val="18"/>
          <w:szCs w:val="18"/>
          <w:color w:val="auto"/>
        </w:rPr>
        <w:t>Upfront payment of $165.0 million to Stoke in connection with the closing of our collaboration and license agreement; and</w:t>
      </w:r>
    </w:p>
    <w:p>
      <w:pPr>
        <w:spacing w:after="0" w:line="117" w:lineRule="exact"/>
        <w:rPr>
          <w:rFonts w:ascii="Arial" w:cs="Arial" w:eastAsia="Arial" w:hAnsi="Arial"/>
          <w:sz w:val="18"/>
          <w:szCs w:val="18"/>
          <w:color w:val="0F6EC8"/>
        </w:rPr>
      </w:pPr>
    </w:p>
    <w:p>
      <w:pPr>
        <w:ind w:left="500" w:right="160" w:hanging="330"/>
        <w:spacing w:after="0" w:line="287" w:lineRule="auto"/>
        <w:tabs>
          <w:tab w:leader="none" w:pos="455" w:val="left"/>
        </w:tabs>
        <w:numPr>
          <w:ilvl w:val="0"/>
          <w:numId w:val="41"/>
        </w:numPr>
        <w:rPr>
          <w:rFonts w:ascii="Arial" w:cs="Arial" w:eastAsia="Arial" w:hAnsi="Arial"/>
          <w:sz w:val="18"/>
          <w:szCs w:val="18"/>
          <w:color w:val="0F6EC8"/>
        </w:rPr>
      </w:pPr>
      <w:r>
        <w:rPr>
          <w:rFonts w:ascii="Arial" w:cs="Arial" w:eastAsia="Arial" w:hAnsi="Arial"/>
          <w:sz w:val="18"/>
          <w:szCs w:val="18"/>
          <w:color w:val="auto"/>
        </w:rPr>
        <w:t>Milestone payment of $35.0 million to MorphoSys in connection with the first patient dosed in a Phase 3 clinical trial of felzartamab for the treatment of AMR.</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SELLING, GENERAL AND ADMINISTRATIVE</w:t>
      </w:r>
    </w:p>
    <w:p>
      <w:pPr>
        <w:spacing w:after="0" w:line="10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the three and nine months ended September 30, 2026, compared to the same periods in 2025, selling, general and administrative expense increased by approximately 26.4% and 18.2%, respectively, primarily due to the inclusion of the commercial and management operations of Apellis subsequent to our acquisition of the company and an increase in operational spending on sales and marketing activities in support of our U.S. and international product launches.</w:t>
      </w:r>
    </w:p>
    <w:p>
      <w:pPr>
        <w:spacing w:after="0" w:line="6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expect selling, general and administrative expense for 2026 to increase when compared to 2025. We anticipate increased spend related to our integration efforts around our acquisition of Apellis and continued investment in product launches and pre-launch activities, partially offset by reduced spending for our mature products.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70C0"/>
        </w:rPr>
        <w:t>AMORTIZATION AND IMPAIRMENT OF ACQUIRED INTANGIBLE ASSETS</w:t>
      </w:r>
    </w:p>
    <w:p>
      <w:pPr>
        <w:spacing w:after="0" w:line="10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amortization expense is based on the economic consumption and impairment of intangible assets. Our most significant amortizable intangible assets are related to TYSABRI, AVONEX, SPINRAZA, VUMERITY, SKYCLARYS, and upon the May 2026 acquisition of Apellis, SYFOVRE and EMPAVELI.</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For the three and nine months ended September 30, 2026, amortization of acquired intangible assets, excluding impairment charges, totaled $172.8 million and $477.5 million, respectively, compared to $135.7 million and $374.9 million, respectively in the prior year comparative periods. The increases were primarily due to higher rates of amortization for the acquired intangible assets associated with SKYCLARYS and amortization expense related to intangible assets acquired from Apellis, which totaled $45.2 million and $67.8 million for the three and nine months ended September 30, 2026, respectively. For additional information on our acquisition of Apellis,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 consolidated financial statements.</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the three and nine months ended September 30, 2026, we had no impairment charges. For the three months ended September 30, 2025, we had no impairment charges. For the nine months ended September 30, 2025, amortization and impairment of acquired intangible assets reflects the impact of a $3.5 million impairment charge related to a compound acquired from HI-Bio.</w:t>
      </w:r>
    </w:p>
    <w:p>
      <w:pPr>
        <w:spacing w:after="0" w:line="6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 xml:space="preserve">For additional information on the amortization and impairment of our acquired intangible assets, please read </w:t>
      </w:r>
      <w:r>
        <w:rPr>
          <w:rFonts w:ascii="Arial" w:cs="Arial" w:eastAsia="Arial" w:hAnsi="Arial"/>
          <w:sz w:val="18"/>
          <w:szCs w:val="18"/>
          <w:i w:val="1"/>
          <w:iCs w:val="1"/>
          <w:color w:val="auto"/>
        </w:rPr>
        <w:t>Note 7, Intangible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w:t>
      </w:r>
      <w:r>
        <w:rPr>
          <w:rFonts w:ascii="Arial" w:cs="Arial" w:eastAsia="Arial" w:hAnsi="Arial"/>
          <w:sz w:val="18"/>
          <w:szCs w:val="18"/>
          <w:color w:val="auto"/>
        </w:rPr>
        <w:t>, to our condensed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COLLABORATION PROFIT SHARING/(LOSS REIMBURSEMENT)</w:t>
      </w:r>
    </w:p>
    <w:p>
      <w:pPr>
        <w:spacing w:after="0" w:line="119"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Collaboration profit sharing/(loss reimbursement) includes Samsung Bioepis' 50.0% share of the profit or loss related to our biosimilars 2013 commercial agreement with Samsung Bioepis and collaboration profit sharing/(loss reimbursement) related to Supernus' 50.0% share of the profit or loss related to ZURZUVAE for PPD.</w:t>
      </w:r>
    </w:p>
    <w:p>
      <w:pPr>
        <w:spacing w:after="0" w:line="6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For the three and nine months ended September 30, 2026, we recognized net profit-sharing expense of approximately $49.0 million and $151.1 million, respectively, to reflect Samsung Bioepis' 50.0% sharing of the net collaboration profits, compared to net profit-sharing expense of approximately $66.5 million and $171.7 million, respectively, in the prior year comparative periods.</w:t>
      </w:r>
    </w:p>
    <w:p>
      <w:pPr>
        <w:spacing w:after="0" w:line="6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For the three and nine months ended September 30, 2026, we recognized net profit-sharing expense of approximately $28.8 million and $69.7 million, respectively, to reflect Supernus' 50.0% share of the net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collaboration results, compared to net profit-sharing expense of approximately $20.7 million and $48.6 million, respectively, in the prior year comparative periods.</w:t>
      </w:r>
    </w:p>
    <w:p>
      <w:pPr>
        <w:spacing w:after="0" w:line="45"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 xml:space="preserve">For additional information on our collaboration and license arrangements with Samsung Bioepis and Supernus, please read </w:t>
      </w:r>
      <w:r>
        <w:rPr>
          <w:rFonts w:ascii="Arial" w:cs="Arial" w:eastAsia="Arial" w:hAnsi="Arial"/>
          <w:sz w:val="18"/>
          <w:szCs w:val="18"/>
          <w:i w:val="1"/>
          <w:iCs w:val="1"/>
          <w:color w:val="auto"/>
        </w:rPr>
        <w:t>Note 19,</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condensed consolidated financial statements included in this report.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0070C0"/>
        </w:rPr>
        <w:t>(GAIN) LOSS ON FAIR VALUE REMEASUREMENT OF CONTINGENT CONSIDERATION</w:t>
      </w:r>
    </w:p>
    <w:p>
      <w:pPr>
        <w:spacing w:after="0" w:line="1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Consideration payable for certain of our business combinations include future payments that are contingent upon the occurrence of a particular event or events. We record an obligation for such contingent consideration payments at fair value on the acquisition date. We then revalue our contingent consideration obligations each reporting period. Changes in the fair value of our contingent consideration obligations, other than changes due to payments, are recognized as a (gain) loss on fair value remeasurement of contingent consideration in our condensed consolidated statements of income. In connection with our acquisitions of HI-Bio and Apellis we recorded contingent consideration obligations related to potential milestone payments.</w:t>
      </w:r>
    </w:p>
    <w:p>
      <w:pPr>
        <w:spacing w:after="0" w:line="7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For the three and nine months ended September 30, 2026, changes in the fair value of our contingent consideration obligations were primarily due to changes in the probabilities of success and expected timing of the achievement of certain remaining developmental milestones related to our acquisition of HI-Bio, and the recognition of a $4.1 million obligation related to the acquisition of Apellis.</w:t>
      </w:r>
    </w:p>
    <w:p>
      <w:pPr>
        <w:spacing w:after="0" w:line="6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During the second quarter of 2025 the first milestone related to the fourth patient dosed in a phase 3 clinical trial of felzartamab for AMR was achieved, resulting in a $150.0 million milestone payment made to the former shareholders of HI-Bio, which was paid during the third quarter of 2025.</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For additional information on our acquisition of Apellis,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xml:space="preserve">, to these condensed consolidated financial statements. 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our 2025 Form 10-K.</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70C0"/>
        </w:rPr>
        <w:t>RESTRUCTURING CHARGES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RESTRUCTURING PROGRAMS</w:t>
      </w:r>
    </w:p>
    <w:p>
      <w:pPr>
        <w:spacing w:after="0" w:line="12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have undertaken a number of initiatives, including Fit for Growth and our integration of Apellis, which are designed to reduce operating costs, improve synergies, efficiency and effectiveness and integrate the operations of Apellis.</w:t>
      </w:r>
    </w:p>
    <w:p>
      <w:pPr>
        <w:spacing w:after="0" w:line="4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Fit for Growth program generated approximately $1.0 billion in gross operating expense savings by the end of 2025, some of which has been reinvested in various initiatives. The Fit for Growth program included net headcount reductions of approximately 1,400 employees and we incurred total restructuring charges of approximately $320.0 millionby the end of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Following the closing of the Apellis acquisition, we implemented an integration plan designed to realize operating synergies through cost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savings and avoidance. For the three and nine months ended September 30, 2026, we recognized approximately $41.5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$194.7 million, respectively, of net pre-tax restructuring charges, primarily consisting of employee severance costs and the acceleration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bonus payments for Apellis employees that were subject to a double-trigger provision. We have also undertaken targeted initiatives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generate efficiencies consistent with our change in our product profile and need to invest resources in our product launches.</w:t>
      </w:r>
    </w:p>
    <w:p>
      <w:pPr>
        <w:spacing w:after="0" w:line="9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three and nine months ended September 30, 2026, we recognized $66.5 million and $ 239.8 million, respectively, in restructuring charges primarily consisting of employee severance costs and the acceleration of bonus payments for Apellis employees that were subject to a double-trigger provision within restructuring charges in our condensed consolidated statements of income, compared to $7.4 million and $42.0 million in the comparable periods in 2025.</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OTHER (INCOME) EXPENSE, NET</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the three months ended September 30, 2026, compared to the same period in 2025, the change in other (income) expense, net primarily reflects higher net interest expense, higher losses on our equity investments and higher litigation related expenses in 2026. For the nine months ended September 30, 2026, compared to the same period in 2025, the change in other (income) expense, net primarily reflects higher net interest expense and higher litigation related expenses in 2026, partially offset by higher gains on our equity investments in 2026.</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INTEREST INCOME AND EXPENSE</w:t>
      </w:r>
    </w:p>
    <w:p>
      <w:pPr>
        <w:spacing w:after="0" w:line="12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the three and nine months ended September 30, 2026, net interest expense were approximately $78.2 million and $164.9 million, respectively, compared to $35.8 million and $112.2 million, respectively, in the prior year comparative periods. The changes were primarily due to lower interest income and higher interest expense resulting from our acquisition of Apellis. We anticipate higher net interest expense to continue in 2026 compared to 2025.</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NET (GAINS) LOSSES IN EQUITY SECURITIES</w:t>
      </w:r>
    </w:p>
    <w:p>
      <w:pPr>
        <w:spacing w:after="0" w:line="11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three months ended September 30, 2026, net unrealized and realized losses on our holdings in equity securities were approximately $25.1 million and $8.2 million respectively, compared to net unrealized gains and realized losses of approximately $3.2 million and $7.0 million, respectively, in the prior year comparative periods.</w:t>
      </w:r>
    </w:p>
    <w:p>
      <w:pPr>
        <w:spacing w:after="0" w:line="63" w:lineRule="exact"/>
        <w:rPr>
          <w:sz w:val="20"/>
          <w:szCs w:val="20"/>
          <w:color w:val="auto"/>
        </w:rPr>
      </w:pPr>
    </w:p>
    <w:p>
      <w:pPr>
        <w:ind w:left="340" w:right="180" w:hanging="332"/>
        <w:spacing w:after="0" w:line="287" w:lineRule="auto"/>
        <w:tabs>
          <w:tab w:leader="none" w:pos="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net unrealized losses recognized during the three months ended September 30, 2026, primarily reflect a decrease in the aggregate fair value of our investment in Denali common stock of approximately $23.7 million.</w:t>
      </w:r>
    </w:p>
    <w:p>
      <w:pPr>
        <w:spacing w:after="0" w:line="44" w:lineRule="exact"/>
        <w:rPr>
          <w:rFonts w:ascii="Arial" w:cs="Arial" w:eastAsia="Arial" w:hAnsi="Arial"/>
          <w:sz w:val="18"/>
          <w:szCs w:val="18"/>
          <w:color w:val="auto"/>
        </w:rPr>
      </w:pPr>
    </w:p>
    <w:p>
      <w:pPr>
        <w:ind w:left="340" w:right="220" w:hanging="332"/>
        <w:spacing w:after="0" w:line="287" w:lineRule="auto"/>
        <w:tabs>
          <w:tab w:leader="none" w:pos="295" w:val="left"/>
        </w:tabs>
        <w:numPr>
          <w:ilvl w:val="0"/>
          <w:numId w:val="42"/>
        </w:numPr>
        <w:rPr>
          <w:rFonts w:ascii="Arial" w:cs="Arial" w:eastAsia="Arial" w:hAnsi="Arial"/>
          <w:sz w:val="18"/>
          <w:szCs w:val="18"/>
          <w:color w:val="0070C0"/>
        </w:rPr>
      </w:pPr>
      <w:r>
        <w:rPr>
          <w:rFonts w:ascii="Arial" w:cs="Arial" w:eastAsia="Arial" w:hAnsi="Arial"/>
          <w:sz w:val="18"/>
          <w:szCs w:val="18"/>
          <w:color w:val="auto"/>
        </w:rPr>
        <w:t>The net unrealized gains recognized during the three months ended September 30, 2025, primarily reflect an increase in the aggregate fair value of our investments in Denali common stock of approximately $3.8 million.</w:t>
      </w:r>
    </w:p>
    <w:p>
      <w:pPr>
        <w:spacing w:after="0" w:line="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nine months ended September 30, 2026, net unrealized gains and realized losses on our holdings in equity securities were approximately $36.8 million and $5.0 million, respectively, compared to net unrealized and realized losses of approximately $32.5 million and $1.6 million, respectively, in the prior year comparative periods.</w:t>
      </w:r>
    </w:p>
    <w:p>
      <w:pPr>
        <w:spacing w:after="0" w:line="76" w:lineRule="exact"/>
        <w:rPr>
          <w:sz w:val="20"/>
          <w:szCs w:val="20"/>
          <w:color w:val="auto"/>
        </w:rPr>
      </w:pPr>
    </w:p>
    <w:p>
      <w:pPr>
        <w:ind w:left="340" w:right="300" w:hanging="332"/>
        <w:spacing w:after="0" w:line="276" w:lineRule="auto"/>
        <w:tabs>
          <w:tab w:leader="none" w:pos="288" w:val="left"/>
        </w:tabs>
        <w:numPr>
          <w:ilvl w:val="0"/>
          <w:numId w:val="43"/>
        </w:numPr>
        <w:rPr>
          <w:rFonts w:ascii="Arial" w:cs="Arial" w:eastAsia="Arial" w:hAnsi="Arial"/>
          <w:sz w:val="20"/>
          <w:szCs w:val="20"/>
          <w:b w:val="1"/>
          <w:bCs w:val="1"/>
          <w:color w:val="0070C0"/>
        </w:rPr>
      </w:pPr>
      <w:r>
        <w:rPr>
          <w:rFonts w:ascii="Arial" w:cs="Arial" w:eastAsia="Arial" w:hAnsi="Arial"/>
          <w:sz w:val="18"/>
          <w:szCs w:val="18"/>
          <w:color w:val="auto"/>
        </w:rPr>
        <w:t>The net unrealized gains recognized during the nine months ended September 30, 2026, primarily reflect an increase in the aggregate fair value of our investment in Denali common stock of approximately $42.2 million.</w:t>
      </w:r>
    </w:p>
    <w:p>
      <w:pPr>
        <w:spacing w:after="0" w:line="50" w:lineRule="exact"/>
        <w:rPr>
          <w:rFonts w:ascii="Arial" w:cs="Arial" w:eastAsia="Arial" w:hAnsi="Arial"/>
          <w:sz w:val="20"/>
          <w:szCs w:val="20"/>
          <w:b w:val="1"/>
          <w:bCs w:val="1"/>
          <w:color w:val="0070C0"/>
        </w:rPr>
      </w:pPr>
    </w:p>
    <w:p>
      <w:pPr>
        <w:ind w:left="340" w:right="260" w:hanging="332"/>
        <w:spacing w:after="0" w:line="268" w:lineRule="auto"/>
        <w:tabs>
          <w:tab w:leader="none" w:pos="295" w:val="left"/>
        </w:tabs>
        <w:numPr>
          <w:ilvl w:val="0"/>
          <w:numId w:val="43"/>
        </w:numPr>
        <w:rPr>
          <w:rFonts w:ascii="Arial" w:cs="Arial" w:eastAsia="Arial" w:hAnsi="Arial"/>
          <w:sz w:val="18"/>
          <w:szCs w:val="18"/>
          <w:color w:val="0070C0"/>
        </w:rPr>
      </w:pPr>
      <w:r>
        <w:rPr>
          <w:rFonts w:ascii="Arial" w:cs="Arial" w:eastAsia="Arial" w:hAnsi="Arial"/>
          <w:sz w:val="18"/>
          <w:szCs w:val="18"/>
          <w:color w:val="auto"/>
        </w:rPr>
        <w:t>The net unrealized losses recognized during the nine months ended September 30, 2025, primarily reflect a decrease in the aggregate fair value of our investments in Denali common stock of approximately $41.9 million, partially offset by an increase in the fair value of Sage common stock of approximately $23.0 million.</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70C0"/>
        </w:rPr>
        <w:t>INCOME TAX PROVISION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380" w:type="dxa"/>
            <w:vAlign w:val="bottom"/>
            <w:gridSpan w:val="5"/>
          </w:tcPr>
          <w:p>
            <w:pPr>
              <w:jc w:val="center"/>
              <w:ind w:right="148"/>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left="488"/>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5"/>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b w:val="1"/>
                <w:bCs w:val="1"/>
                <w:color w:val="0070C0"/>
              </w:rPr>
              <w:t>2026</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b w:val="1"/>
                <w:bCs w:val="1"/>
                <w:color w:val="0070C0"/>
              </w:rPr>
              <w:t>2026</w:t>
            </w:r>
          </w:p>
        </w:tc>
        <w:tc>
          <w:tcPr>
            <w:tcW w:w="14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r>
      <w:tr>
        <w:trPr>
          <w:trHeight w:val="197"/>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(Loss) Income before income tax (benefit) expense</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070C0"/>
              </w:rPr>
              <w:t>(9.0)</w:t>
            </w:r>
          </w:p>
        </w:tc>
        <w:tc>
          <w:tcPr>
            <w:tcW w:w="5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557.3</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501.1</w:t>
            </w:r>
          </w:p>
        </w:tc>
        <w:tc>
          <w:tcPr>
            <w:tcW w:w="140" w:type="dxa"/>
            <w:vAlign w:val="bottom"/>
            <w:shd w:val="clear" w:color="auto" w:fill="DBDBDB"/>
          </w:tcPr>
          <w:p>
            <w:pPr>
              <w:spacing w:after="0"/>
              <w:rPr>
                <w:sz w:val="17"/>
                <w:szCs w:val="17"/>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1,612.5</w:t>
            </w:r>
          </w:p>
        </w:tc>
      </w:tr>
      <w:tr>
        <w:trPr>
          <w:trHeight w:val="194"/>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2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0070C0"/>
              </w:rPr>
              <w:t>11.6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104.7</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270.7</w:t>
            </w:r>
          </w:p>
        </w:tc>
      </w:tr>
      <w:tr>
        <w:trPr>
          <w:trHeight w:val="211"/>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257ACB"/>
              </w:rPr>
              <w:t>(128.5)%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16.3 %</w:t>
            </w:r>
          </w:p>
        </w:tc>
        <w:tc>
          <w:tcPr>
            <w:tcW w:w="100" w:type="dxa"/>
            <w:vAlign w:val="bottom"/>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20.9</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-393700</wp:posOffset>
            </wp:positionV>
            <wp:extent cx="796925" cy="3943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96925" cy="394335"/>
                    </a:xfrm>
                    <a:prstGeom prst="rect">
                      <a:avLst/>
                    </a:prstGeom>
                    <a:noFill/>
                  </pic:spPr>
                </pic:pic>
              </a:graphicData>
            </a:graphic>
          </wp:anchor>
        </w:drawing>
      </w:r>
    </w:p>
    <w:p>
      <w:pPr>
        <w:spacing w:after="0" w:line="16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 the levels of certain deductions and credits, acquisitions and licensing transactions.</w:t>
      </w:r>
    </w:p>
    <w:p>
      <w:pPr>
        <w:spacing w:after="0" w:line="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change in our effective tax rate for the three months ended September 30, 2026 was primarily driven by the non-deductible IPR&amp;D charge related to the RayThera stock acquisition, partially offset by a decrease in valuation allowances on Swiss loss carryforwards following a tax law change during the quarter. The nine months ended September 30, 2026, also reflects non-deductible expenses related to our Apellis acquisition, partially offset by favorable impacts of a current year settlement of a foreign tax audit and the vesting of certain share-based awards. The same period in 2025, also included favorable deferred tax impacts of decreases in foreign withholding taxes.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PILLAR TWO</w:t>
      </w:r>
    </w:p>
    <w:p>
      <w:pPr>
        <w:spacing w:after="0" w:line="9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OECD has issued model rules, which generally provide for a jurisdictional minimum effective tax rate of 15.0% as defined in those rules. Various countries have or are in the process of enacting legislation intended to implement the principles. Our income tax provision for the three and nine months ended September 30, 2026 and 2025, reflects currently enacted legislation and guidance related to the OECD model rules, including the Pillar Two side-by-side package announced by the OECD in January 2026. This enacted legislation and guidance related to the OECD model rules and the side-by-side package did not result in any material adjustments to our income tax provision or income tax balances as of September 30, 2026 and December 31, 2025.</w:t>
      </w:r>
    </w:p>
    <w:p>
      <w:pPr>
        <w:spacing w:after="0" w:line="6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 xml:space="preserve">For additional information on our income taxes, please read </w:t>
      </w:r>
      <w:r>
        <w:rPr>
          <w:rFonts w:ascii="Arial" w:cs="Arial" w:eastAsia="Arial" w:hAnsi="Arial"/>
          <w:sz w:val="18"/>
          <w:szCs w:val="18"/>
          <w:i w:val="1"/>
          <w:iCs w:val="1"/>
          <w:color w:val="auto"/>
        </w:rPr>
        <w:t>Note 17, Income Taxes</w:t>
      </w:r>
      <w:r>
        <w:rPr>
          <w:rFonts w:ascii="Arial" w:cs="Arial" w:eastAsia="Arial" w:hAnsi="Arial"/>
          <w:sz w:val="18"/>
          <w:szCs w:val="18"/>
          <w:color w:val="auto"/>
        </w:rPr>
        <w:t>, to our consolidated financial statements included in our 2025 Form 10-K.</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00587F"/>
        </w:rPr>
        <w:t>FINANCIAL CONDITION, 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vMerge w:val="restart"/>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1500" w:type="dxa"/>
            <w:vAlign w:val="bottom"/>
            <w:shd w:val="clear" w:color="auto" w:fill="DDDDDD"/>
          </w:tcPr>
          <w:p>
            <w:pPr>
              <w:jc w:val="right"/>
              <w:ind w:right="48"/>
              <w:spacing w:after="0"/>
              <w:rPr>
                <w:sz w:val="20"/>
                <w:szCs w:val="20"/>
                <w:color w:val="auto"/>
              </w:rPr>
            </w:pPr>
            <w:r>
              <w:rPr>
                <w:rFonts w:ascii="Arial" w:cs="Arial" w:eastAsia="Arial" w:hAnsi="Arial"/>
                <w:sz w:val="14"/>
                <w:szCs w:val="14"/>
                <w:b w:val="1"/>
                <w:bCs w:val="1"/>
                <w:color w:val="257ACB"/>
              </w:rPr>
              <w:t>As of September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shd w:val="clear" w:color="auto" w:fill="DBDBDB"/>
          </w:tcPr>
          <w:p>
            <w:pPr>
              <w:spacing w:after="0"/>
              <w:rPr>
                <w:sz w:val="14"/>
                <w:szCs w:val="14"/>
                <w:color w:val="auto"/>
              </w:rPr>
            </w:pPr>
          </w:p>
        </w:tc>
        <w:tc>
          <w:tcPr>
            <w:tcW w:w="1060" w:type="dxa"/>
            <w:vAlign w:val="bottom"/>
            <w:vMerge w:val="restart"/>
            <w:shd w:val="clear" w:color="auto" w:fill="DBDBDB"/>
          </w:tcPr>
          <w:p>
            <w:pPr>
              <w:jc w:val="right"/>
              <w:ind w:right="188"/>
              <w:spacing w:after="0"/>
              <w:rPr>
                <w:sz w:val="20"/>
                <w:szCs w:val="20"/>
                <w:color w:val="auto"/>
              </w:rPr>
            </w:pPr>
            <w:r>
              <w:rPr>
                <w:rFonts w:ascii="Arial" w:cs="Arial" w:eastAsia="Arial" w:hAnsi="Arial"/>
                <w:sz w:val="14"/>
                <w:szCs w:val="14"/>
                <w:b w:val="1"/>
                <w:bCs w:val="1"/>
                <w:color w:val="0070C0"/>
              </w:rPr>
              <w:t>$ Change</w:t>
            </w:r>
          </w:p>
        </w:tc>
        <w:tc>
          <w:tcPr>
            <w:tcW w:w="100" w:type="dxa"/>
            <w:vAlign w:val="bottom"/>
          </w:tcPr>
          <w:p>
            <w:pPr>
              <w:spacing w:after="0"/>
              <w:rPr>
                <w:sz w:val="14"/>
                <w:szCs w:val="14"/>
                <w:color w:val="auto"/>
              </w:rPr>
            </w:pPr>
          </w:p>
        </w:tc>
        <w:tc>
          <w:tcPr>
            <w:tcW w:w="1280" w:type="dxa"/>
            <w:vAlign w:val="bottom"/>
            <w:gridSpan w:val="2"/>
            <w:vMerge w:val="restart"/>
            <w:shd w:val="clear" w:color="auto" w:fill="DBDBDB"/>
          </w:tcPr>
          <w:p>
            <w:pPr>
              <w:jc w:val="right"/>
              <w:ind w:right="228"/>
              <w:spacing w:after="0"/>
              <w:rPr>
                <w:sz w:val="20"/>
                <w:szCs w:val="20"/>
                <w:color w:val="auto"/>
              </w:rPr>
            </w:pPr>
            <w:r>
              <w:rPr>
                <w:rFonts w:ascii="Arial" w:cs="Arial" w:eastAsia="Arial" w:hAnsi="Arial"/>
                <w:sz w:val="14"/>
                <w:szCs w:val="14"/>
                <w:b w:val="1"/>
                <w:bCs w:val="1"/>
                <w:color w:val="0070C0"/>
              </w:rPr>
              <w:t>% Change</w:t>
            </w:r>
          </w:p>
        </w:tc>
        <w:tc>
          <w:tcPr>
            <w:tcW w:w="0" w:type="dxa"/>
            <w:vAlign w:val="bottom"/>
          </w:tcPr>
          <w:p>
            <w:pPr>
              <w:spacing w:after="0"/>
              <w:rPr>
                <w:sz w:val="1"/>
                <w:szCs w:val="1"/>
                <w:color w:val="auto"/>
              </w:rPr>
            </w:pPr>
          </w:p>
        </w:tc>
      </w:tr>
      <w:tr>
        <w:trPr>
          <w:trHeight w:val="185"/>
        </w:trPr>
        <w:tc>
          <w:tcPr>
            <w:tcW w:w="5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1500" w:type="dxa"/>
            <w:vAlign w:val="bottom"/>
            <w:tcBorders>
              <w:bottom w:val="single" w:sz="8" w:color="auto"/>
            </w:tcBorders>
            <w:shd w:val="clear" w:color="auto" w:fill="DDDDDD"/>
          </w:tcPr>
          <w:p>
            <w:pPr>
              <w:jc w:val="right"/>
              <w:ind w:right="568"/>
              <w:spacing w:after="0"/>
              <w:rPr>
                <w:sz w:val="20"/>
                <w:szCs w:val="20"/>
                <w:color w:val="auto"/>
              </w:rPr>
            </w:pPr>
            <w:r>
              <w:rPr>
                <w:rFonts w:ascii="Arial" w:cs="Arial" w:eastAsia="Arial" w:hAnsi="Arial"/>
                <w:sz w:val="14"/>
                <w:szCs w:val="14"/>
                <w:b w:val="1"/>
                <w:bCs w:val="1"/>
                <w:color w:val="257ACB"/>
              </w:rPr>
              <w:t>2026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gridSpan w:val="2"/>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Financial assets:</w:t>
            </w:r>
          </w:p>
        </w:tc>
        <w:tc>
          <w:tcPr>
            <w:tcW w:w="12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1,303.9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3,008.5</w:t>
            </w:r>
          </w:p>
        </w:tc>
        <w:tc>
          <w:tcPr>
            <w:tcW w:w="100" w:type="dxa"/>
            <w:vAlign w:val="bottom"/>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(1,704.6)</w:t>
            </w:r>
          </w:p>
        </w:tc>
        <w:tc>
          <w:tcPr>
            <w:tcW w:w="100" w:type="dxa"/>
            <w:vAlign w:val="bottom"/>
          </w:tcPr>
          <w:p>
            <w:pPr>
              <w:spacing w:after="0"/>
              <w:rPr>
                <w:sz w:val="18"/>
                <w:szCs w:val="18"/>
                <w:color w:val="auto"/>
              </w:rPr>
            </w:pPr>
          </w:p>
        </w:tc>
        <w:tc>
          <w:tcPr>
            <w:tcW w:w="12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(56.7)%</w:t>
            </w:r>
          </w:p>
        </w:tc>
        <w:tc>
          <w:tcPr>
            <w:tcW w:w="0" w:type="dxa"/>
            <w:vAlign w:val="bottom"/>
          </w:tcPr>
          <w:p>
            <w:pPr>
              <w:spacing w:after="0"/>
              <w:rPr>
                <w:sz w:val="1"/>
                <w:szCs w:val="1"/>
                <w:color w:val="auto"/>
              </w:rPr>
            </w:pPr>
          </w:p>
        </w:tc>
      </w:tr>
      <w:tr>
        <w:trPr>
          <w:trHeight w:val="194"/>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Marketable securities — current</w:t>
            </w:r>
          </w:p>
        </w:tc>
        <w:tc>
          <w:tcPr>
            <w:tcW w:w="120" w:type="dxa"/>
            <w:vAlign w:val="bottom"/>
            <w:shd w:val="clear" w:color="auto" w:fill="DBDBDB"/>
          </w:tcPr>
          <w:p>
            <w:pPr>
              <w:spacing w:after="0"/>
              <w:rPr>
                <w:sz w:val="16"/>
                <w:szCs w:val="16"/>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807.2</w:t>
            </w: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(807.2)</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0070C0"/>
              </w:rPr>
              <w:t>(100.0)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Marketable securities — non-current</w:t>
            </w:r>
          </w:p>
        </w:tc>
        <w:tc>
          <w:tcPr>
            <w:tcW w:w="12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431.9</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(431.9)</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(100.0)</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160" w:type="dxa"/>
            <w:vAlign w:val="bottom"/>
            <w:gridSpan w:val="2"/>
          </w:tcPr>
          <w:p>
            <w:pPr>
              <w:ind w:left="360"/>
              <w:spacing w:after="0"/>
              <w:rPr>
                <w:sz w:val="20"/>
                <w:szCs w:val="20"/>
                <w:color w:val="auto"/>
              </w:rPr>
            </w:pPr>
            <w:r>
              <w:rPr>
                <w:rFonts w:ascii="Arial" w:cs="Arial" w:eastAsia="Arial" w:hAnsi="Arial"/>
                <w:sz w:val="14"/>
                <w:szCs w:val="14"/>
                <w:color w:val="auto"/>
              </w:rPr>
              <w:t>Total cash, cash equivalents and marketable securities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1,303.9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4,247.6</w:t>
            </w:r>
          </w:p>
        </w:tc>
        <w:tc>
          <w:tcPr>
            <w:tcW w:w="100" w:type="dxa"/>
            <w:vAlign w:val="bottom"/>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(2,943.7)</w:t>
            </w: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0070C0"/>
              </w:rPr>
              <w:t>(69.3)%</w:t>
            </w:r>
          </w:p>
        </w:tc>
        <w:tc>
          <w:tcPr>
            <w:tcW w:w="0" w:type="dxa"/>
            <w:vAlign w:val="bottom"/>
          </w:tcPr>
          <w:p>
            <w:pPr>
              <w:spacing w:after="0"/>
              <w:rPr>
                <w:sz w:val="1"/>
                <w:szCs w:val="1"/>
                <w:color w:val="auto"/>
              </w:rPr>
            </w:pPr>
          </w:p>
        </w:tc>
      </w:tr>
      <w:tr>
        <w:trPr>
          <w:trHeight w:val="162"/>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Borrowings:</w:t>
            </w:r>
          </w:p>
        </w:tc>
        <w:tc>
          <w:tcPr>
            <w:tcW w:w="120" w:type="dxa"/>
            <w:vAlign w:val="bottom"/>
            <w:tcBorders>
              <w:top w:val="single" w:sz="8" w:color="auto"/>
            </w:tcBorders>
            <w:shd w:val="clear" w:color="auto" w:fill="DBDBDB"/>
          </w:tcPr>
          <w:p>
            <w:pPr>
              <w:spacing w:after="0"/>
              <w:rPr>
                <w:sz w:val="14"/>
                <w:szCs w:val="14"/>
                <w:color w:val="auto"/>
              </w:rPr>
            </w:pPr>
          </w:p>
        </w:tc>
        <w:tc>
          <w:tcPr>
            <w:tcW w:w="1500" w:type="dxa"/>
            <w:vAlign w:val="bottom"/>
            <w:tcBorders>
              <w:top w:val="single" w:sz="8" w:color="auto"/>
            </w:tcBorders>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shd w:val="clear" w:color="auto" w:fill="DBDBDB"/>
          </w:tcPr>
          <w:p>
            <w:pPr>
              <w:spacing w:after="0"/>
              <w:rPr>
                <w:sz w:val="14"/>
                <w:szCs w:val="14"/>
                <w:color w:val="auto"/>
              </w:rPr>
            </w:pPr>
          </w:p>
        </w:tc>
        <w:tc>
          <w:tcPr>
            <w:tcW w:w="106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Current portion notes payable</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400.0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400.0</w:t>
            </w:r>
          </w:p>
        </w:tc>
        <w:tc>
          <w:tcPr>
            <w:tcW w:w="100" w:type="dxa"/>
            <w:vAlign w:val="bottom"/>
          </w:tcPr>
          <w:p>
            <w:pPr>
              <w:spacing w:after="0"/>
              <w:rPr>
                <w:sz w:val="17"/>
                <w:szCs w:val="17"/>
                <w:color w:val="auto"/>
              </w:rPr>
            </w:pPr>
          </w:p>
        </w:tc>
        <w:tc>
          <w:tcPr>
            <w:tcW w:w="128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c>
          <w:tcPr>
            <w:tcW w:w="0" w:type="dxa"/>
            <w:vAlign w:val="bottom"/>
          </w:tcPr>
          <w:p>
            <w:pPr>
              <w:spacing w:after="0"/>
              <w:rPr>
                <w:sz w:val="1"/>
                <w:szCs w:val="1"/>
                <w:color w:val="auto"/>
              </w:rPr>
            </w:pPr>
          </w:p>
        </w:tc>
      </w:tr>
      <w:tr>
        <w:trPr>
          <w:trHeight w:val="207"/>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Notes payable</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7,292.0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6,286.8</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1,005.2</w:t>
            </w:r>
          </w:p>
        </w:tc>
        <w:tc>
          <w:tcPr>
            <w:tcW w:w="100" w:type="dxa"/>
            <w:vAlign w:val="bottom"/>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16.0</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240"/>
        </w:trPr>
        <w:tc>
          <w:tcPr>
            <w:tcW w:w="5160" w:type="dxa"/>
            <w:vAlign w:val="bottom"/>
            <w:gridSpan w:val="2"/>
          </w:tcPr>
          <w:p>
            <w:pPr>
              <w:ind w:left="360"/>
              <w:spacing w:after="0"/>
              <w:rPr>
                <w:sz w:val="20"/>
                <w:szCs w:val="20"/>
                <w:color w:val="auto"/>
              </w:rPr>
            </w:pPr>
            <w:r>
              <w:rPr>
                <w:rFonts w:ascii="Arial" w:cs="Arial" w:eastAsia="Arial" w:hAnsi="Arial"/>
                <w:sz w:val="14"/>
                <w:szCs w:val="14"/>
                <w:color w:val="auto"/>
              </w:rPr>
              <w:t>Total borrowings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7,692.0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6,286.8</w:t>
            </w:r>
          </w:p>
        </w:tc>
        <w:tc>
          <w:tcPr>
            <w:tcW w:w="100" w:type="dxa"/>
            <w:vAlign w:val="bottom"/>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1,405.2</w:t>
            </w:r>
          </w:p>
        </w:tc>
        <w:tc>
          <w:tcPr>
            <w:tcW w:w="100" w:type="dxa"/>
            <w:vAlign w:val="bottom"/>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22.4</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highlight w:val="lightGray"/>
                <w:w w:val="79"/>
              </w:rPr>
              <w:t>%</w:t>
            </w:r>
          </w:p>
        </w:tc>
        <w:tc>
          <w:tcPr>
            <w:tcW w:w="0" w:type="dxa"/>
            <w:vAlign w:val="bottom"/>
          </w:tcPr>
          <w:p>
            <w:pPr>
              <w:spacing w:after="0"/>
              <w:rPr>
                <w:sz w:val="1"/>
                <w:szCs w:val="1"/>
                <w:color w:val="auto"/>
              </w:rPr>
            </w:pPr>
          </w:p>
        </w:tc>
      </w:tr>
      <w:tr>
        <w:trPr>
          <w:trHeight w:val="161"/>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Working capital:</w:t>
            </w:r>
          </w:p>
        </w:tc>
        <w:tc>
          <w:tcPr>
            <w:tcW w:w="120" w:type="dxa"/>
            <w:vAlign w:val="bottom"/>
            <w:tcBorders>
              <w:top w:val="single" w:sz="8" w:color="auto"/>
            </w:tcBorders>
            <w:shd w:val="clear" w:color="auto" w:fill="DBDBDB"/>
          </w:tcPr>
          <w:p>
            <w:pPr>
              <w:spacing w:after="0"/>
              <w:rPr>
                <w:sz w:val="14"/>
                <w:szCs w:val="14"/>
                <w:color w:val="auto"/>
              </w:rPr>
            </w:pPr>
          </w:p>
        </w:tc>
        <w:tc>
          <w:tcPr>
            <w:tcW w:w="1500" w:type="dxa"/>
            <w:vAlign w:val="bottom"/>
            <w:tcBorders>
              <w:top w:val="single" w:sz="8" w:color="auto"/>
            </w:tcBorders>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shd w:val="clear" w:color="auto" w:fill="DBDBDB"/>
          </w:tcPr>
          <w:p>
            <w:pPr>
              <w:spacing w:after="0"/>
              <w:rPr>
                <w:sz w:val="14"/>
                <w:szCs w:val="14"/>
                <w:color w:val="auto"/>
              </w:rPr>
            </w:pPr>
          </w:p>
        </w:tc>
        <w:tc>
          <w:tcPr>
            <w:tcW w:w="106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7,584.4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8,974.1</w:t>
            </w:r>
          </w:p>
        </w:tc>
        <w:tc>
          <w:tcPr>
            <w:tcW w:w="100" w:type="dxa"/>
            <w:vAlign w:val="bottom"/>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(1,389.7)</w:t>
            </w:r>
          </w:p>
        </w:tc>
        <w:tc>
          <w:tcPr>
            <w:tcW w:w="100" w:type="dxa"/>
            <w:vAlign w:val="bottom"/>
          </w:tcPr>
          <w:p>
            <w:pPr>
              <w:spacing w:after="0"/>
              <w:rPr>
                <w:sz w:val="18"/>
                <w:szCs w:val="18"/>
                <w:color w:val="auto"/>
              </w:rPr>
            </w:pPr>
          </w:p>
        </w:tc>
        <w:tc>
          <w:tcPr>
            <w:tcW w:w="12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(15.5)%</w:t>
            </w:r>
          </w:p>
        </w:tc>
        <w:tc>
          <w:tcPr>
            <w:tcW w:w="0" w:type="dxa"/>
            <w:vAlign w:val="bottom"/>
          </w:tcPr>
          <w:p>
            <w:pPr>
              <w:spacing w:after="0"/>
              <w:rPr>
                <w:sz w:val="1"/>
                <w:szCs w:val="1"/>
                <w:color w:val="auto"/>
              </w:rPr>
            </w:pPr>
          </w:p>
        </w:tc>
      </w:tr>
      <w:tr>
        <w:trPr>
          <w:trHeight w:val="198"/>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12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(3,898.4)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(3,349.4)</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(549.0)</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16.4</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60" w:type="dxa"/>
            <w:vAlign w:val="bottom"/>
            <w:gridSpan w:val="2"/>
          </w:tcPr>
          <w:p>
            <w:pPr>
              <w:ind w:left="360"/>
              <w:spacing w:after="0"/>
              <w:rPr>
                <w:sz w:val="20"/>
                <w:szCs w:val="20"/>
                <w:color w:val="auto"/>
              </w:rPr>
            </w:pPr>
            <w:r>
              <w:rPr>
                <w:rFonts w:ascii="Arial" w:cs="Arial" w:eastAsia="Arial" w:hAnsi="Arial"/>
                <w:sz w:val="14"/>
                <w:szCs w:val="14"/>
                <w:color w:val="auto"/>
              </w:rPr>
              <w:t>Total working capital</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3,686.0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5,624.7</w:t>
            </w:r>
          </w:p>
        </w:tc>
        <w:tc>
          <w:tcPr>
            <w:tcW w:w="100" w:type="dxa"/>
            <w:vAlign w:val="bottom"/>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(1,938.7)</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0070C0"/>
              </w:rPr>
              <w:t>(34.5)%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-1636395</wp:posOffset>
            </wp:positionV>
            <wp:extent cx="814705" cy="5397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4705" cy="53975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-427990</wp:posOffset>
            </wp:positionV>
            <wp:extent cx="814705" cy="4114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4705" cy="41148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color w:val="0070C0"/>
        </w:rPr>
        <w:t>OVERVIEW</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historically financed and expect to continue to fund our operating and capital expenditures primarily through cash flow earned through our operations and borrowings, as well as our existing cash resources. We believe that the continued overall decline in our MS business from generic and biosimilar competition, our investments in the launch of key new products, the cost of developing of our pipeline and the completion of research funding arrangement with Royalty Pharma will have a significant adverse impact on our future cash flow from operations. We expect that these factors will be partially offset in the long term by the increased sales of new products and cash flows from the Apellis business.</w:t>
      </w:r>
    </w:p>
    <w:p>
      <w:pPr>
        <w:spacing w:after="0" w:line="7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also seek additional funding through a combination of new collaborative agreements, strategic alliances and additional equity and debt financings or from other sources should we identify a significant new opportunity.</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May 14, 2026, we completed the acquisition of all of the issued and outstanding shares of Apellis for $5.3 billion. This transaction was funded with available cash and marketable securities on hand, supplemented by the issuance of a $2.0 billion term loan under our 2026 Term Loan and a $400.0 million drawdown from our revolving credit facility. In connection with the acquisition we assumed responsibility for its outstanding debt obligations totaling approximately $496.7 million, which we subsequently repaid during the second quarter of 2026. Additionally, we converted Apellis's outstanding unvested equity awards into cash awards totaling $416.3 million. These awards vest over the remaining requisite service periods of the original awards and are payable only if the applicable service conditions are satisfied, unless accelerated under specified termination provisions.</w:t>
      </w:r>
    </w:p>
    <w:p>
      <w:pPr>
        <w:spacing w:after="0" w:line="7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 xml:space="preserve">For additional information on our acquisition of Apellis,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condensed consolidated financial statements included in this report.</w:t>
      </w:r>
    </w:p>
    <w:p>
      <w:pPr>
        <w:spacing w:after="0" w:line="4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 xml:space="preserve">For additional information on certain risks that could negatively impact our financial position or future results of operations, please read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1A. Risk Factors </w:t>
      </w:r>
      <w:r>
        <w:rPr>
          <w:rFonts w:ascii="Arial" w:cs="Arial" w:eastAsia="Arial" w:hAnsi="Arial"/>
          <w:sz w:val="18"/>
          <w:szCs w:val="18"/>
          <w:color w:val="auto"/>
        </w:rPr>
        <w:t>and</w:t>
      </w:r>
      <w:r>
        <w:rPr>
          <w:rFonts w:ascii="Arial" w:cs="Arial" w:eastAsia="Arial" w:hAnsi="Arial"/>
          <w:sz w:val="18"/>
          <w:szCs w:val="18"/>
          <w:i w:val="1"/>
          <w:iCs w:val="1"/>
          <w:color w:val="auto"/>
        </w:rPr>
        <w:t xml:space="preserve"> Item 3. Quantitative and Qualitative Disclosures About Market Risk </w:t>
      </w:r>
      <w:r>
        <w:rPr>
          <w:rFonts w:ascii="Arial" w:cs="Arial" w:eastAsia="Arial" w:hAnsi="Arial"/>
          <w:sz w:val="18"/>
          <w:szCs w:val="18"/>
          <w:color w:val="auto"/>
        </w:rPr>
        <w:t>included in this report.</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0070C0"/>
        </w:rPr>
        <w:t>LIQUIDITY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0070C0"/>
        </w:rPr>
        <w:t>WORKING CAPITAL</w:t>
      </w:r>
    </w:p>
    <w:p>
      <w:pPr>
        <w:spacing w:after="0" w:line="10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Working capital is defined as current assets less current liabilities. Our working capital was $3.7 billion and $5.6 billion as of September 30, 2026 and December 31, 2025, respectively. The change in working capital reflects a</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decrease in total current assets of approximately $1.4 billion and an increase in total current liabilities of approximately $549.0 million. The changes in total current assets and total current liabilities were primarily driven by the following:</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CURRENT ASSETS</w:t>
      </w:r>
    </w:p>
    <w:p>
      <w:pPr>
        <w:spacing w:after="0" w:line="110" w:lineRule="exact"/>
        <w:rPr>
          <w:sz w:val="20"/>
          <w:szCs w:val="20"/>
          <w:color w:val="auto"/>
        </w:rPr>
      </w:pPr>
    </w:p>
    <w:p>
      <w:pPr>
        <w:ind w:left="340" w:right="100" w:hanging="332"/>
        <w:spacing w:after="0" w:line="237" w:lineRule="auto"/>
        <w:tabs>
          <w:tab w:leader="none" w:pos="267" w:val="left"/>
        </w:tabs>
        <w:numPr>
          <w:ilvl w:val="0"/>
          <w:numId w:val="44"/>
        </w:numPr>
        <w:rPr>
          <w:rFonts w:ascii="Arial" w:cs="Arial" w:eastAsia="Arial" w:hAnsi="Arial"/>
          <w:sz w:val="22"/>
          <w:szCs w:val="22"/>
          <w:b w:val="1"/>
          <w:bCs w:val="1"/>
          <w:i w:val="1"/>
          <w:iCs w:val="1"/>
          <w:color w:val="0070C0"/>
        </w:rPr>
      </w:pPr>
      <w:r>
        <w:rPr>
          <w:rFonts w:ascii="Arial" w:cs="Arial" w:eastAsia="Arial" w:hAnsi="Arial"/>
          <w:sz w:val="18"/>
          <w:szCs w:val="18"/>
          <w:color w:val="auto"/>
        </w:rPr>
        <w:t>$2.5 billion decrease in cash, cash equivalents and current marketable securities primarily due to consideration paid for our acquisition of Apellis as well as the repayment of $496.7 million in outstanding debt obligations assumed as part our Apellis acquisition;</w:t>
      </w:r>
    </w:p>
    <w:p>
      <w:pPr>
        <w:spacing w:after="0" w:line="58" w:lineRule="exact"/>
        <w:rPr>
          <w:rFonts w:ascii="Arial" w:cs="Arial" w:eastAsia="Arial" w:hAnsi="Arial"/>
          <w:sz w:val="22"/>
          <w:szCs w:val="22"/>
          <w:b w:val="1"/>
          <w:bCs w:val="1"/>
          <w:i w:val="1"/>
          <w:iCs w:val="1"/>
          <w:color w:val="0070C0"/>
        </w:rPr>
      </w:pPr>
    </w:p>
    <w:p>
      <w:pPr>
        <w:ind w:left="260" w:hanging="252"/>
        <w:spacing w:after="0"/>
        <w:tabs>
          <w:tab w:leader="none" w:pos="260" w:val="left"/>
        </w:tabs>
        <w:numPr>
          <w:ilvl w:val="0"/>
          <w:numId w:val="44"/>
        </w:numPr>
        <w:rPr>
          <w:rFonts w:ascii="Arial" w:cs="Arial" w:eastAsia="Arial" w:hAnsi="Arial"/>
          <w:sz w:val="22"/>
          <w:szCs w:val="22"/>
          <w:b w:val="1"/>
          <w:bCs w:val="1"/>
          <w:i w:val="1"/>
          <w:iCs w:val="1"/>
          <w:color w:val="0070C0"/>
        </w:rPr>
      </w:pPr>
      <w:r>
        <w:rPr>
          <w:rFonts w:ascii="Arial" w:cs="Arial" w:eastAsia="Arial" w:hAnsi="Arial"/>
          <w:sz w:val="18"/>
          <w:szCs w:val="18"/>
          <w:color w:val="auto"/>
        </w:rPr>
        <w:t>$542.2 million increase in accounts receivable primarily due to acquired receivables resulting from our acquisition of Apellis;</w:t>
      </w:r>
    </w:p>
    <w:p>
      <w:pPr>
        <w:spacing w:after="0" w:line="57" w:lineRule="exact"/>
        <w:rPr>
          <w:rFonts w:ascii="Arial" w:cs="Arial" w:eastAsia="Arial" w:hAnsi="Arial"/>
          <w:sz w:val="22"/>
          <w:szCs w:val="22"/>
          <w:b w:val="1"/>
          <w:bCs w:val="1"/>
          <w:i w:val="1"/>
          <w:iCs w:val="1"/>
          <w:color w:val="0070C0"/>
        </w:rPr>
      </w:pPr>
    </w:p>
    <w:p>
      <w:pPr>
        <w:ind w:left="260" w:hanging="252"/>
        <w:spacing w:after="0"/>
        <w:tabs>
          <w:tab w:leader="none" w:pos="260" w:val="left"/>
        </w:tabs>
        <w:numPr>
          <w:ilvl w:val="0"/>
          <w:numId w:val="44"/>
        </w:numPr>
        <w:rPr>
          <w:rFonts w:ascii="Arial" w:cs="Arial" w:eastAsia="Arial" w:hAnsi="Arial"/>
          <w:sz w:val="22"/>
          <w:szCs w:val="22"/>
          <w:b w:val="1"/>
          <w:bCs w:val="1"/>
          <w:i w:val="1"/>
          <w:iCs w:val="1"/>
          <w:color w:val="0070C0"/>
        </w:rPr>
      </w:pPr>
      <w:r>
        <w:rPr>
          <w:rFonts w:ascii="Arial" w:cs="Arial" w:eastAsia="Arial" w:hAnsi="Arial"/>
          <w:sz w:val="18"/>
          <w:szCs w:val="18"/>
          <w:color w:val="auto"/>
        </w:rPr>
        <w:t>$550.2 million increase in other current assets primarily due to timing of tax prepayments; and</w:t>
      </w:r>
    </w:p>
    <w:p>
      <w:pPr>
        <w:spacing w:after="0" w:line="71" w:lineRule="exact"/>
        <w:rPr>
          <w:rFonts w:ascii="Arial" w:cs="Arial" w:eastAsia="Arial" w:hAnsi="Arial"/>
          <w:sz w:val="22"/>
          <w:szCs w:val="22"/>
          <w:b w:val="1"/>
          <w:bCs w:val="1"/>
          <w:i w:val="1"/>
          <w:iCs w:val="1"/>
          <w:color w:val="0070C0"/>
        </w:rPr>
      </w:pPr>
    </w:p>
    <w:p>
      <w:pPr>
        <w:ind w:left="340" w:hanging="332"/>
        <w:spacing w:after="0" w:line="237" w:lineRule="auto"/>
        <w:tabs>
          <w:tab w:leader="none" w:pos="267" w:val="left"/>
        </w:tabs>
        <w:numPr>
          <w:ilvl w:val="0"/>
          <w:numId w:val="44"/>
        </w:numPr>
        <w:rPr>
          <w:rFonts w:ascii="Arial" w:cs="Arial" w:eastAsia="Arial" w:hAnsi="Arial"/>
          <w:sz w:val="22"/>
          <w:szCs w:val="22"/>
          <w:b w:val="1"/>
          <w:bCs w:val="1"/>
          <w:i w:val="1"/>
          <w:iCs w:val="1"/>
          <w:color w:val="0070C0"/>
        </w:rPr>
      </w:pPr>
      <w:r>
        <w:rPr>
          <w:rFonts w:ascii="Arial" w:cs="Arial" w:eastAsia="Arial" w:hAnsi="Arial"/>
          <w:sz w:val="18"/>
          <w:szCs w:val="18"/>
          <w:color w:val="auto"/>
        </w:rPr>
        <w:t>$56.3 million increase in inventory primarily due to the fair value step up adjustment for acquired inventory resulting from our acquisition of Apellis, partially offset by timing of production.</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CURRENT LIABILITIES</w:t>
      </w:r>
    </w:p>
    <w:p>
      <w:pPr>
        <w:spacing w:after="0" w:line="110" w:lineRule="exact"/>
        <w:rPr>
          <w:sz w:val="20"/>
          <w:szCs w:val="20"/>
          <w:color w:val="auto"/>
        </w:rPr>
      </w:pPr>
    </w:p>
    <w:p>
      <w:pPr>
        <w:ind w:left="340" w:right="320" w:hanging="332"/>
        <w:spacing w:after="0" w:line="237" w:lineRule="auto"/>
        <w:tabs>
          <w:tab w:leader="none" w:pos="267" w:val="left"/>
        </w:tabs>
        <w:numPr>
          <w:ilvl w:val="0"/>
          <w:numId w:val="45"/>
        </w:numPr>
        <w:rPr>
          <w:rFonts w:ascii="Arial" w:cs="Arial" w:eastAsia="Arial" w:hAnsi="Arial"/>
          <w:sz w:val="22"/>
          <w:szCs w:val="22"/>
          <w:b w:val="1"/>
          <w:bCs w:val="1"/>
          <w:i w:val="1"/>
          <w:iCs w:val="1"/>
          <w:color w:val="0070C0"/>
        </w:rPr>
      </w:pPr>
      <w:r>
        <w:rPr>
          <w:rFonts w:ascii="Arial" w:cs="Arial" w:eastAsia="Arial" w:hAnsi="Arial"/>
          <w:sz w:val="18"/>
          <w:szCs w:val="18"/>
          <w:color w:val="auto"/>
        </w:rPr>
        <w:t>$400.0 million increase in current portion of debt due to the short-term portion of the outstanding term loan related to our acquisition of Apellis; and</w:t>
      </w:r>
    </w:p>
    <w:p>
      <w:pPr>
        <w:spacing w:after="0" w:line="72" w:lineRule="exact"/>
        <w:rPr>
          <w:rFonts w:ascii="Arial" w:cs="Arial" w:eastAsia="Arial" w:hAnsi="Arial"/>
          <w:sz w:val="22"/>
          <w:szCs w:val="22"/>
          <w:b w:val="1"/>
          <w:bCs w:val="1"/>
          <w:i w:val="1"/>
          <w:iCs w:val="1"/>
          <w:color w:val="0070C0"/>
        </w:rPr>
      </w:pPr>
    </w:p>
    <w:p>
      <w:pPr>
        <w:ind w:left="340" w:right="280" w:hanging="332"/>
        <w:spacing w:after="0" w:line="237" w:lineRule="auto"/>
        <w:tabs>
          <w:tab w:leader="none" w:pos="267" w:val="left"/>
        </w:tabs>
        <w:numPr>
          <w:ilvl w:val="0"/>
          <w:numId w:val="45"/>
        </w:numPr>
        <w:rPr>
          <w:rFonts w:ascii="Arial" w:cs="Arial" w:eastAsia="Arial" w:hAnsi="Arial"/>
          <w:sz w:val="22"/>
          <w:szCs w:val="22"/>
          <w:b w:val="1"/>
          <w:bCs w:val="1"/>
          <w:i w:val="1"/>
          <w:iCs w:val="1"/>
          <w:color w:val="0070C0"/>
        </w:rPr>
      </w:pPr>
      <w:r>
        <w:rPr>
          <w:rFonts w:ascii="Arial" w:cs="Arial" w:eastAsia="Arial" w:hAnsi="Arial"/>
          <w:sz w:val="18"/>
          <w:szCs w:val="18"/>
          <w:color w:val="auto"/>
        </w:rPr>
        <w:t>$211.0 million increase in accrued expense and other primarily due to the reclassification of certain contingent consideration from long-term to short-term and the addition of accruals resulting from our acquisition of Apellis, partially offset by timing of payments.</w:t>
      </w:r>
    </w:p>
    <w:p>
      <w:pPr>
        <w:spacing w:after="0" w:line="3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 xml:space="preserve">For additional information on our acquisition of Apellis,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condensed consolidated financial statements included in this report.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0070C0"/>
        </w:rPr>
        <w:t>CASH, CASH EQUIVALENTS AND MARKETABLE SECURITIES</w:t>
      </w:r>
    </w:p>
    <w:p>
      <w:pPr>
        <w:spacing w:after="0" w:line="11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As of September 30, 2026, we had cash, cash equivalents and marketable securities totaling approximately $1.3 billion compared to approximately $4.2 billion as of December 31, 2025. The decrease in the balance was primarily due to the use of cash, cash equivalents and marketable securities to fund our acquisition of Apellis and subsequent settlement of its outstanding debt obligations, partially offset by the issuance of term loans and cash generated from operations.</w:t>
      </w:r>
    </w:p>
    <w:p>
      <w:pPr>
        <w:spacing w:after="0" w:line="6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Until required for another use in our business, we typically invest our cash reserves in bank deposits, certificates of deposit, commercial paper, corporate notes, U.S. and foreign government instruments, overnight reverse repurchase agreements and other interest-bearing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 We have experienced no significant limitations in our liquidity resulting from uncertainties in the banking sector.</w:t>
      </w:r>
    </w:p>
    <w:p>
      <w:pPr>
        <w:spacing w:after="0" w:line="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condensed consolidated financial statements included in this report</w:t>
      </w:r>
      <w:r>
        <w:rPr>
          <w:rFonts w:ascii="Arial" w:cs="Arial" w:eastAsia="Arial" w:hAnsi="Arial"/>
          <w:sz w:val="18"/>
          <w:szCs w:val="18"/>
          <w:i w:val="1"/>
          <w:iCs w:val="1"/>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CASH FLOW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6"/>
          </w:tcPr>
          <w:p>
            <w:pPr>
              <w:jc w:val="right"/>
              <w:ind w:right="908"/>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97"/>
        </w:trPr>
        <w:tc>
          <w:tcPr>
            <w:tcW w:w="6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ind w:right="528"/>
              <w:spacing w:after="0"/>
              <w:rPr>
                <w:sz w:val="20"/>
                <w:szCs w:val="20"/>
                <w:color w:val="auto"/>
              </w:rPr>
            </w:pPr>
            <w:r>
              <w:rPr>
                <w:rFonts w:ascii="Arial" w:cs="Arial" w:eastAsia="Arial" w:hAnsi="Arial"/>
                <w:sz w:val="14"/>
                <w:szCs w:val="14"/>
                <w:b w:val="1"/>
                <w:bCs w:val="1"/>
                <w:color w:val="257ACB"/>
              </w:rPr>
              <w:t>2026</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640" w:type="dxa"/>
            <w:vAlign w:val="bottom"/>
            <w:tcBorders>
              <w:bottom w:val="single" w:sz="8" w:color="auto"/>
            </w:tcBorders>
            <w:shd w:val="clear" w:color="auto" w:fill="DBDBDB"/>
          </w:tcPr>
          <w:p>
            <w:pPr>
              <w:ind w:left="460"/>
              <w:spacing w:after="0"/>
              <w:rPr>
                <w:sz w:val="20"/>
                <w:szCs w:val="20"/>
                <w:color w:val="auto"/>
              </w:rPr>
            </w:pPr>
            <w:r>
              <w:rPr>
                <w:rFonts w:ascii="Arial" w:cs="Arial" w:eastAsia="Arial" w:hAnsi="Arial"/>
                <w:sz w:val="14"/>
                <w:szCs w:val="14"/>
                <w:b w:val="1"/>
                <w:bCs w:val="1"/>
                <w:color w:val="0070C0"/>
              </w:rPr>
              <w:t>% Change</w:t>
            </w:r>
          </w:p>
        </w:tc>
      </w:tr>
      <w:tr>
        <w:trPr>
          <w:trHeight w:val="189"/>
        </w:trPr>
        <w:tc>
          <w:tcPr>
            <w:tcW w:w="6380" w:type="dxa"/>
            <w:vAlign w:val="bottom"/>
            <w:gridSpan w:val="3"/>
          </w:tcPr>
          <w:p>
            <w:pPr>
              <w:ind w:left="20"/>
              <w:spacing w:after="0"/>
              <w:rPr>
                <w:sz w:val="20"/>
                <w:szCs w:val="20"/>
                <w:color w:val="auto"/>
              </w:rPr>
            </w:pPr>
            <w:r>
              <w:rPr>
                <w:rFonts w:ascii="Arial" w:cs="Arial" w:eastAsia="Arial" w:hAnsi="Arial"/>
                <w:sz w:val="14"/>
                <w:szCs w:val="14"/>
                <w:color w:val="auto"/>
              </w:rPr>
              <w:t>Net cash flow provided by (used in) operating activities</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1,735.2</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1,692.7</w:t>
            </w:r>
          </w:p>
        </w:tc>
        <w:tc>
          <w:tcPr>
            <w:tcW w:w="100" w:type="dxa"/>
            <w:vAlign w:val="bottom"/>
          </w:tcPr>
          <w:p>
            <w:pPr>
              <w:spacing w:after="0"/>
              <w:rPr>
                <w:sz w:val="16"/>
                <w:szCs w:val="16"/>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2.5 %</w:t>
            </w:r>
          </w:p>
        </w:tc>
      </w:tr>
      <w:tr>
        <w:trPr>
          <w:trHeight w:val="203"/>
        </w:trPr>
        <w:tc>
          <w:tcPr>
            <w:tcW w:w="6380" w:type="dxa"/>
            <w:vAlign w:val="bottom"/>
            <w:gridSpan w:val="3"/>
          </w:tcPr>
          <w:p>
            <w:pPr>
              <w:ind w:left="20"/>
              <w:spacing w:after="0"/>
              <w:rPr>
                <w:sz w:val="20"/>
                <w:szCs w:val="20"/>
                <w:color w:val="auto"/>
              </w:rPr>
            </w:pPr>
            <w:r>
              <w:rPr>
                <w:rFonts w:ascii="Arial" w:cs="Arial" w:eastAsia="Arial" w:hAnsi="Arial"/>
                <w:sz w:val="14"/>
                <w:szCs w:val="14"/>
                <w:color w:val="auto"/>
              </w:rPr>
              <w:t>Net cash flow provided by (used in) investing activities</w:t>
            </w:r>
          </w:p>
        </w:tc>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(4,270.8)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(139.4)</w:t>
            </w:r>
          </w:p>
        </w:tc>
        <w:tc>
          <w:tcPr>
            <w:tcW w:w="100" w:type="dxa"/>
            <w:vAlign w:val="bottom"/>
          </w:tcPr>
          <w:p>
            <w:pPr>
              <w:spacing w:after="0"/>
              <w:rPr>
                <w:sz w:val="17"/>
                <w:szCs w:val="17"/>
                <w:color w:val="auto"/>
              </w:rPr>
            </w:pPr>
          </w:p>
        </w:tc>
        <w:tc>
          <w:tcPr>
            <w:tcW w:w="1640" w:type="dxa"/>
            <w:vAlign w:val="bottom"/>
            <w:shd w:val="clear" w:color="auto" w:fill="DBDBDB"/>
          </w:tcPr>
          <w:p>
            <w:pPr>
              <w:ind w:left="1320"/>
              <w:spacing w:after="0"/>
              <w:rPr>
                <w:sz w:val="20"/>
                <w:szCs w:val="20"/>
                <w:color w:val="auto"/>
              </w:rPr>
            </w:pPr>
            <w:r>
              <w:rPr>
                <w:rFonts w:ascii="Arial" w:cs="Arial" w:eastAsia="Arial" w:hAnsi="Arial"/>
                <w:sz w:val="14"/>
                <w:szCs w:val="14"/>
                <w:color w:val="0070C0"/>
              </w:rPr>
              <w:t>nm</w:t>
            </w:r>
          </w:p>
        </w:tc>
      </w:tr>
      <w:tr>
        <w:trPr>
          <w:trHeight w:val="210"/>
        </w:trPr>
        <w:tc>
          <w:tcPr>
            <w:tcW w:w="6380" w:type="dxa"/>
            <w:vAlign w:val="bottom"/>
            <w:gridSpan w:val="3"/>
          </w:tcPr>
          <w:p>
            <w:pPr>
              <w:ind w:left="20"/>
              <w:spacing w:after="0"/>
              <w:rPr>
                <w:sz w:val="20"/>
                <w:szCs w:val="20"/>
                <w:color w:val="auto"/>
              </w:rPr>
            </w:pPr>
            <w:r>
              <w:rPr>
                <w:rFonts w:ascii="Arial" w:cs="Arial" w:eastAsia="Arial" w:hAnsi="Arial"/>
                <w:sz w:val="14"/>
                <w:szCs w:val="14"/>
                <w:color w:val="auto"/>
              </w:rPr>
              <w:t>Net cash flow provided by (used in) financing activities</w:t>
            </w: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858.4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(164.9)</w:t>
            </w:r>
          </w:p>
        </w:tc>
        <w:tc>
          <w:tcPr>
            <w:tcW w:w="100" w:type="dxa"/>
            <w:vAlign w:val="bottom"/>
          </w:tcPr>
          <w:p>
            <w:pPr>
              <w:spacing w:after="0"/>
              <w:rPr>
                <w:sz w:val="18"/>
                <w:szCs w:val="18"/>
                <w:color w:val="auto"/>
              </w:rPr>
            </w:pPr>
          </w:p>
        </w:tc>
        <w:tc>
          <w:tcPr>
            <w:tcW w:w="1640" w:type="dxa"/>
            <w:vAlign w:val="bottom"/>
            <w:shd w:val="clear" w:color="auto" w:fill="DBDBDB"/>
          </w:tcPr>
          <w:p>
            <w:pPr>
              <w:ind w:left="1320"/>
              <w:spacing w:after="0"/>
              <w:rPr>
                <w:sz w:val="20"/>
                <w:szCs w:val="20"/>
                <w:color w:val="auto"/>
              </w:rPr>
            </w:pPr>
            <w:r>
              <w:rPr>
                <w:rFonts w:ascii="Arial" w:cs="Arial" w:eastAsia="Arial" w:hAnsi="Arial"/>
                <w:sz w:val="14"/>
                <w:szCs w:val="14"/>
                <w:color w:val="0070C0"/>
              </w:rPr>
              <w:t>nm</w:t>
            </w:r>
          </w:p>
        </w:tc>
      </w:tr>
      <w:tr>
        <w:trPr>
          <w:trHeight w:val="189"/>
        </w:trPr>
        <w:tc>
          <w:tcPr>
            <w:tcW w:w="3800" w:type="dxa"/>
            <w:vAlign w:val="bottom"/>
            <w:tcBorders>
              <w:bottom w:val="single" w:sz="8" w:color="auto"/>
            </w:tcBorders>
          </w:tcPr>
          <w:p>
            <w:pPr>
              <w:spacing w:after="0"/>
              <w:rPr>
                <w:sz w:val="16"/>
                <w:szCs w:val="16"/>
                <w:color w:val="auto"/>
              </w:rPr>
            </w:pPr>
          </w:p>
        </w:tc>
        <w:tc>
          <w:tcPr>
            <w:tcW w:w="258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26"/>
        </w:trPr>
        <w:tc>
          <w:tcPr>
            <w:tcW w:w="6380" w:type="dxa"/>
            <w:vAlign w:val="bottom"/>
            <w:gridSpan w:val="3"/>
          </w:tcPr>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Operating cash flow is derived by adjusting our net income for:</w:t>
      </w:r>
    </w:p>
    <w:p>
      <w:pPr>
        <w:spacing w:after="0" w:line="77" w:lineRule="exact"/>
        <w:rPr>
          <w:sz w:val="20"/>
          <w:szCs w:val="20"/>
          <w:color w:val="auto"/>
        </w:rPr>
      </w:pPr>
    </w:p>
    <w:p>
      <w:pPr>
        <w:ind w:left="420" w:right="280" w:hanging="331"/>
        <w:spacing w:after="0" w:line="260" w:lineRule="auto"/>
        <w:tabs>
          <w:tab w:leader="none" w:pos="368" w:val="left"/>
        </w:tabs>
        <w:numPr>
          <w:ilvl w:val="0"/>
          <w:numId w:val="46"/>
        </w:numPr>
        <w:rPr>
          <w:rFonts w:ascii="Arial" w:cs="Arial" w:eastAsia="Arial" w:hAnsi="Arial"/>
          <w:sz w:val="20"/>
          <w:szCs w:val="20"/>
          <w:color w:val="0070C0"/>
        </w:rPr>
      </w:pPr>
      <w:r>
        <w:rPr>
          <w:rFonts w:ascii="Arial" w:cs="Arial" w:eastAsia="Arial" w:hAnsi="Arial"/>
          <w:sz w:val="18"/>
          <w:szCs w:val="18"/>
          <w:color w:val="auto"/>
        </w:rPr>
        <w:t>non-cash operating items such as depreciation and amortization, impairment charges, unrealized (gain) loss on strategic investments and share-based compensation;</w:t>
      </w:r>
    </w:p>
    <w:p>
      <w:pPr>
        <w:spacing w:after="0" w:line="26" w:lineRule="exact"/>
        <w:rPr>
          <w:rFonts w:ascii="Arial" w:cs="Arial" w:eastAsia="Arial" w:hAnsi="Arial"/>
          <w:sz w:val="20"/>
          <w:szCs w:val="20"/>
          <w:color w:val="0070C0"/>
        </w:rPr>
      </w:pPr>
    </w:p>
    <w:p>
      <w:pPr>
        <w:ind w:left="420" w:right="360" w:hanging="331"/>
        <w:spacing w:after="0" w:line="272" w:lineRule="auto"/>
        <w:tabs>
          <w:tab w:leader="none" w:pos="368" w:val="left"/>
        </w:tabs>
        <w:numPr>
          <w:ilvl w:val="0"/>
          <w:numId w:val="46"/>
        </w:numPr>
        <w:rPr>
          <w:rFonts w:ascii="Arial" w:cs="Arial" w:eastAsia="Arial" w:hAnsi="Arial"/>
          <w:sz w:val="20"/>
          <w:szCs w:val="20"/>
          <w:color w:val="0070C0"/>
        </w:rPr>
      </w:pPr>
      <w:r>
        <w:rPr>
          <w:rFonts w:ascii="Arial" w:cs="Arial" w:eastAsia="Arial" w:hAnsi="Arial"/>
          <w:sz w:val="18"/>
          <w:szCs w:val="18"/>
          <w:color w:val="auto"/>
        </w:rPr>
        <w:t>changes in operating assets and liabilities, which reflect timing differences between the receipt and payment of cash associated with transactions and when they are recognized in results of operations; and</w:t>
      </w:r>
    </w:p>
    <w:p>
      <w:pPr>
        <w:spacing w:after="0" w:line="17" w:lineRule="exact"/>
        <w:rPr>
          <w:rFonts w:ascii="Arial" w:cs="Arial" w:eastAsia="Arial" w:hAnsi="Arial"/>
          <w:sz w:val="20"/>
          <w:szCs w:val="20"/>
          <w:color w:val="0070C0"/>
        </w:rPr>
      </w:pPr>
    </w:p>
    <w:p>
      <w:pPr>
        <w:ind w:left="420" w:right="280" w:hanging="331"/>
        <w:spacing w:after="0" w:line="260" w:lineRule="auto"/>
        <w:tabs>
          <w:tab w:leader="none" w:pos="368" w:val="left"/>
        </w:tabs>
        <w:numPr>
          <w:ilvl w:val="0"/>
          <w:numId w:val="46"/>
        </w:numPr>
        <w:rPr>
          <w:rFonts w:ascii="Arial" w:cs="Arial" w:eastAsia="Arial" w:hAnsi="Arial"/>
          <w:sz w:val="20"/>
          <w:szCs w:val="20"/>
          <w:color w:val="0070C0"/>
        </w:rPr>
      </w:pPr>
      <w:r>
        <w:rPr>
          <w:rFonts w:ascii="Arial" w:cs="Arial" w:eastAsia="Arial" w:hAnsi="Arial"/>
          <w:sz w:val="18"/>
          <w:szCs w:val="18"/>
          <w:color w:val="auto"/>
        </w:rPr>
        <w:t>(gains) losses on the disposal of assets, deferred income taxes, changes in the fair value of contingent payments associated with our acquisitions of businesses and acquired in-process research and development.</w:t>
      </w:r>
    </w:p>
    <w:p>
      <w:pPr>
        <w:spacing w:after="0" w:line="6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For the nine months ended September 30, 2026, compared to the same period in 2025, the increase in net cash flow provided by operating activities was primarily due to lower worldwide tax payments in 2026, compared to the same period in 2025, partially offset by lower net income in 2026 resulting from the inclusion of the commercial and management operations of Apellis subsequent to our acquisition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INVESTING ACTIVITIES</w:t>
      </w:r>
    </w:p>
    <w:p>
      <w:pPr>
        <w:spacing w:after="0" w:line="12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the nine months ended September 30, 2026, compared to the same period in 2025, the change in net cash flow in investing activities was primarily due to a $ 5.1 billion payment made in 2026 for our acquisition of Apellis, net of cash acquired. Additionally, we acquired TJ Bio's exclusive rights to felzartamab in the greater China region and made an upfront payment of $100.0 million during the second quarter of 2026. We also made an upfront payment of $225.0 million as part of our acquisition of RayThera during the third quarter of 2026.</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nine months ended September 30, 2026, compared to the same period in 2025, the change in net cash flow in financing activities was primarily due to the issuance of term loans totaling $2.0 billion under our 2026 Term Loan which were used to partially fund our acquisition of Apellis, partially offset by a $600.0 million payment to settle a portion of the 2026 Term Loan and payments to settle debt obligations assumed from our Apellis acquisition totaling $496.7 million. Additionally, we borrowed $400.0 million under our revolving credit facility during the second quarter of 2026 and this borrowing was repaid in full in June 2026.</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color w:val="0070C0"/>
        </w:rPr>
        <w:t>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70C0"/>
        </w:rPr>
        <w:t>DEBT AND CREDIT FACILITIES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DEBT AND TERM LOAN CREDIT AGREEMENTS</w:t>
      </w:r>
    </w:p>
    <w:p>
      <w:pPr>
        <w:spacing w:after="0" w:line="12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long -term obligations consist of our 2026 Term Loan and long-term debt related to our Senior Notes with final maturity dates ranging between 2030 and 2055. As of September 30, 2026, our outstanding balance related to long-term debt was $7.3 billion, net of discounts and debt offering costs.</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connection with our acquisition of Apellis we entered into a $2.0 billion term loan credit agreement. On the closing date of the Apellis acquisition we drew $2.0 billion from the 2026 Term Loan, comprised of a $1.0 billion floating rate 364-day tranche and a $ 1.0 billion floating rate two-year tranche. As of September 30, 2026, we had $1.4 billion outstanding under the term loan credit agreement, of which $400.0 million was outstanding under the 364-day tranche and $1.0 billion outstanding under the two-year tranche.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REVOLVING CREDIT FACILITY</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2024 we entered into a $1.5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We borrowed $400.0 million under our revolving credit facility during the second quarter of 2026 and this borrowing was repaid in full in June 2026. As of September 30, 2026 and December 31, 2025, we had no outstanding borrowings and were in compliance with all covenants under this facility.</w:t>
      </w:r>
    </w:p>
    <w:p>
      <w:pPr>
        <w:spacing w:after="0" w:line="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 summary of the fair and carrying values of our outstanding borrowings as of September 30, 2026 and December 31, 2025, please read </w:t>
      </w:r>
      <w:r>
        <w:rPr>
          <w:rFonts w:ascii="Arial" w:cs="Arial" w:eastAsia="Arial" w:hAnsi="Arial"/>
          <w:sz w:val="18"/>
          <w:szCs w:val="18"/>
          <w:i w:val="1"/>
          <w:iCs w:val="1"/>
          <w:color w:val="auto"/>
        </w:rPr>
        <w:t xml:space="preserve">Note 8, Fair Value Measurements, </w:t>
      </w:r>
      <w:r>
        <w:rPr>
          <w:rFonts w:ascii="Arial" w:cs="Arial" w:eastAsia="Arial" w:hAnsi="Arial"/>
          <w:sz w:val="18"/>
          <w:szCs w:val="18"/>
          <w:color w:val="auto"/>
        </w:rPr>
        <w:t>to our condensed consolidated financial statements included in this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credit facility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SHARE REPURCHASE PROGRAMS</w:t>
      </w:r>
    </w:p>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shares repurchased under our 2020 Share Repurchase Program were retired. There were no share repurchases of our common stock during the three and nine months ended September 30, 2026 and 2025. Approximately $2.1 billion remained available under our 2020 Share Repurchase Program as of September 30, 2026.</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CONTRACTUAL OBLIGATIONS AND OFF-BALANCE SHEET ARRANGEMENTS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0070C0"/>
        </w:rPr>
        <w:t>CONTRACTUAL OBLIGATIONS</w:t>
      </w:r>
    </w:p>
    <w:p>
      <w:pPr>
        <w:spacing w:after="0" w:line="10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Our contractual obligations primarily consist of our obligations under non-cancellable operating leases, long-term debt obligations and defined benefit and other purchase obligations, excluding amounts related to uncertain tax positions, funding commitments, research and development funding arrangements with third parties, contingent development, regulatory and commercial milestone payments and contingent payments, as described below.</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In addition, certain of our collaboration and licensing arrangements include royalty payment obligations. For additional information on our royalty payments please read, </w:t>
      </w:r>
      <w:r>
        <w:rPr>
          <w:rFonts w:ascii="Arial" w:cs="Arial" w:eastAsia="Arial" w:hAnsi="Arial"/>
          <w:sz w:val="18"/>
          <w:szCs w:val="18"/>
          <w:i w:val="1"/>
          <w:iCs w:val="1"/>
          <w:color w:val="auto"/>
        </w:rPr>
        <w:t>Note 22, Commitments and Contingencies</w:t>
      </w:r>
      <w:r>
        <w:rPr>
          <w:rFonts w:ascii="Arial" w:cs="Arial" w:eastAsia="Arial" w:hAnsi="Arial"/>
          <w:sz w:val="18"/>
          <w:szCs w:val="18"/>
          <w:color w:val="auto"/>
        </w:rPr>
        <w:t>, to our consolidated financial statements included in our 2025 Form 10-K.</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connection with our acquisition of Apellis in May 2026 we assumed additional contractual obligations related to operating lease commitments and royalty payments. Apellis entered into agreements to pay royalties on future sales which will cumulatively range in the low to mid single digits.</w:t>
      </w:r>
    </w:p>
    <w:p>
      <w:pPr>
        <w:spacing w:after="0" w:line="6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Aside from our new commitments related to Apellis and the termination of our Reata lease, there have been no material changes in our contractual obligations since December 31, 2025.</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CONTINGENT CONSIDERATION RELATED TO ACQUISITION OF BUSINESSES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acquisition of RayThera in August 2026, we may pay the former shareholders of RayThera up to a total of</w:t>
      </w:r>
    </w:p>
    <w:p>
      <w:pPr>
        <w:spacing w:after="0" w:line="2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$775.0 million if certain development and regulatory milestones are achieved. Any milestones resulting from this transaction, which was accounted for as an asset acquisition, will be recognized when earned as a component of Acquired in-process research and development, upfront and milestone expense.</w:t>
      </w:r>
    </w:p>
    <w:p>
      <w:pPr>
        <w:spacing w:after="0" w:line="70"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 xml:space="preserve">In connection with our acquisition of Apellis in May 2026, each shareholder is entitled to one contractual, non-transferable contingent value right per share representing the right to receive contingent cash payments of up to an aggregate of $4.00 per share in cash, subject to the achievement of specified annual global net sales thresholds for SYFOVRE. For additional information on our acquisition of Apellis,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 consolidated financial statements.</w:t>
      </w:r>
    </w:p>
    <w:p>
      <w:pPr>
        <w:spacing w:after="0" w:line="6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connection with our acquisition of Alcyone in November 2025, we may pay additional development and regulatory milestone payments to the former shareholders of Alcyone of up to a total of $75.0 million if approval is received for ThecaFlex DRx administration of SPINRAZA or other additional pipeline products. Any milestones resulting from this transaction, which was accounted for as an asset acquisition, will be recognized when earned as a component of Acquired in-process research and development, upfront and milestone expense.</w:t>
      </w:r>
    </w:p>
    <w:p>
      <w:pPr>
        <w:spacing w:after="0" w:line="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connection with our acquisition of HI-Bio in July 2024, we may make additional payments based upon the achievement of certain milestone events. We recognized the contingent consideration obligations associated with this acquisition at its fair value on the acquisition date and we revalue this obligation each reporting period. We may pay up to approximately $350.0 million in remaining milestones related to this acquisition. 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our 2025 Form 10-K.</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0070C0"/>
        </w:rPr>
        <w:t>CONTINGENT DEVELOPMENT, REGULATORY AND COMMERCIAL MILESTONE PAYMENTS</w:t>
      </w:r>
    </w:p>
    <w:p>
      <w:pPr>
        <w:spacing w:after="0" w:line="1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Based on our development plans as of September 30, 2026, we could make potential future milestone payments to third parties of up to approximately $8.1 billion, including approximately $1.2 billion in development milestones, approximately $1.2 billion in regulatory milestones and approximately $5.7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September 30, 2026, such contingencies have not been recorded in our financial statements. Amounts related to contingent milestone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payments are not considered contractual obligations as they are contingent on the successful achievement of certain development, regulatory or commercial milestones.</w:t>
      </w:r>
    </w:p>
    <w:p>
      <w:pPr>
        <w:spacing w:after="0" w:line="4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If certain research milestones are met, we may pay up to approximately $11.5 million in additional milestones in 2026 under our current agreements, excluding opt-in payments.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0070C0"/>
        </w:rPr>
        <w:t>OTHER FUNDING COMMITMENTS</w:t>
      </w:r>
    </w:p>
    <w:p>
      <w:pPr>
        <w:spacing w:after="0" w:line="106"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As of September 30, 2026, we have several ongoing clinical studies in various clinical trial stages. Our most significant clinical trial expenditures are to CROs. The contracts with CROs are generally cancellable, with notice, at our option. We recorded accrued expense of approximately $37.2 million in our condensed consolidated balance sheets for expenditures incurred by CROs as of September 30, 2026. We have approximately $529.2 million in cancellable future commitments based on existing CRO contracts as of September 30, 2026.</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color w:val="0070C0"/>
        </w:rPr>
        <w:t>TAX RELATED OBLIGATIONS</w:t>
      </w:r>
    </w:p>
    <w:p>
      <w:pPr>
        <w:spacing w:after="0" w:line="10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September 30, 2026, we have approximately $144.9 million of liabilities associated with uncertain tax positions.</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NEW ACCOUNTING STANDARDS</w:t>
      </w:r>
    </w:p>
    <w:p>
      <w:pPr>
        <w:spacing w:after="0" w:line="137"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 xml:space="preserve">For a discussion of new accounting standards please read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to our condensed consolidated financial statements included in this report.</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CRITICAL ACCOUNTING ESTIMATES</w:t>
      </w:r>
    </w:p>
    <w:p>
      <w:pPr>
        <w:spacing w:after="0" w:line="12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preparation of our condensed consolidated financial statements, which have been prepared in accordance with U.S. GAAP,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There have been no material changes to our critical accounting estimates since our 2025 Form 10-K. For a discussion of our other critical accounting estimates, please read </w:t>
      </w:r>
      <w:r>
        <w:rPr>
          <w:rFonts w:ascii="Arial" w:cs="Arial" w:eastAsia="Arial" w:hAnsi="Arial"/>
          <w:sz w:val="18"/>
          <w:szCs w:val="18"/>
          <w:i w:val="1"/>
          <w:iCs w:val="1"/>
          <w:color w:val="auto"/>
        </w:rPr>
        <w:t>Part II, Item 7. Management’s Discussion and Analysis of Financial Condition and Results of Operations</w:t>
      </w:r>
      <w:r>
        <w:rPr>
          <w:rFonts w:ascii="Arial" w:cs="Arial" w:eastAsia="Arial" w:hAnsi="Arial"/>
          <w:sz w:val="18"/>
          <w:szCs w:val="18"/>
          <w:color w:val="auto"/>
        </w:rPr>
        <w:t xml:space="preserve"> in our 2025 Form 10-K.</w:t>
      </w:r>
    </w:p>
    <w:p>
      <w:pPr>
        <w:spacing w:after="0" w:line="165"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auto"/>
        </w:rPr>
        <w:t>ITEM 3.</w:t>
        <w:tab/>
        <w:t>QUANTITATIVE AND QUALITATIVE DISCLOSURES ABOUT MARKET RISK</w:t>
      </w:r>
    </w:p>
    <w:p>
      <w:pPr>
        <w:spacing w:after="0" w:line="1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subject to certain risks that may affect our results of operations, cash flow and fair values of assets and liabilities, including volatility in foreign currency exchange rates, interest rate movements and equity price exposure as well as changes in economic conditions in the markets in which we operate as a result of the conflict between Russia and Ukraine and the military conflict in the Middle East. We manage the impact of foreign currency exchange rates and interest rates through various financial instruments, including derivative instruments such as foreign currency forward contracts, foreign currency options, interest rate lock contracts and interest rate swap contracts. We do not enter into financial instruments for trading or speculative purposes. The counterparties to these contracts are major financial institutions, and there is no significant concentration of exposure with any one counterparty.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FOREIGN CURRENCY EXCHANGE RISK</w:t>
      </w:r>
    </w:p>
    <w:p>
      <w:pPr>
        <w:spacing w:after="0" w:line="106"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Our results of operations are subject to foreign currency exchange rate fluctuations due to the global nature of our operations. As a result, our consolidated financial position, results of operations and cash flow can be affected by market fluctuations in foreign currency exchange rates, primarily with respect to the Euro, British pound sterling, Canadian dollar, Swiss franc and the Polish zloty.</w:t>
      </w:r>
    </w:p>
    <w:p>
      <w:pPr>
        <w:spacing w:after="0" w:line="6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the non-U.S. revenue will decline when reported in U.S. dollars. The impact to net income as a result of a strengthening U.S. dollar will be partially mitigated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by the value of non-U.S. expense, which will also decline when reported in U.S. dollars. As the U.S. dollar weakens versus other currencies, the value of the non-U.S. revenue and expense will increase when reported in U.S. dollars.</w:t>
      </w:r>
    </w:p>
    <w:p>
      <w:pPr>
        <w:spacing w:after="0" w:line="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have established revenue and operating expense hedging and balance sheet risk management programs to protect against volatility of future foreign currency cash flow and changes in fair value caused by volatility in foreign currency exchange rates.</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second quarter of 2018 the International Practices Task Force of the Center for Audit Quality categorized Argentina as a country with a projected three-year cumulative inflation rate greater than 100.0%, which indicated that Argentina's economy is highly inflationary. This categorization did not have a material impact on our results of operations or financial position as of September 30, 2026, and is not expected to have a material impact on our results of operations or financial position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AND OPERATING EXPENSE HEDGING PROGRAM</w:t>
      </w:r>
    </w:p>
    <w:p>
      <w:pPr>
        <w:spacing w:after="0" w:line="108"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 xml:space="preserve">Our foreign currency hedging program is designed to mitigate, over time, a portion of the impact resulting from volatility in exchange rate changes on revenue and operating expense. We use foreign currency forward contracts and foreign currency options to manage foreign currency risk, with the majority of our forward contracts and options used to hedge certain forecasted revenue and operating expense transactions denominated in foreign currencies in the next 15 months. We do not engage in currency speculation. For a more detailed disclosure of our revenue and operating expense hedging program, please read </w:t>
      </w:r>
      <w:r>
        <w:rPr>
          <w:rFonts w:ascii="Arial" w:cs="Arial" w:eastAsia="Arial" w:hAnsi="Arial"/>
          <w:sz w:val="18"/>
          <w:szCs w:val="18"/>
          <w:i w:val="1"/>
          <w:iCs w:val="1"/>
          <w:color w:val="auto"/>
        </w:rPr>
        <w:t>Note 10, Derivative Instruments,</w:t>
      </w:r>
      <w:r>
        <w:rPr>
          <w:rFonts w:ascii="Arial" w:cs="Arial" w:eastAsia="Arial" w:hAnsi="Arial"/>
          <w:sz w:val="18"/>
          <w:szCs w:val="18"/>
          <w:color w:val="auto"/>
        </w:rPr>
        <w:t xml:space="preserve"> to our condensed consolidated financial statements included in this report.</w:t>
      </w:r>
    </w:p>
    <w:p>
      <w:pPr>
        <w:spacing w:after="0" w:line="74"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ability to mitigate the impact of foreign currency exchange rate changes on revenue and net income diminishes as significant foreign currency exchange rate fluctuations are sustained over extended periods of time. In particular, devaluation or significant deterioration of foreign currency exchange rates are difficult to mitigate and likely to negatively impact earnings. The cash flow from these contracts are reported as operating activities in our condensed consolidated statements of cash flow.</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BALANCE SHEET RISK MANAGEMENT HEDGING PROGRAM</w:t>
      </w:r>
    </w:p>
    <w:p>
      <w:pPr>
        <w:spacing w:after="0" w:line="1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use forward contracts to mitigate the foreign currency exposure related to certain balance sheet items. The primary objective of our balance sheet risk management program is to mitigate the exposure of foreign currency denominated net monetary assets and liabilities of foreign affiliates. In these instances, we principally utilize currency forward contracts. We have not elected hedge accounting for the balance sheet related items. The cash flow from these contracts are reported as operating activities in our condensed consolidated statements of cash flow.</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quantitative information includes the impact of currency movements on forward contracts used in our revenue, operating expense and balance sheet hedging programs. As of September 30, 2026 and December 31, 2025, a hypothetical adverse 10.0% movement in foreign currency exchange rates compared to the U.S. dollar across all maturities would result in a hypothetical decrease in the fair value of forward contracts of approximately $247.2 million and $278.0 million, respectively. The estimated fair value change was determined by measuring the impact of the hypothetical exchange rate movement on outstanding forward contracts. Our use of this methodology to quantify the market risk of such instruments is subject to assumptions and the actual impact could be significantly different. The quantitative information about market risk is limited because it does not take into account all foreign currency operating transactions.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CREDIT RISK</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operate in certain countries where weakness in economic conditions, including the effects of the conflict between Russia and Ukraine and the military conflict in the Middle East,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allowance for doubtful accounts was adequate as of September 30, 2026 and December 31, 2025.</w:t>
      </w:r>
    </w:p>
    <w:p>
      <w:pPr>
        <w:spacing w:after="0" w:line="219"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auto"/>
        </w:rPr>
        <w:t>ITEM 4.</w:t>
        <w:tab/>
        <w:t>CONTROLS AND PROCEDURES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DISCLOSURE CONTROLS AND PROCEDURES AND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CONTROLS AND PROCEDURES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or 15d-15(e) under the Securities Exchange Act of 1934, as amended), as of September 30, 2026. Based upon that evaluation, our principal executive officer and principal financial officer concluded that, as of the end of the period covered by this report, our disclosure controls and procedures are effective in ensuring that:</w:t>
      </w:r>
    </w:p>
    <w:p>
      <w:pPr>
        <w:spacing w:after="0" w:line="71" w:lineRule="exact"/>
        <w:rPr>
          <w:sz w:val="20"/>
          <w:szCs w:val="20"/>
          <w:color w:val="auto"/>
        </w:rPr>
      </w:pPr>
    </w:p>
    <w:p>
      <w:pPr>
        <w:ind w:left="740" w:hanging="246"/>
        <w:spacing w:after="0" w:line="268" w:lineRule="auto"/>
        <w:tabs>
          <w:tab w:leader="none" w:pos="7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required to be disclosed by us in the reports that we file or submit under the Securities Exchange Act is recorded, processed, summarized and reported within the time periods specified in the U.S. Securities and Exchange Commission’s rules and forms; and</w:t>
      </w:r>
    </w:p>
    <w:p>
      <w:pPr>
        <w:spacing w:after="0" w:line="62" w:lineRule="exact"/>
        <w:rPr>
          <w:rFonts w:ascii="Arial" w:cs="Arial" w:eastAsia="Arial" w:hAnsi="Arial"/>
          <w:sz w:val="18"/>
          <w:szCs w:val="18"/>
          <w:color w:val="auto"/>
        </w:rPr>
      </w:pPr>
    </w:p>
    <w:p>
      <w:pPr>
        <w:ind w:left="740" w:right="420" w:hanging="246"/>
        <w:spacing w:after="0" w:line="287" w:lineRule="auto"/>
        <w:tabs>
          <w:tab w:leader="none" w:pos="7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information is accumulated and communicated to our management, including our principal executive officer and principal financial officer, as appropriate to allow timely decisions regarding required disclosure.</w:t>
      </w:r>
    </w:p>
    <w:p>
      <w:pPr>
        <w:spacing w:after="0" w:line="4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0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May 14, 2026, we completed our acquisition of Apellis. The Apellis acquisition was accounted for as a business combination using the acquisition method of accounting. The results of operations of the acquired Apellis business have been included in our results of operations since May 14, 2026.</w:t>
      </w:r>
    </w:p>
    <w:p>
      <w:pPr>
        <w:spacing w:after="0" w:line="63"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While we are currently in the process of evaluating and integrating Apellis' historical internal controls over financial reporting with ours, there were no changes in our internal control over financial reporting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00"/>
        <w:spacing w:after="0"/>
        <w:rPr>
          <w:sz w:val="20"/>
          <w:szCs w:val="20"/>
          <w:color w:val="auto"/>
        </w:rPr>
      </w:pPr>
      <w:r>
        <w:rPr>
          <w:rFonts w:ascii="Arial" w:cs="Arial" w:eastAsia="Arial" w:hAnsi="Arial"/>
          <w:sz w:val="25"/>
          <w:szCs w:val="25"/>
          <w:b w:val="1"/>
          <w:bCs w:val="1"/>
          <w:color w:val="1C5A7D"/>
        </w:rPr>
        <w:t>PART II OTHER INFORMATION</w:t>
      </w:r>
    </w:p>
    <w:p>
      <w:pPr>
        <w:spacing w:after="0" w:line="266"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auto"/>
        </w:rPr>
        <w:t>ITEM 1.</w:t>
        <w:tab/>
        <w:t>LEGAL PROCEEDINGS</w:t>
      </w:r>
    </w:p>
    <w:p>
      <w:pPr>
        <w:spacing w:after="0" w:line="12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For a discussion of legal proceedings as of September 30, 2026,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xml:space="preserve"> to our condensed consolidated financial statements included in this report, which is incorporated into this item by reference.</w:t>
      </w:r>
    </w:p>
    <w:p>
      <w:pPr>
        <w:spacing w:after="0" w:line="41" w:lineRule="exact"/>
        <w:rPr>
          <w:sz w:val="20"/>
          <w:szCs w:val="20"/>
          <w:color w:val="auto"/>
        </w:rPr>
      </w:pPr>
    </w:p>
    <w:p>
      <w:pPr>
        <w:spacing w:after="0"/>
        <w:tabs>
          <w:tab w:leader="none" w:pos="1320" w:val="left"/>
        </w:tabs>
        <w:rPr>
          <w:sz w:val="20"/>
          <w:szCs w:val="20"/>
          <w:color w:val="auto"/>
        </w:rPr>
      </w:pPr>
      <w:r>
        <w:rPr>
          <w:rFonts w:ascii="Arial" w:cs="Arial" w:eastAsia="Arial" w:hAnsi="Arial"/>
          <w:sz w:val="25"/>
          <w:szCs w:val="25"/>
          <w:color w:val="auto"/>
        </w:rPr>
        <w:t>ITEM 1A.</w:t>
      </w:r>
      <w:r>
        <w:rPr>
          <w:sz w:val="20"/>
          <w:szCs w:val="20"/>
          <w:color w:val="auto"/>
        </w:rPr>
        <w:tab/>
      </w:r>
      <w:r>
        <w:rPr>
          <w:rFonts w:ascii="Arial" w:cs="Arial" w:eastAsia="Arial" w:hAnsi="Arial"/>
          <w:sz w:val="24"/>
          <w:szCs w:val="24"/>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are substantially dependent on revenue from our products.</w:t>
      </w:r>
    </w:p>
    <w:p>
      <w:pPr>
        <w:spacing w:after="0" w:line="102"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Our revenue depends upon continued sales of our products as well as the financial rights we have in our anti-CD20 therapeutic programs. A significant portion of our revenue is concentrated on sales of our products in increasingly competitive markets. Any of the following negative developments relating to any of our products or any of our anti-CD20 therapeutic programs may adversely affect our revenue and results of operations or our stock price:</w:t>
      </w:r>
    </w:p>
    <w:p>
      <w:pPr>
        <w:spacing w:after="0" w:line="14" w:lineRule="exact"/>
        <w:rPr>
          <w:sz w:val="20"/>
          <w:szCs w:val="20"/>
          <w:color w:val="auto"/>
        </w:rPr>
      </w:pPr>
    </w:p>
    <w:p>
      <w:pPr>
        <w:ind w:left="340" w:right="700" w:hanging="332"/>
        <w:spacing w:after="0" w:line="298" w:lineRule="auto"/>
        <w:tabs>
          <w:tab w:leader="none" w:pos="29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introduction, greater acceptance or more favorable reimbursement of competing products, including new originator therapies, generics, prodrugs and biosimilars of existing products and products approved under abbreviated regulatory pathways;</w:t>
      </w: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safety or efficacy issues;</w:t>
      </w:r>
    </w:p>
    <w:p>
      <w:pPr>
        <w:spacing w:after="0" w:line="63" w:lineRule="exact"/>
        <w:rPr>
          <w:rFonts w:ascii="Arial" w:cs="Arial" w:eastAsia="Arial" w:hAnsi="Arial"/>
          <w:sz w:val="18"/>
          <w:szCs w:val="18"/>
          <w:color w:val="auto"/>
        </w:rPr>
      </w:pPr>
    </w:p>
    <w:p>
      <w:pPr>
        <w:ind w:left="340" w:right="300" w:hanging="332"/>
        <w:spacing w:after="0" w:line="262" w:lineRule="auto"/>
        <w:tabs>
          <w:tab w:leader="none" w:pos="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limitations and additional pressures on product pricing or price increases, including those relating to inflation and those resulting from governmental or regulatory requirements, including those relating to any future potential drug price negotiation under the IRA or other legislative or executive acts; increased competition, including from generic or biosimilar versions of our products; or changes in, or implementation of, reimbursement policies and practices of payors and other third parties;</w:t>
      </w:r>
    </w:p>
    <w:p>
      <w:pPr>
        <w:spacing w:after="0" w:line="14" w:lineRule="exact"/>
        <w:rPr>
          <w:rFonts w:ascii="Arial" w:cs="Arial" w:eastAsia="Arial" w:hAnsi="Arial"/>
          <w:sz w:val="18"/>
          <w:szCs w:val="18"/>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legal, administrative, geopolitical, regulatory or legislative developments; and</w:t>
      </w:r>
    </w:p>
    <w:p>
      <w:pPr>
        <w:spacing w:after="0" w:line="63" w:lineRule="exact"/>
        <w:rPr>
          <w:rFonts w:ascii="Arial" w:cs="Arial" w:eastAsia="Arial" w:hAnsi="Arial"/>
          <w:sz w:val="18"/>
          <w:szCs w:val="18"/>
          <w:color w:val="auto"/>
        </w:rPr>
      </w:pPr>
    </w:p>
    <w:p>
      <w:pPr>
        <w:ind w:left="340" w:right="200" w:hanging="332"/>
        <w:spacing w:after="0" w:line="287" w:lineRule="auto"/>
        <w:tabs>
          <w:tab w:leader="none" w:pos="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a positive reputation among patients, healthcare providers and others, which may be impacted by our pricing and reimbursement decisions.</w:t>
      </w:r>
    </w:p>
    <w:p>
      <w:pPr>
        <w:spacing w:after="0" w:line="31"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We have many products in the stages of ongoing commercial launch in the U.S. and certain international markets. LEQEMBI continues to expand its commercial presence in the U.S. and certain international markets. SKYCLARYS is in the early stages of commercial launch in certain European markets, and EMPAVELI is in the early stages of commercial launch for a new indication in the U.S. In addition to risks associated with new product launches and the other factors described in these Risk Factors, Biogen’s and Eisai’s ability to successfully commercialize LEQEMBI and our ability to successfully commercialize SKYCLARYS and EMPAVELI may be adversely affected due to:</w:t>
      </w:r>
    </w:p>
    <w:p>
      <w:pPr>
        <w:spacing w:after="0" w:line="2"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Eisai’s ability to obtain and maintain adequate reimbursement for LEQEMBI;</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effectiveness of Eisai's and Biogen’s commercial strategy for marketing LEQEMBI;</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requirements such as participation in a registry and the use of imaging or other diagnostics for LEQEMBI;</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obtain approval in other markets;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approval and/or greater acceptance of other new products for the same or similar indications;</w:t>
      </w:r>
    </w:p>
    <w:p>
      <w:pPr>
        <w:spacing w:after="0" w:line="63" w:lineRule="exact"/>
        <w:rPr>
          <w:rFonts w:ascii="Arial" w:cs="Arial" w:eastAsia="Arial" w:hAnsi="Arial"/>
          <w:sz w:val="18"/>
          <w:szCs w:val="18"/>
          <w:color w:val="auto"/>
        </w:rPr>
      </w:pPr>
    </w:p>
    <w:p>
      <w:pPr>
        <w:jc w:val="both"/>
        <w:ind w:left="340" w:right="140" w:hanging="332"/>
        <w:spacing w:after="0" w:line="268" w:lineRule="auto"/>
        <w:tabs>
          <w:tab w:leader="none" w:pos="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Eisai’s and Biogen’s ability to maintain a positive reputation among patients, healthcare providers and others in the Alzheimer’s disease community, which may be impacted by pricing and reimbursement decisions relating to LEQEMBI, which are made by Eisai and/or third parties;</w:t>
      </w:r>
    </w:p>
    <w:p>
      <w:pPr>
        <w:spacing w:after="0" w:line="8"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Biogen's ability to obtain and maintain adequate reimbursement for SKYCLARYS; and</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effectiveness of Biogen's commercial strategy for marketing SKYCLARYS and EMPAVELI.</w:t>
      </w:r>
    </w:p>
    <w:p>
      <w:pPr>
        <w:spacing w:after="0" w:line="92"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2573BA"/>
        </w:rPr>
        <w:t>Our long-term success depends upon the successful development of new products and additional indications for our existing products.</w:t>
      </w:r>
    </w:p>
    <w:p>
      <w:pPr>
        <w:spacing w:after="0" w:line="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long -term success depends upon the successful development of new products from our research and development activities or our licenses or acquisitions from third parties, as well as the development of additional indications for our existing products. Product development is very expensive and involves a high degree of uncertainty and risk and is not always successful. Only a small number of research and development programs result in the commercialization of a product. It is difficult to predict the success and the time and cost of product development of novel approaches for the treatment of diseases. The development of novel approaches for the treatment of diseases, including development efforts in new modalities such as those based on the ASO platform, presents additional challenges and risks, including obtaining approval from regulatory authorities that have limited</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experience with the development of such therapies. For example, we recently sought, and in July 2026 the FDA approved, of a subcutaneous formulation of LEQEMBI as a starting dose in the U.S. Our ability to realize the anticipated benefits from the subcutaneous formulation of LEQEMBI depends on among other things, the successful commercial launch of the subcutaneous formulation and patient and physician adoption.</w:t>
      </w:r>
    </w:p>
    <w:p>
      <w:pPr>
        <w:spacing w:after="0" w:line="4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Clinical trial data are subject to differing interpretations and even if we view data as sufficient to support the safety, effectiveness and/or approval of a product candidate, regulatory authorities may disagree and may require additional data, limit the scope of the approval or deny approval altogether. Furthermore, the approval of a product candidate by one regulatory agency does not mean that other regulatory agencies will also approve such product candidate.</w:t>
      </w:r>
    </w:p>
    <w:p>
      <w:pPr>
        <w:spacing w:after="0" w:line="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Success in preclinical work or early stage clinical trials does not ensure that later stage or larger scale clinical trials will be successful. Clinical trials may indicate that our product candidates lack efficacy, have harmful side effects, result in unexpected adverse events or raise other concerns that may significantly reduce or delay the likelihood of regulatory approval. This may result in terminated programs, significant restrictions on use, safety warnings in an approved label, adverse placement within the treatment paradigm or significant reduction in the commercial potential of the product candidate.</w:t>
      </w:r>
    </w:p>
    <w:p>
      <w:pPr>
        <w:spacing w:after="0" w:line="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Even if we could successfully develop new products or additional indications for our existing products, we may make a strategic decision to discontinue development of a product candidate or an additional indication for our existing products if, for example, we believe commercialization will be difficult relative to the standard of care or we prioritize other opportunities in our pipeline.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If we fail to compete effectively, our business and market position would suffer.</w:t>
      </w:r>
    </w:p>
    <w:p>
      <w:pPr>
        <w:spacing w:after="0" w:line="10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companies that have a greater number of products on the market and in the product pipeline, substantially greater financial, marketing, research and development and other resources and other technological or competitive advantages.</w:t>
      </w:r>
    </w:p>
    <w:p>
      <w:pPr>
        <w:spacing w:after="0" w:line="5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products continue to face increasing competition from the introduction of new originator therapies, generics, prodrugs and biosimilars of existing products and products approved under abbreviated regulatory pathways. Some of these products are likely to be sold at substantially lower prices than our branded products. The introduction of such products as well as other lower-priced competing products has in the past reduced, and may in the future significantly reduce, both the price that we are able to charge for our products and the volume of products we sell, which has and may continue to negatively impact our revenue. In addition, in some markets, when a generic or biosimilar version of one of our products is commercialized, it has in the past and may in the future be automatically substituted for our product and significantly reduce our revenue in a short period of time.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compete, maintain and grow our business may be adversely affected by a number of factors, including:</w:t>
      </w:r>
    </w:p>
    <w:p>
      <w:pPr>
        <w:spacing w:after="0" w:line="63" w:lineRule="exact"/>
        <w:rPr>
          <w:sz w:val="20"/>
          <w:szCs w:val="20"/>
          <w:color w:val="auto"/>
        </w:rPr>
      </w:pPr>
    </w:p>
    <w:p>
      <w:pPr>
        <w:ind w:left="340" w:right="100" w:hanging="332"/>
        <w:spacing w:after="0" w:line="281" w:lineRule="auto"/>
        <w:tabs>
          <w:tab w:leader="none" w:pos="2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introduction of other products, including products that may be more efficacious, safer, less expensive or more convenient alternatives to our products, including our own products and products of our collaborators;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off-label use by physicians of therapies indicated for other conditions to treat patients;</w:t>
      </w:r>
    </w:p>
    <w:p>
      <w:pPr>
        <w:spacing w:after="0" w:line="63" w:lineRule="exact"/>
        <w:rPr>
          <w:rFonts w:ascii="Arial" w:cs="Arial" w:eastAsia="Arial" w:hAnsi="Arial"/>
          <w:sz w:val="18"/>
          <w:szCs w:val="18"/>
          <w:color w:val="auto"/>
        </w:rPr>
      </w:pPr>
    </w:p>
    <w:p>
      <w:pPr>
        <w:ind w:left="340" w:right="280" w:hanging="332"/>
        <w:spacing w:after="0" w:line="281" w:lineRule="auto"/>
        <w:tabs>
          <w:tab w:leader="none" w:pos="2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patient dynamics, including the size of the patient population and our ability to identify, attract and maintain new and current patients to our therapies;</w:t>
      </w:r>
    </w:p>
    <w:p>
      <w:pPr>
        <w:spacing w:after="0" w:line="1" w:lineRule="exact"/>
        <w:rPr>
          <w:rFonts w:ascii="Arial" w:cs="Arial" w:eastAsia="Arial" w:hAnsi="Arial"/>
          <w:sz w:val="18"/>
          <w:szCs w:val="18"/>
          <w:color w:val="auto"/>
        </w:rPr>
      </w:pPr>
    </w:p>
    <w:p>
      <w:pPr>
        <w:ind w:left="340" w:right="460" w:hanging="332"/>
        <w:spacing w:after="0" w:line="281" w:lineRule="auto"/>
        <w:tabs>
          <w:tab w:leader="none" w:pos="2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reluctance of physicians to prescribe, and patients to use, our products without additional data on the efficacy and safety of such products;</w:t>
      </w:r>
    </w:p>
    <w:p>
      <w:pPr>
        <w:spacing w:after="0" w:line="1" w:lineRule="exact"/>
        <w:rPr>
          <w:rFonts w:ascii="Arial" w:cs="Arial" w:eastAsia="Arial" w:hAnsi="Arial"/>
          <w:sz w:val="18"/>
          <w:szCs w:val="18"/>
          <w:color w:val="auto"/>
        </w:rPr>
      </w:pPr>
    </w:p>
    <w:p>
      <w:pPr>
        <w:jc w:val="both"/>
        <w:ind w:left="340" w:right="240" w:hanging="332"/>
        <w:spacing w:after="0" w:line="287" w:lineRule="auto"/>
        <w:tabs>
          <w:tab w:leader="none" w:pos="295" w:val="left"/>
        </w:tabs>
        <w:numPr>
          <w:ilvl w:val="0"/>
          <w:numId w:val="50"/>
        </w:numPr>
        <w:rPr>
          <w:rFonts w:ascii="Arial" w:cs="Arial" w:eastAsia="Arial" w:hAnsi="Arial"/>
          <w:sz w:val="17"/>
          <w:szCs w:val="17"/>
          <w:color w:val="auto"/>
        </w:rPr>
      </w:pPr>
      <w:r>
        <w:rPr>
          <w:rFonts w:ascii="Arial" w:cs="Arial" w:eastAsia="Arial" w:hAnsi="Arial"/>
          <w:sz w:val="17"/>
          <w:szCs w:val="17"/>
          <w:color w:val="auto"/>
        </w:rPr>
        <w:t>damage to physician and patient confidence in any of our products, generic or biosimilars of our products or any other product from the same class as one of our products, or to our sales and reputation as a result of label changes, pricing and reimbursement decisions or adverse experiences or events that may occur with patients treated with our products or generic or biosimilars of our products;</w:t>
      </w:r>
    </w:p>
    <w:p>
      <w:pPr>
        <w:ind w:left="340" w:right="420" w:hanging="332"/>
        <w:spacing w:after="0" w:line="281" w:lineRule="auto"/>
        <w:tabs>
          <w:tab w:leader="none" w:pos="2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inability to obtain and maintain appropriate pricing and adequate reimbursement for our products compared to our competitors in key markets; and</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obtain and maintain patent, data or market exclusivity for our products.</w:t>
      </w:r>
    </w:p>
    <w:p>
      <w:pPr>
        <w:spacing w:after="0" w:line="92"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2573BA"/>
        </w:rPr>
        <w:t>Our business may be adversely affected if we do not successfully execute or realize the anticipated benefits of our strategic and growth initiatives.</w:t>
      </w:r>
    </w:p>
    <w:p>
      <w:pPr>
        <w:spacing w:after="0" w:line="1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successful execution of our strategic and growth initiatives depends upon internal development projects, commercial initiatives and external opportunities, which may include the acquisition and in-licensing of products, technologies, companies, the entry into strategic alliances and collaborations, as well as our ability to execute on strategic decisions and initiatives. While we believe we have a number of promising programs in our pipeline, failure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or delay of internal development projects to advance or difficulties in executing on our commercial initiatives could impact our current and future growth, resulting in additional reliance on external opportunities for growth.</w:t>
      </w:r>
    </w:p>
    <w:p>
      <w:pPr>
        <w:spacing w:after="0" w:line="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Supporting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 We have made, and may continue to make, significant expenditures for potential new products prior to regulatory approval with no assurance that such investment will be recouped, which may adversely affect our financial condition, business and operations.</w:t>
      </w:r>
    </w:p>
    <w:p>
      <w:pPr>
        <w:spacing w:after="0" w:line="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availability of high quality, fairly valued external product development is limited and the opportunity to acquire or in-license is highly competitive. As such, we are not certain that we will be able to identify suitable candidates for acquisition or in-licensing or if we will be able to reach agreement to make any such acquisition or in-license if suitable candidates are identified.</w:t>
      </w:r>
    </w:p>
    <w:p>
      <w:pPr>
        <w:spacing w:after="0" w:line="4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may fail to initiate or complete transactions for many reasons, including failure to obtain regulatory or other approvals as well as a result of disputes or litigation. Furthermore, we may not be able to achieve the full strategic and financial benefits expected to result from transactions, collaborations or strategic decisions, such as the decision to retain the biosimilars business, or the benefits may be delayed or not occur at all. We may also face additional costs or liabilities in completed transactions that were not contemplated prior to completion.</w:t>
      </w:r>
    </w:p>
    <w:p>
      <w:pPr>
        <w:spacing w:after="0" w:line="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failure in the execution of a transaction, in the integration of an acquired asset or business or in achieving expected synergies could result in slower growth, higher than expected costs, the recording of asset impairment charges and other actions which could adversely affect our business, financial condition and results of operations. For example, in May 2026, we completed our acquisition of Apellis, which became a wholly owned subsidiary. Our ability to realize the anticipated benefits of the acquisition depends on, among other things, how efficiently and effectively we are able to integrate Apellis’ operations into ours and to commercialize EMPAVELI and SYFOVRE.</w:t>
      </w:r>
    </w:p>
    <w:p>
      <w:pPr>
        <w:spacing w:after="0" w:line="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2573BA"/>
        </w:rPr>
        <w:t>Sales of our products depend, to a significant extent, on the availability and extent of adequate coverage, pricing and reimbursement from government health administration authorities, private health insurers and other organizations, which are subject to increasing and intense pressure from political, social, competitive and other sources. Our inability to obtain and maintain adequate coverage, or a reduction in pricing or reimbursement, could have an adverse effect on our business, reputation, revenue and results of operations.</w:t>
      </w:r>
    </w:p>
    <w:p>
      <w:pPr>
        <w:spacing w:after="0" w:line="5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Sales of our products depend, to a significant extent, on the availability and extent of adequate coverage, pricing and reimbursement from governmental health administration authorities, private health insurers and other organizations. When a new pharmaceutical product is approved, the availability of government and private reimbursement for that product, diagnosis of the condition it treats and the cost to administer it may be uncertain, as is the pricing and amount for which that product will be reimbursed.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Pricing and reimbursement for our products may be adversely affected by a number of factors, including:</w:t>
      </w:r>
    </w:p>
    <w:p>
      <w:pPr>
        <w:spacing w:after="0" w:line="63"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and implementation of, federal, state or foreign government regulations or private third-party payors’ reimbursement policies;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w:t>
      </w:r>
    </w:p>
    <w:p>
      <w:pPr>
        <w:spacing w:after="0" w:line="63" w:lineRule="exact"/>
        <w:rPr>
          <w:rFonts w:ascii="Arial" w:cs="Arial" w:eastAsia="Arial" w:hAnsi="Arial"/>
          <w:sz w:val="18"/>
          <w:szCs w:val="18"/>
          <w:color w:val="auto"/>
        </w:rPr>
      </w:pPr>
    </w:p>
    <w:p>
      <w:pPr>
        <w:ind w:left="340" w:right="480" w:hanging="332"/>
        <w:spacing w:after="0" w:line="287" w:lineRule="auto"/>
        <w:tabs>
          <w:tab w:leader="none" w:pos="295"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consolidation and increasing assertiveness of governmental health administration authorities, private health insurers and other organizations seeking price discounts or rebates in connection with the placement of our products on their formularies and, in some cases, the imposition of restrictions on access or coverage of particular drugs or pricing determined based on perceived value;</w:t>
      </w:r>
    </w:p>
    <w:p>
      <w:pPr>
        <w:ind w:left="340" w:right="280" w:hanging="332"/>
        <w:spacing w:after="0" w:line="281" w:lineRule="auto"/>
        <w:tabs>
          <w:tab w:leader="none" w:pos="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receive reimbursement for our products or our ability to receive comparable reimbursement to that of competing products; and</w:t>
      </w:r>
    </w:p>
    <w:p>
      <w:pPr>
        <w:spacing w:after="0" w:line="1" w:lineRule="exact"/>
        <w:rPr>
          <w:rFonts w:ascii="Arial" w:cs="Arial" w:eastAsia="Arial" w:hAnsi="Arial"/>
          <w:sz w:val="18"/>
          <w:szCs w:val="18"/>
          <w:color w:val="auto"/>
        </w:rPr>
      </w:pPr>
    </w:p>
    <w:p>
      <w:pPr>
        <w:ind w:left="340" w:right="200" w:hanging="332"/>
        <w:spacing w:after="0" w:line="268" w:lineRule="auto"/>
        <w:tabs>
          <w:tab w:leader="none" w:pos="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value-based contracting program pursuant to which we aim to tie the pricing of our products to their clinical values by either aligning price to patient outcomes or adjusting price for patients who discontinue therapy for any reason, including efficacy or tolerability concerns.</w:t>
      </w:r>
    </w:p>
    <w:p>
      <w:pPr>
        <w:spacing w:after="0" w:line="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ability to set the price for our products varies significantly from country to country and, as a result, so can the price of our products. Governments are and may continue to use a variety of cost-containment measures to control the cost of products, including price cuts, mandatory rebates, value-based pricing and reference pricing (i.e., referencing prices in other countries and using those reference prices to set a price). Drug prices are under significant scrutiny in the markets in which our products are prescribed; for example the IRA has certain provisions related to drug pricing, including the ability for the U.S. government to set prices for certain drugs in Medicare. We expect drug pricing and other healthcare costs to continue to be subject to political or societal pressures on a global basis. Certain countries set prices by reference to the prices in other countries where our products are marketed. Our inability to obtain and maintain adequate prices in a particular country has limited, and may in the future limit,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revenue from our products within that country and has, and may in the future, also adversely affect our ability to secure acceptable prices in existing and potential new markets, which has limited, and may in the future limit, market growth and result in reductions in revenue. This has created, or may create, the opportunity for third-party cross-border trade or influence our decision to sell or not to sell a product, thus adversely affecting our geographic product expansion plans and revenue. Additionally, in certain jurisdictions governmental health agencies are permitted to adjust, retroactively and/or prospectively, reimbursement rates for our products. Reimbursement for our products by governments, including the timing of any reimbursements, are also affected by budgetary or political constraints, particularly in challenging economic environments. Government agencies often do not set their own budgets and therefore, have limited control over the amount of money they can spend. In addition, these agencies experience political pressure that dictate the manner in which they spend money. There can be no assurance that the economic, budgeting or political issues will not worsen and adversely impact sales or reimbursements of our products.</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Competition from current and future competitors has and may continue to negatively impact our ability to maintain pricing and our market share. New products marketed by our competitors have caused and could continue to cause our revenue to decrease due to potential price reductions and lower sales volumes. Additionally, the introduction of generic or biosimilar versions of our products, follow-on products, prodrugs or products approved under abbreviated regulatory pathways has and may continue to significantly reduce the price and the volume of products we sell.</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third-party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 discounts, rebates, coverage or plan changes, restrictions or exclusions as described above could have a material adverse effect on sales of our affected products.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 and results of operations, could curtail or eliminate our ability to adequately fund research and development programs and/or could cause a decline or volatility in our stock price.</w:t>
      </w:r>
    </w:p>
    <w:p>
      <w:pPr>
        <w:spacing w:after="0" w:line="38" w:lineRule="exact"/>
        <w:rPr>
          <w:sz w:val="20"/>
          <w:szCs w:val="20"/>
          <w:color w:val="auto"/>
        </w:rPr>
      </w:pPr>
    </w:p>
    <w:p>
      <w:pPr>
        <w:jc w:val="both"/>
        <w:ind w:right="220"/>
        <w:spacing w:after="0" w:line="272" w:lineRule="auto"/>
        <w:rPr>
          <w:sz w:val="20"/>
          <w:szCs w:val="20"/>
          <w:color w:val="auto"/>
        </w:rPr>
      </w:pPr>
      <w:r>
        <w:rPr>
          <w:rFonts w:ascii="Arial" w:cs="Arial" w:eastAsia="Arial" w:hAnsi="Arial"/>
          <w:sz w:val="18"/>
          <w:szCs w:val="18"/>
          <w:b w:val="1"/>
          <w:bCs w:val="1"/>
          <w:i w:val="1"/>
          <w:iCs w:val="1"/>
          <w:color w:val="2573BA"/>
        </w:rPr>
        <w:t>We depend on relationships with collaborators and other third parties for revenue, and for the development, regulatory approval, commercialization and marketing of certain of our products and product candidates, which are outside of our full control, and if these relationships fail, our business may be adversely affected.</w:t>
      </w:r>
    </w:p>
    <w:p>
      <w:pPr>
        <w:spacing w:after="0" w:line="50"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rely on a number of collaborative and other third-party relationships for revenue and the development, regulatory approval, commercialization and marketing of certain of our products and product candidates. We also outsource certain aspects of our regulatory affairs and clinical development relating to our products and product candidates to third parties. Reliance on third parties subjects us to a number of risks, including:</w:t>
      </w:r>
    </w:p>
    <w:p>
      <w:pPr>
        <w:spacing w:after="0" w:line="14" w:lineRule="exact"/>
        <w:rPr>
          <w:sz w:val="20"/>
          <w:szCs w:val="20"/>
          <w:color w:val="auto"/>
        </w:rPr>
      </w:pPr>
    </w:p>
    <w:p>
      <w:pPr>
        <w:ind w:left="340" w:right="440" w:hanging="332"/>
        <w:spacing w:after="0" w:line="281" w:lineRule="auto"/>
        <w:tabs>
          <w:tab w:leader="none" w:pos="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be unable to control the resources our collaborators or third parties devote to our programs, products or product candidates, which may affect our ability to achieve development goals or milestones;</w:t>
      </w:r>
    </w:p>
    <w:p>
      <w:pPr>
        <w:spacing w:after="0" w:line="1" w:lineRule="exact"/>
        <w:rPr>
          <w:rFonts w:ascii="Arial" w:cs="Arial" w:eastAsia="Arial" w:hAnsi="Arial"/>
          <w:sz w:val="18"/>
          <w:szCs w:val="18"/>
          <w:color w:val="auto"/>
        </w:rPr>
      </w:pPr>
    </w:p>
    <w:p>
      <w:pPr>
        <w:ind w:left="340" w:right="120" w:hanging="332"/>
        <w:spacing w:after="0" w:line="268" w:lineRule="auto"/>
        <w:tabs>
          <w:tab w:leader="none" w:pos="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disputes may arise under an agreement, including with respect to the achievement and payment of milestones, payment of development or commercial costs, ownership of rights to technology developed and the underlying agreement may fail to provide us with significant protection or may fail to be effectively enforced if the collaborators or third parties fail to perform;</w:t>
      </w:r>
    </w:p>
    <w:p>
      <w:pPr>
        <w:spacing w:after="0" w:line="8" w:lineRule="exact"/>
        <w:rPr>
          <w:rFonts w:ascii="Arial" w:cs="Arial" w:eastAsia="Arial" w:hAnsi="Arial"/>
          <w:sz w:val="18"/>
          <w:szCs w:val="18"/>
          <w:color w:val="auto"/>
        </w:rPr>
      </w:pPr>
    </w:p>
    <w:p>
      <w:pPr>
        <w:ind w:left="340" w:hanging="332"/>
        <w:spacing w:after="0" w:line="262" w:lineRule="auto"/>
        <w:tabs>
          <w:tab w:leader="none" w:pos="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interests of our collaborators or third parties may not always align with our interests, and such parties may not protect and enforce any intellectual property rights or pursue regulatory approvals or market a product in the same manner or to the same extent that we would, which could adversely affect our revenue, or may adopt tax strategies that could have an adverse effect on our business, results of operations or financial condition;</w:t>
      </w:r>
    </w:p>
    <w:p>
      <w:pPr>
        <w:spacing w:after="0" w:line="14" w:lineRule="exact"/>
        <w:rPr>
          <w:rFonts w:ascii="Arial" w:cs="Arial" w:eastAsia="Arial" w:hAnsi="Arial"/>
          <w:sz w:val="18"/>
          <w:szCs w:val="18"/>
          <w:color w:val="auto"/>
        </w:rPr>
      </w:pPr>
    </w:p>
    <w:p>
      <w:pPr>
        <w:ind w:left="340" w:right="380" w:hanging="332"/>
        <w:spacing w:after="0" w:line="268" w:lineRule="auto"/>
        <w:tabs>
          <w:tab w:leader="none" w:pos="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inability of the parties to cooperate effectively, which could adversely affect product sales or the clinical development or regulatory approvals of product candidates under joint control, could result in termination of the research, development or commercialization of product candidates or could result in litigation or arbitration;</w:t>
      </w:r>
    </w:p>
    <w:p>
      <w:pPr>
        <w:spacing w:after="0" w:line="8" w:lineRule="exact"/>
        <w:rPr>
          <w:rFonts w:ascii="Arial" w:cs="Arial" w:eastAsia="Arial" w:hAnsi="Arial"/>
          <w:sz w:val="18"/>
          <w:szCs w:val="18"/>
          <w:color w:val="auto"/>
        </w:rPr>
      </w:pPr>
    </w:p>
    <w:p>
      <w:pPr>
        <w:ind w:left="340" w:right="340" w:hanging="332"/>
        <w:spacing w:after="0" w:line="262" w:lineRule="auto"/>
        <w:tabs>
          <w:tab w:leader="none" w:pos="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failure on the part of our collaborators or third parties to comply with applicable laws, including tax laws, regulatory requirements and/or applicable contractual obligations or to fulfill any responsibilities they may have to protect and enforce any intellectual property rights underlying our products could have an adverse effect on our revenue or reputation as well as involve us in possible legal proceedings;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right="120" w:hanging="332"/>
        <w:spacing w:after="0" w:line="268" w:lineRule="auto"/>
        <w:tabs>
          <w:tab w:leader="none" w:pos="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disruptions, turnover or changes in strategy, priorities or capabilities at our collaborators resulting from, for example, a change in control, may impact the commercialization or manufacturing of our shared products and may result in loss of revenue or higher operating expense; and</w:t>
      </w:r>
    </w:p>
    <w:p>
      <w:pPr>
        <w:spacing w:after="0" w:line="8" w:lineRule="exact"/>
        <w:rPr>
          <w:rFonts w:ascii="Arial" w:cs="Arial" w:eastAsia="Arial" w:hAnsi="Arial"/>
          <w:sz w:val="18"/>
          <w:szCs w:val="18"/>
          <w:color w:val="auto"/>
        </w:rPr>
      </w:pPr>
    </w:p>
    <w:p>
      <w:pPr>
        <w:ind w:left="340" w:right="420" w:hanging="332"/>
        <w:spacing w:after="0" w:line="268" w:lineRule="auto"/>
        <w:tabs>
          <w:tab w:leader="none" w:pos="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improper conduct or actions on the part of our collaborators or third parties could subject us to civil or criminal investigations and monetary and injunctive penalties, require management attention, impact the accuracy and timing of our financial reporting and/or adversely impact our business and our reputation.</w:t>
      </w:r>
    </w:p>
    <w:p>
      <w:pPr>
        <w:spacing w:after="0" w:line="49"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Given these risks, there is considerable uncertainty regarding the success of our current and future collaborative efforts. If these efforts fail, our product development or commercialization of new products could be delayed, revenue from products could decline and/or we may not realize the anticipated benefits of these arrangements.</w:t>
      </w:r>
    </w:p>
    <w:p>
      <w:pPr>
        <w:spacing w:after="0" w:line="38" w:lineRule="exact"/>
        <w:rPr>
          <w:sz w:val="20"/>
          <w:szCs w:val="20"/>
          <w:color w:val="auto"/>
        </w:rPr>
      </w:pPr>
    </w:p>
    <w:p>
      <w:pPr>
        <w:jc w:val="both"/>
        <w:ind w:right="160"/>
        <w:spacing w:after="0" w:line="294" w:lineRule="auto"/>
        <w:rPr>
          <w:sz w:val="20"/>
          <w:szCs w:val="20"/>
          <w:color w:val="auto"/>
        </w:rPr>
      </w:pPr>
      <w:r>
        <w:rPr>
          <w:rFonts w:ascii="Arial" w:cs="Arial" w:eastAsia="Arial" w:hAnsi="Arial"/>
          <w:sz w:val="18"/>
          <w:szCs w:val="18"/>
          <w:b w:val="1"/>
          <w:bCs w:val="1"/>
          <w:i w:val="1"/>
          <w:iCs w:val="1"/>
          <w:color w:val="2573BA"/>
        </w:rPr>
        <w:t>Our results of operations may be adversely affected by current and potential future healthcare reforms including those contained in the PPACA, IRA, OBBBA, MFN and executive orders.</w:t>
      </w:r>
    </w:p>
    <w:p>
      <w:pPr>
        <w:spacing w:after="0" w:line="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U.S., federal and state legislatures, health agencies and third-party payors continue to focus on the cost of healthcare. Legislative and regulatory proposals, enactments to reform healthcare insurance programs (including those in the IRA and OBBBA) and increasing pressure from social sources could significantly influence the manner in which our products are prescribed, purchased and reimbursed. For example, provisions of the PPACA have resulted in changes in the way healthcare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 and under Section 340B of the PHS Act and similar state legislation. These changes have had and are expected to continue to have a significant impact on our business.</w:t>
      </w:r>
    </w:p>
    <w:p>
      <w:pPr>
        <w:spacing w:after="0" w:line="6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July 2025 the U.S. signed into law the OBBBA, which enacts significant potential changes to Medicaid funding and rescinds or does not continue elements of the PPACA. The OBBBA implements additional eligibility rules on government health plans, expands administrative procedures around enrollment, modifies how states can obtain federal funding for Medicaid and no longer extends ACA premium subsidies. Additional federal and state guidance is expected to be issued in order to implement these OBBBA provisions, most of which have effective dates in 2027 and 2028. At this time, we are unable to determine the overall impact that the OBBBA will have on our business, results of operations and financial condition, or the impact the OBBBA will have on the pharmaceutical industry as a whole because any such impact will depend upon developing interpretations of the OBBBA provisions and implementing regulations, which may be material.</w:t>
      </w:r>
    </w:p>
    <w:p>
      <w:pPr>
        <w:spacing w:after="0" w:line="4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may face uncertainties as a result of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is substantial public attention on the costs of prescription drugs and we expect drug pricing and other healthcare costs to continue to be subject to political and societal pressures globally. In addition, there have been, and are expected to continue to be, legislative proposals to address prescription drug pricing. We face uncertainties regarding potential healthcare reforms, governmental policy and prioritization. The uncertainty about the future of the PPACA and healthcare laws may put downward pressure on drug pricing and increase our regulatory burdens and operating costs. For example, we expect the IRA's drug pricing controls and Medicare Part D redesign to continue to have an adverse impact on sales, particularly for our products that are more substantially reliant on Medicare reimbursement.</w:t>
      </w:r>
    </w:p>
    <w:p>
      <w:pPr>
        <w:spacing w:after="0" w:line="6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Additionally, the current government administration has introduced various measures to address prescription drug pricing and access, including through issuance of an executive order aiming to establish an MFN drug pricing policy that would tie U.S. drug prices to the prices paid for drugs in other developed countries. In October 2026 CMS published a final rule establishing Global Benchmarck for Efficient Drug Pricing Model. If HHS sets additional MFN pricing targets for prescription drugs, including the use of international pricing reference to set additional drug prices or rebates in the U.S., or if legislation is passed enabling generic drug or biosimilar entry sooner than expected, our business could be materially harmed, including with respect to our ability to set adequate pricing for new drugs to recover our research and development costs. Additional proposals, regulations or initiatives related to drug pricing, such as the CMS-proposed MFN initiative, the Guarding U.S. Medicare Against Rising Drug Costs Model for certain Medicare Part D drugs, may be finalized, and additional executive orders or regulatory initiatives focused on drug pricing and competition may be adopted and implemented in some form. The timing and extent of implementation of any of the measures described above is uncertain and we cannot fully predict their impact on our product candidates and our business. The adoption of these and any other government controls and measures, and tightening of restrictive policies in jurisdictions with existing controls and measures, could exclude or limit our product candidates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from coverage, limit payments for pharmaceuticals, limit our ability to launch products in certain markets and impact healthcare systems and drug markets in the U.S. and abroad, thereby negatively affecting our revenue and adversely impacting our business.</w:t>
      </w:r>
    </w:p>
    <w:p>
      <w:pPr>
        <w:spacing w:after="0" w:line="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is also significant economic pressure on state budgets, and certain states are increasingly seeking to achieve budget savings through mechanisms that limit coverage or payment for our drugs. Some states have adopted or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also requesting manufacturers to pay supplemental rebates and requiring prior authorization by the state program for use of any drug for which supplemental rebates are not being paid. Government efforts to reduce Medicaid expense may lead to increased use of managed care organizations by Medicaid programs. This may result in managed care organizations influencing prescription decisions for a larger segment of the population and a corresponding limitation on prices and reimbursement for our products which may adversely affect our business and financial condition.</w:t>
      </w:r>
    </w:p>
    <w:p>
      <w:pPr>
        <w:spacing w:after="0" w:line="6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the E.U. and some other international markets, the government provides healthcare at low cost to consumers and regulates pharmaceutical prices, patient eligibility or reimbursement levels to control costs for the government-sponsored healthcare system. Many countries have announced or implemented measures, and may in the future implement new or additional measures, to reduce healthcare costs to limit the overall level of government 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These measures have negatively impacted our revenue and may continue to adversely affect our revenue and results of operations in the future.</w:t>
      </w:r>
    </w:p>
    <w:p>
      <w:pPr>
        <w:spacing w:after="0" w:line="65"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2573BA"/>
        </w:rPr>
        <w:t>Our success in commercializing biosimilars is subject to risks and uncertainties inherent in the development, manufacture and commercialization of biosimilars. If we are unsuccessful, our business may be adversely affected.</w:t>
      </w:r>
    </w:p>
    <w:p>
      <w:pPr>
        <w:spacing w:after="0" w:line="4"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color w:val="auto"/>
        </w:rPr>
        <w:t>The development, manufacture and commercialization of biosimilars require specialized expertise and are costly and subject to complex regulation. Our success in commercializing biosimilars is subject to a number of risks, including:</w:t>
      </w:r>
    </w:p>
    <w:p>
      <w:pPr>
        <w:spacing w:after="0" w:line="1" w:lineRule="exact"/>
        <w:rPr>
          <w:sz w:val="20"/>
          <w:szCs w:val="20"/>
          <w:color w:val="auto"/>
        </w:rPr>
      </w:pPr>
    </w:p>
    <w:p>
      <w:pPr>
        <w:ind w:left="340" w:right="100" w:hanging="332"/>
        <w:spacing w:after="0" w:line="259" w:lineRule="auto"/>
        <w:tabs>
          <w:tab w:leader="none" w:pos="29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Reliance on Third Parties. </w:t>
      </w:r>
      <w:r>
        <w:rPr>
          <w:rFonts w:ascii="Arial" w:cs="Arial" w:eastAsia="Arial" w:hAnsi="Arial"/>
          <w:sz w:val="18"/>
          <w:szCs w:val="18"/>
          <w:color w:val="auto"/>
        </w:rPr>
        <w:t>We are dependent, in part, on the efforts of collaboration partners and other third parties for the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manufacturing of biosimilars. These third parties are independent entities subject to their own unique operational, strategic and financial risks that are outside of our control and may be affected by events outside of our control. If these third parties fail to perform, or reduce their third-party manufacturing production, our commercialization of biosimilars could be delayed, revenue from biosimilars could decline and/or we may not realize the anticipated benefits of these arrangements;</w:t>
      </w:r>
    </w:p>
    <w:p>
      <w:pPr>
        <w:spacing w:after="0" w:line="17" w:lineRule="exact"/>
        <w:rPr>
          <w:rFonts w:ascii="Arial" w:cs="Arial" w:eastAsia="Arial" w:hAnsi="Arial"/>
          <w:sz w:val="18"/>
          <w:szCs w:val="18"/>
          <w:color w:val="auto"/>
        </w:rPr>
      </w:pPr>
    </w:p>
    <w:p>
      <w:pPr>
        <w:ind w:left="340" w:right="120" w:hanging="332"/>
        <w:spacing w:after="0" w:line="259" w:lineRule="auto"/>
        <w:tabs>
          <w:tab w:leader="none" w:pos="29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Competitive Challenges. </w:t>
      </w:r>
      <w:r>
        <w:rPr>
          <w:rFonts w:ascii="Arial" w:cs="Arial" w:eastAsia="Arial" w:hAnsi="Arial"/>
          <w:sz w:val="18"/>
          <w:szCs w:val="18"/>
          <w:color w:val="auto"/>
        </w:rPr>
        <w:t>Biosimilar products face significant competition, including from innovator products and biosimilar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by other companies that may receive greater acceptance or more favorable reimbursement. Local tendering processes may restrict biosimilar products from being marketed and sold in some jurisdictions. The number of competitors in a jurisdiction, the timing of approval and the ability to market biosimilar products successfully in a timely and cost-effective manner are additional factors that may impact our success in this business area;</w:t>
      </w:r>
    </w:p>
    <w:p>
      <w:pPr>
        <w:spacing w:after="0" w:line="17" w:lineRule="exact"/>
        <w:rPr>
          <w:rFonts w:ascii="Arial" w:cs="Arial" w:eastAsia="Arial" w:hAnsi="Arial"/>
          <w:sz w:val="18"/>
          <w:szCs w:val="18"/>
          <w:color w:val="auto"/>
        </w:rPr>
      </w:pPr>
    </w:p>
    <w:p>
      <w:pPr>
        <w:ind w:left="340" w:right="500" w:hanging="332"/>
        <w:spacing w:after="0" w:line="281" w:lineRule="auto"/>
        <w:tabs>
          <w:tab w:leader="none" w:pos="29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Regulatory Compliance. </w:t>
      </w:r>
      <w:r>
        <w:rPr>
          <w:rFonts w:ascii="Arial" w:cs="Arial" w:eastAsia="Arial" w:hAnsi="Arial"/>
          <w:sz w:val="18"/>
          <w:szCs w:val="18"/>
          <w:color w:val="auto"/>
        </w:rPr>
        <w:t>Biosimilar products may face regulatory hurdles or delays due to the evolving and uncertain regulatory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pathway of biosimilars products in certain jurisdictions;</w:t>
      </w:r>
    </w:p>
    <w:p>
      <w:pPr>
        <w:spacing w:after="0" w:line="1" w:lineRule="exact"/>
        <w:rPr>
          <w:rFonts w:ascii="Arial" w:cs="Arial" w:eastAsia="Arial" w:hAnsi="Arial"/>
          <w:sz w:val="18"/>
          <w:szCs w:val="18"/>
          <w:color w:val="auto"/>
        </w:rPr>
      </w:pPr>
    </w:p>
    <w:p>
      <w:pPr>
        <w:ind w:left="340" w:right="200" w:hanging="332"/>
        <w:spacing w:after="0" w:line="281" w:lineRule="auto"/>
        <w:tabs>
          <w:tab w:leader="none" w:pos="295"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Ability to Provide Adequate Supply. </w:t>
      </w:r>
      <w:r>
        <w:rPr>
          <w:rFonts w:ascii="Arial" w:cs="Arial" w:eastAsia="Arial" w:hAnsi="Arial"/>
          <w:sz w:val="17"/>
          <w:szCs w:val="17"/>
          <w:color w:val="auto"/>
        </w:rPr>
        <w:t>Manufacturing biosimilars is complex. If we encounter any persistent manufacturing or supply chain</w:t>
      </w:r>
      <w:r>
        <w:rPr>
          <w:rFonts w:ascii="Arial" w:cs="Arial" w:eastAsia="Arial" w:hAnsi="Arial"/>
          <w:sz w:val="17"/>
          <w:szCs w:val="17"/>
          <w:i w:val="1"/>
          <w:iCs w:val="1"/>
          <w:color w:val="auto"/>
        </w:rPr>
        <w:t xml:space="preserve"> </w:t>
      </w:r>
      <w:r>
        <w:rPr>
          <w:rFonts w:ascii="Arial" w:cs="Arial" w:eastAsia="Arial" w:hAnsi="Arial"/>
          <w:sz w:val="17"/>
          <w:szCs w:val="17"/>
          <w:color w:val="auto"/>
        </w:rPr>
        <w:t>difficulties we may be unable to meet demand. We are dependent on a third party for the manufacture of our biosimilar products and such third party may not perform its obligations in a timely and cost-effective manner or in compliance with applicable regulations and may be unable or unwilling to increase production capacity commensurate with demand for our existing or future biosimilar products;</w:t>
      </w:r>
    </w:p>
    <w:p>
      <w:pPr>
        <w:spacing w:after="0" w:line="2" w:lineRule="exact"/>
        <w:rPr>
          <w:rFonts w:ascii="Arial" w:cs="Arial" w:eastAsia="Arial" w:hAnsi="Arial"/>
          <w:sz w:val="17"/>
          <w:szCs w:val="17"/>
          <w:color w:val="auto"/>
        </w:rPr>
      </w:pPr>
    </w:p>
    <w:p>
      <w:pPr>
        <w:jc w:val="both"/>
        <w:ind w:left="340" w:hanging="332"/>
        <w:spacing w:after="0" w:line="268" w:lineRule="auto"/>
        <w:tabs>
          <w:tab w:leader="none" w:pos="29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and Regulatory Challenges. </w:t>
      </w:r>
      <w:r>
        <w:rPr>
          <w:rFonts w:ascii="Arial" w:cs="Arial" w:eastAsia="Arial" w:hAnsi="Arial"/>
          <w:sz w:val="18"/>
          <w:szCs w:val="18"/>
          <w:color w:val="auto"/>
        </w:rPr>
        <w:t>Biosimilar products may face extensive intellectual property clearances and infringement</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injunctions or regulatory challenges, which could prevent the commercial launch of a product or delay it for many years or result in imposition of monetary damages, penalties or other civil sanctions and damage our reputation; and</w:t>
      </w:r>
    </w:p>
    <w:p>
      <w:pPr>
        <w:spacing w:after="0" w:line="8" w:lineRule="exact"/>
        <w:rPr>
          <w:rFonts w:ascii="Arial" w:cs="Arial" w:eastAsia="Arial" w:hAnsi="Arial"/>
          <w:sz w:val="18"/>
          <w:szCs w:val="18"/>
          <w:color w:val="auto"/>
        </w:rPr>
      </w:pPr>
    </w:p>
    <w:p>
      <w:pPr>
        <w:ind w:left="340" w:right="180" w:hanging="332"/>
        <w:spacing w:after="0" w:line="268" w:lineRule="auto"/>
        <w:tabs>
          <w:tab w:leader="none" w:pos="29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Failure to Gain Market and Patient Acceptance. </w:t>
      </w:r>
      <w:r>
        <w:rPr>
          <w:rFonts w:ascii="Arial" w:cs="Arial" w:eastAsia="Arial" w:hAnsi="Arial"/>
          <w:sz w:val="18"/>
          <w:szCs w:val="18"/>
          <w:color w:val="auto"/>
        </w:rPr>
        <w:t>Market success of biosimilar products will be adversely affected if patients, physicians</w:t>
      </w:r>
      <w:r>
        <w:rPr>
          <w:rFonts w:ascii="Arial" w:cs="Arial" w:eastAsia="Arial" w:hAnsi="Arial"/>
          <w:sz w:val="18"/>
          <w:szCs w:val="18"/>
          <w:i w:val="1"/>
          <w:iCs w:val="1"/>
          <w:color w:val="auto"/>
        </w:rPr>
        <w:t xml:space="preserve"> </w:t>
      </w:r>
      <w:r>
        <w:rPr>
          <w:rFonts w:ascii="Arial" w:cs="Arial" w:eastAsia="Arial" w:hAnsi="Arial"/>
          <w:sz w:val="18"/>
          <w:szCs w:val="18"/>
          <w:color w:val="auto"/>
        </w:rPr>
        <w:t>and/or payors do not accept biosimilar products as safe and efficacious products offering a more competitive price or other benefit over existing therapies.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Intellectual Property</w:t>
      </w:r>
    </w:p>
    <w:p>
      <w:pPr>
        <w:spacing w:after="0" w:line="92"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2573BA"/>
        </w:rPr>
        <w:t>If we are unable to obtain and maintain adequate protection for our data, intellectual property and other proprietary rights, our business may be harmed.</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success, including our long-term viability and growth, depends, in part, on our ability to obtain and defend patent and other intellectual property rights, including certain regulatory forms of exclusivity, that are important to the commercialization of our products and product candidates. Patent protection and/or regulatory exclusivity in the U.S. and other important markets remains uncertain and depends, in part, upon decisions of the patent offices, courts, administrative bodies and lawmakers in these countries. We may fail to obtain, defend or preserve patent and other intellectual property rights, including certain regulatory forms of exclusivity, or the protection we obtain may not be of sufficient breadth and degree to protect our commercial interests in all countries where we conduct business, which could result in financial, business or reputational harm to us or could cause a decline or volatility in our stock price. In addition, settlements of such proceedings often result in reducing the period of exclusivity and other protections, resulting in a reduction in revenue from affected products.</w:t>
      </w:r>
    </w:p>
    <w:p>
      <w:pPr>
        <w:spacing w:after="0" w:line="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many markets, including the U.S., manufacturers may be allowed to rely on the safety and efficacy data of the innovator's product and do not need to conduct clinical trials before marketing a competing version of a product after there is no longer patent or regulatory exclusivity. In such cases, manufacturers often charge significantly lower prices and a major portion of the company's revenue may be reduced in a short period of time. In addition, manufacturers of generics and biosimilars may choose to launch or attempt to launch their products before the expiration of our patent or other intellectual property protections.</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our products may be determined to infringe patents or other intellectual property rights held by third parties. Legal proceedings, administrative challenges or other types of proceedings are and may in the future be necessary to determine the validity, scope or non-infringement of certain patent rights claimed by third parties to be pertinent to the manufacture, use or sale of our products. Legal proceedings may also be necessary to determine the rights, obligations and payments claimed during and after the expiration of intellectual property license agreements we have entered with third parties. Such proceedings are unpredictable and are often protracted and expensive. Negative outcomes of such proceedings could hinder or prevent us from manufacturing and marketing our products, require us to seek a license for the infringed product or technology or result in the assessment of significant monetary damages against us that may exceed amounts, if any, accrued in our financial statements. A failure to obtain necessary licenses for an infringed product or technology could prevent us from manufacturing or selling our products. Furthermore, payments under any licenses that we are able to obtain could reduce our profits from the covered products and services. Any of these circumstances could result in financial, business or reputational harm to us or could cause our stock price to decline or experience periods of volatility.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Development, Clinical Testing and Regulation of Our Products and Product Candidates</w:t>
      </w:r>
    </w:p>
    <w:p>
      <w:pPr>
        <w:spacing w:after="0" w:line="106"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2573BA"/>
        </w:rPr>
        <w:t>Successful preclinical work or early/late stage clinical trials does not ensure success in later stage trials, regulatory approval or commercial viability of a product.</w:t>
      </w:r>
    </w:p>
    <w:p>
      <w:pPr>
        <w:spacing w:after="0" w:line="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Positive results in preclinical work or early/late stage clinical trials have in the past and may in the future fail to be replicated in subsequent or confirmatory trials. Additionally, success in preclinical work or early/late stage clinical trials does not ensure that later stage or larger scale clinical trials will be successful or that regulatory approval will be obtained. Even if later stage clinical trials are successful, regulatory authorities may delay or decline approval of our product candidates. Regulatory authorities may disagree with our view of the data, require additional studies, disagree with our trial design or endpoints. Regulatory authorities may also fail to approve the facilities or processes used to manufacture a product candidate, our dosing or delivery methods or companion devices. Regulatory authorities have in the past and may in the future grant marketing approval that is more restricted than anticipated, including limiting indications to narrow patient populations and the imposition of safety monitoring, educational requirements, requiring confirmatory trials and risk evaluation and mitigation strategies. The occurrence of any of these events could result in significant costs and expense, have an adverse effect on our business, financial condition and results of operations and/or cause our stock price to decline or experience periods of volatility.</w:t>
      </w:r>
    </w:p>
    <w:p>
      <w:pPr>
        <w:spacing w:after="0" w:line="66"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2573BA"/>
        </w:rPr>
        <w:t>Clinical trials and the development of biopharmaceutical products is a lengthy and complex process. If we fail to adequately manage our clinical activities, our clinical trials or potential regulatory approvals may be delayed or denied.</w:t>
      </w:r>
    </w:p>
    <w:p>
      <w:pPr>
        <w:spacing w:after="0" w:line="1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Conducting clinical trials is a complex, time-consuming and expensive process. Our ability to complete clinical trials in a timely fashion depends on a number of key factors, including protocol design, regulatory and institutional review board approval, patient enrollment rates and compliance with current Good Clinical Practices. If we or our third-party clinical trial providers or third-party CROs do not successfully carry out these clinical activities, our clinical trials or the potential regulatory approval of a product candidate may be delayed or denied.</w:t>
      </w:r>
    </w:p>
    <w:p>
      <w:pPr>
        <w:spacing w:after="0" w:line="4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opened clinical trial sites and are enrolling patients in a number of countries where our experience is limited. In most cases, we use the services of third parties to carry out our clinical trial related activities and rely on such parties to accurately report their results. Our reliance on third parties for these activities may impact our ability to control the timing, conduct, expense and quality of our clinical trials. One CRO has responsibility for a substantial</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portion of our activities and reporting related to our clinical trials and if such CRO does not adequately perform, many of our trials may be significantly affected, including adversely affecting our expenses associated with such trials. We may need to replace our CROs, which may result in the delay of the affected trials or otherwise adversely affect our efforts to obtain regulatory approvals and commercialize our product candidates.</w:t>
      </w:r>
    </w:p>
    <w:p>
      <w:pPr>
        <w:spacing w:after="0" w:line="43"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2573BA"/>
        </w:rPr>
        <w:t>Adverse safety events or restrictions on use and safety warnings for our products can negatively affect our business, product sales and stock price.</w:t>
      </w:r>
    </w:p>
    <w:p>
      <w:pPr>
        <w:spacing w:after="0" w:line="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Adverse safety events involving our products, generic or biosimilar versions of our products or products from the same class as one of our products may have a negative impact on our business. Discovery of safety issues with our products could create product liability and has and may in the future cause additional regulatory scrutiny and requirements for additional labeling or safety monitoring, withdrawal of products from the market and/or the imposition of fines or criminal penalties. Adverse safety events may also damage physician, patient and/or investor confidence in our products and our reputation. Any of these could adversely impact our results of operations.</w:t>
      </w:r>
    </w:p>
    <w:p>
      <w:pPr>
        <w:spacing w:after="0" w:line="5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to decline or lead to periods of stock price volatility.</w:t>
      </w:r>
    </w:p>
    <w:p>
      <w:pPr>
        <w:spacing w:after="0" w:line="4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Restrictions on use or safety warnings that may be required to be included in the label of our products may significantly reduce expected revenue for those products or require significant expense or divert management time.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 breakdown or breach of our information systems could subject us to liability or interrupt our business operations.</w:t>
      </w:r>
    </w:p>
    <w:p>
      <w:pPr>
        <w:spacing w:after="0" w:line="1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increasingly dependent upon information systems and data to operate our business. Changes in how we operate, including hybrid and remote working arrangements, have heightened this dependence. As a result, we are increasingly dependent upon our systems to operate our business and our ability to effectively manage our business depends on the security, reliability and adequacy of our systems and data, which includes use of cloud technologies, including Software as a Service (SaaS), Platform as a Service (PaaS) and Infrastructure as a Service (IaaS). Breakdowns, invasions, corruptions, destructions and/or breaches, which may include impacts such as, but not limited to, compromising the capacity, reliability or security of our information systems or those of our business partners, including our cloud technologies, and/or unauthorized access to our data and information could subject us to significant liability, negatively impact our business operations, and/or require replacement of technology and/or sizeable ransom payments. Our information systems, including our cloud technologies, continue to increase in multitude and complexity, increasing our vulnerability when breakdowns, malicious intrusions and ransom attacks occur. Data privacy or security breaches also pose a risk that sensitive data, including intellectual property, trade secrets or personal information belonging to us, patients, customers or other business partners, may be exposed to unauthorized persons or to the public.</w:t>
      </w:r>
    </w:p>
    <w:p>
      <w:pPr>
        <w:spacing w:after="0" w:line="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Cybersecurity threats and incidents are increasing in their frequency, sophistication and intensity, and are becoming increasingly difficult to detect, particularly when they impact employees, vendors, customers or suppliers, and other companies in our supply chain. Cybersecurity threats and incidents are often carried out by motivated, well-resourced, skilled and persistent threat actors, including nation states, organized crime groups, and “hacktivists” and may include or target employees or contractors acting with carelessness or malicious intent. Recent developments in the threat landscape include use of adversarial AI techniques, including generative AI models and machine learning, as well as an increased number of cyber extortion attacks, with higher financial ransom demand amounts and increasing sophistication and variety of ransomware techniques and methodology. AI technologies, including generative AI models and machine learning, develop rapidly and threat actors use them to identify currently unknown vulnerabilities and create new sophisticated attack methods that are increasingly automated, targeted, coordinated and more difficult to defend against. This may necessitate ongoing enhancements to our cybersecurity systems and infrastructure. Geopolitical instability may increase the risk of cybersecurity threats. Cybersecurity threats or incidents may include deployment of harmful malware and key loggers, ransomware, a denial-of-service attack, a malicious website, the use of social engineering and other means to affect the confidentiality, integrity and availability of our information systems and data. Threat actors increasingly target user identities and access credentials in an attempt to circumvent multi-factor authentication, and can use valid credentials to access cloud-based applications and exfiltrate data, including third-party data, without any operational disruption. We have experienced such attacks, and expect to continue to be targeted in the future.</w:t>
      </w:r>
    </w:p>
    <w:p>
      <w:pPr>
        <w:spacing w:after="0" w:line="6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Cybersecurity threats and incidents also include supply chain attacks, which could cause a delay in the manufacturing of products including products produced for contract manufacturing or lead to a data privacy or security breach. Our key business partners face similar risks and any security breach of their systems could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adversely affect our security posture. The integration of acquired businesses and their systems may also increase these risks. In addition, our increased use of cloud technologies heightens these and other operational risks, and any failure by cloud or other technology service providers to adequately safeguard their systems and prevent cyber-attacks could disrupt our operations and result in misappropriation, corruption or loss of confidential or proprietary information.</w:t>
      </w:r>
    </w:p>
    <w:p>
      <w:pPr>
        <w:spacing w:after="0" w:line="4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While we continue to build and improve our systems and infrastructure, including our business continuity and disaster recovery capabilities, there can be no assurance that our efforts will detect and prevent cybersecurity threats or incidents in our systems or that we will be able to restore affected systems and critical business operations in a timely manner. Any such incidents could materially adversely affect our business operations and/or result in the loss of critical or sensitive information, which could result in material financial, legal, operational or reputational harm to us, loss of competitive advantage or loss of consumer confidence.</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Regulators consistently impose new data privacy and security requirements, including monetary fines for privacy violations. For example, the E.U.’s General Data Protection Regulation established regulations regarding the handling of personal data, and provides an enforcement authority and imposes large penalties for noncompliance. U.S. data privacy and security laws, such as the CCPA, and others that may be passed, similarly introduce requirements with respect to personal information, and non-compliance with the CCPA may result in liability through private actions (subject to statutorily defined damages in the event of certain data breaches) and enforcement.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patients, healthcare providers and the general public to lose trust in us, which could have a material adverse effect on our business.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The increasing use of AI presents new risks and challenges and could adversely affect our business and reputation.</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with many developing technologies, AI technologies, including generative AI and AI agents that can take actions on a user's behalf, present risks and challenges. For example, algorithms may be flawed, data sets may be insufficient, of poor quality or contain biased information; outputs may be inaccurate, incomplete or not reproducible; and inappropriate or controversial data practices could impair results. The use of AI is increasing in the biopharmaceutical industry, including by us, for R&amp;D, marketing, manufacturing and commercialization, and AI technologies are increasingly embedded in products and services provided by third parties. We anticipate increasing our use of AI in the future. If the analyses or outputs that AI technologies assist in producing are deficient or inaccurate, or are relied upon without appropriate human oversight, we could be subjected to competitive harm, potential legal liability and brand or reputational harm. Where AI is used to support activities subject to regulatory requirements, such as clinical development, pharmacovigilance, manufacturing and quality, or regulatory submissions, deficiencies in validation, documentation or oversight could result in regulatory scrutiny or affect the acceptance of our submissions.</w:t>
      </w:r>
    </w:p>
    <w:p>
      <w:pPr>
        <w:spacing w:after="0" w:line="64"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Use of AI technologies internally, by third parties or by threat actors, may also lead to cybersecurity risks or the release of confidential proprietary information, including personal data, which may impact our ability to realize the benefit of our intellectual property or violate our internal policies, data protection laws or contractual requirements. The use of AI technologies may also result in unauthorized access of personal data or the intellectual property of third parties, and the ownership and protectability of AI-assisted inventions and works remain uncertain.</w:t>
      </w:r>
    </w:p>
    <w:p>
      <w:pPr>
        <w:spacing w:after="0" w:line="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Since the use of AI is subject to new and evolving laws and regulations, compliance may impose operational costs and limit our ability to use AI, and failure to comply may result in potential government actions, litigation, fines, penalties or adverse publicity. In addition, if we are unable to adopt and integrate AI technologies effectively and responsibly, we may not realize their anticipated benefits, which could adversely affect our competitive position.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Manufacturing issues could substantially increase our costs, limit supply of our products and/or reduce our revenue.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process of manufacturing our products is complex, highly regulated and subject to numerous risks, including:</w:t>
      </w:r>
    </w:p>
    <w:p>
      <w:pPr>
        <w:spacing w:after="0" w:line="63" w:lineRule="exact"/>
        <w:rPr>
          <w:sz w:val="20"/>
          <w:szCs w:val="20"/>
          <w:color w:val="auto"/>
        </w:rPr>
      </w:pPr>
    </w:p>
    <w:p>
      <w:pPr>
        <w:ind w:left="340" w:right="20" w:hanging="332"/>
        <w:spacing w:after="0" w:line="255" w:lineRule="auto"/>
        <w:tabs>
          <w:tab w:leader="none" w:pos="29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Risks of Reliance on Third Parties and Single Source Providers. </w:t>
      </w:r>
      <w:r>
        <w:rPr>
          <w:rFonts w:ascii="Arial" w:cs="Arial" w:eastAsia="Arial" w:hAnsi="Arial"/>
          <w:sz w:val="18"/>
          <w:szCs w:val="18"/>
          <w:color w:val="auto"/>
        </w:rPr>
        <w:t>We rely on third-party suppliers and manufacturers for many aspects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manufacturing process for our products and product candidates. In some cases, due to the unique manner in which our products are manufactured, we rely on single source providers of raw materials and manufacturing supplies. These third parties are independent entities subject to their own unique operational, strategic and financial risks that are outside of our control and may be affected by events outside of our control. Additionally, these third 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right="80"/>
        <w:spacing w:after="0" w:line="281" w:lineRule="auto"/>
        <w:rPr>
          <w:sz w:val="20"/>
          <w:szCs w:val="20"/>
          <w:color w:val="auto"/>
        </w:rPr>
      </w:pPr>
      <w:r>
        <w:rPr>
          <w:rFonts w:ascii="Arial" w:cs="Arial" w:eastAsia="Arial" w:hAnsi="Arial"/>
          <w:sz w:val="18"/>
          <w:szCs w:val="18"/>
          <w:color w:val="auto"/>
        </w:rPr>
        <w:t>cannot be certain that we could reach agreement with alternative providers or that the FDA or other regulatory authorities would approve our use of such alternatives.</w:t>
      </w:r>
    </w:p>
    <w:p>
      <w:pPr>
        <w:spacing w:after="0" w:line="1" w:lineRule="exact"/>
        <w:rPr>
          <w:sz w:val="20"/>
          <w:szCs w:val="20"/>
          <w:color w:val="auto"/>
        </w:rPr>
      </w:pPr>
    </w:p>
    <w:p>
      <w:pPr>
        <w:ind w:left="340" w:right="340" w:hanging="332"/>
        <w:spacing w:after="0" w:line="281" w:lineRule="auto"/>
        <w:tabs>
          <w:tab w:leader="none" w:pos="295"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Global Bulk Supply Risks. </w:t>
      </w:r>
      <w:r>
        <w:rPr>
          <w:rFonts w:ascii="Arial" w:cs="Arial" w:eastAsia="Arial" w:hAnsi="Arial"/>
          <w:sz w:val="17"/>
          <w:szCs w:val="17"/>
          <w:color w:val="auto"/>
        </w:rPr>
        <w:t>We rely on our manufacturing facilities for the production of drug substance for our large molecule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product candidates. Our global bulk supply of these products and product candidates depends on the uninterrupted and efficient operation of these facilities, which could be adversely affected by equipment failures, labor or raw material shortages, geopolitical instability, public health epidemics, natural disasters, adverse weather events, power failures, cyber-attacks and many other factors.</w:t>
      </w:r>
    </w:p>
    <w:p>
      <w:pPr>
        <w:spacing w:after="0" w:line="2" w:lineRule="exact"/>
        <w:rPr>
          <w:rFonts w:ascii="Arial" w:cs="Arial" w:eastAsia="Arial" w:hAnsi="Arial"/>
          <w:sz w:val="17"/>
          <w:szCs w:val="17"/>
          <w:color w:val="auto"/>
        </w:rPr>
      </w:pPr>
    </w:p>
    <w:p>
      <w:pPr>
        <w:ind w:left="340" w:right="60" w:hanging="332"/>
        <w:spacing w:after="0" w:line="257" w:lineRule="auto"/>
        <w:tabs>
          <w:tab w:leader="none" w:pos="29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Risks Relating to Compliance with current GMP (cGMP). </w:t>
      </w:r>
      <w:r>
        <w:rPr>
          <w:rFonts w:ascii="Arial" w:cs="Arial" w:eastAsia="Arial" w:hAnsi="Arial"/>
          <w:sz w:val="18"/>
          <w:szCs w:val="18"/>
          <w:color w:val="auto"/>
        </w:rPr>
        <w:t>We and our third-party providers are required to maintain compliance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cGMP and other stringent requirements, as applicable, and are subject to inspections by the FDA and other regulatory authorities to confirm compliance. Any delay, interruption or other issues that arise in the manufacture, fill-finish, packaging or storage of our products as a result of a failure of our facilities or operations or those of third parties to receive regulatory approval or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20" w:lineRule="exact"/>
        <w:rPr>
          <w:rFonts w:ascii="Arial" w:cs="Arial" w:eastAsia="Arial" w:hAnsi="Arial"/>
          <w:sz w:val="18"/>
          <w:szCs w:val="18"/>
          <w:color w:val="auto"/>
        </w:rPr>
      </w:pPr>
    </w:p>
    <w:p>
      <w:pPr>
        <w:ind w:left="340" w:hanging="332"/>
        <w:spacing w:after="0" w:line="259" w:lineRule="auto"/>
        <w:tabs>
          <w:tab w:leader="none" w:pos="29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Risk of Product Loss. </w:t>
      </w:r>
      <w:r>
        <w:rPr>
          <w:rFonts w:ascii="Arial" w:cs="Arial" w:eastAsia="Arial" w:hAnsi="Arial"/>
          <w:sz w:val="18"/>
          <w:szCs w:val="18"/>
          <w:color w:val="auto"/>
        </w:rPr>
        <w:t>The manufacturing process for our products is extremely susceptible to product loss due to contamination,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oxidation,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spacing w:after="0" w:line="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w:t>
      </w:r>
    </w:p>
    <w:p>
      <w:pPr>
        <w:spacing w:after="0" w:line="36"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Furthermore, factors such as geopolitical instability, public health epidemics, natural disasters, adverse weather events, labor or raw material shortages, imposition of tariffs or trade restrictions, power failures, cyber-attacks and other supply chain disruptions could result in difficulties and delays in manufacturing our products, which could have an adverse impact on our results of operations or result in product shortages.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also have to take inventory write-offs and incur other charges and expense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w:t>
      </w:r>
    </w:p>
    <w:p>
      <w:pPr>
        <w:spacing w:after="0" w:line="6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addition, although we have business continuity plans to reduce the potential for manufacturing disruptions or delays and reduce the severity of a disruptive event, there is no guarantee that these plans will be adequate, which could adversely affect our business and operations.</w:t>
      </w:r>
    </w:p>
    <w:p>
      <w:pPr>
        <w:spacing w:after="0" w:line="51"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2573BA"/>
        </w:rPr>
        <w:t>Management, personnel and other organizational changes may disrupt our operations, and we may have difficulty retaining personnel or attracting and retaining qualified replacements on a timely basis for the management and other personnel who may leave the Company, which could disrupt our business and adversely affect our operations.</w:t>
      </w:r>
    </w:p>
    <w:p>
      <w:pPr>
        <w:spacing w:after="0" w:line="2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Changes in management, other personnel and our overall retention rate may disrupt our business, and any such disruption could adversely affect our operations, programs, growth, financial condition or results of operations. New members of management may have different perspectives on programs and opportunities for our business, which may cause us to focus on new opportunities or reduce or change emphasis on our existing programs.</w:t>
      </w:r>
    </w:p>
    <w:p>
      <w:pPr>
        <w:spacing w:after="0" w:line="5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success is dependent upon our ability to attract and retain qualified management and other personnel in a highly competitive environment. Qualified individuals are in high demand, and we may incur significant costs to attract or retain them. We may face difficulty in attracting and retaining talent for a number of reasons, including management changes, integration of acquired businesses, assets or operations, the underperformance or discontinuation of one or more marketed, preclinical or clinical programs, recruitment by competitors or changes in the overall labor market. Changes in our organizational structure or in our flexible working arrangements could also impact productivity and morale as well as our ability to attract, retain and motivate employees. We cannot ensure that we will be able to hire or retain the personnel necessary for our operations or that the loss of any personnel will not have a material impact on our financial condition and results of operations.</w:t>
      </w:r>
    </w:p>
    <w:p>
      <w:pPr>
        <w:spacing w:after="0" w:line="65"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2573BA"/>
        </w:rPr>
        <w:t>If we fail to comply with the extensive legal and regulatory requirements affecting the healthcare industry, we could face increased costs, penalties and a loss of business.</w:t>
      </w:r>
    </w:p>
    <w:p>
      <w:pPr>
        <w:spacing w:after="0" w:line="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activities, and the activities of our collaborators, distributors and other third-party providers, are subject to extensive government regulation and oversight in the U.S. and in foreign jurisdictions, and are subject to change and evolving interpretations, which could require us to incur substantial costs associated with compliance or to alter one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or more of our business practices. The FDA and comparable foreign agencies directly regulate many of our most critical business activities, including the conduct of preclinical and clinical studies, product manufacturing, advertising and promotion, product distribution, adverse event reporting, product risk management and our compliance with good practice quality guidelines and regulations. Our interactions with physicians and other healthcare providers that prescribe or purchase our products are also subject to laws and government regulation designed to prevent fraud and abuse in the sale and use of products and place significant restrictions on the marketing practices of healthcare companies. Healthcare companies are facing heightened scrutiny of their relationships with healthcare providers and have been the target of lawsuits and investigations alleging violations of laws and government regulation, including claims asserting submission of incorrect pricing information, impermissible off-label promotion of pharmaceutical products, payments intended to influence the referral of healthcare business, submission of false claims for government reimbursement, antitrust violations or violations related to environmental matters. There is also enhanced scrutiny of company-sponsored patient assistance programs, including testing, insurance premium and co-pay assistance programs and donations to third-party charities that provide such assistance. The U.S. government has challenged some of our donations to third-party charities that provide patient assistance. If we, or our vendors or donation recipients, are found to fail to comply with relevant laws, regulations or government guidance in the operation of these or other patient assistance programs, we could be subject to significant fines or penalties. Risks relating to compliance with laws and regulations may be heightened as we continue to expand our global operations and enter new therapeutic areas with different patient populations, which may have different product distribution methods, marketing programs or patient assistance programs from those we currently utilize or support.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Conditions and regulations governing the healthcare industry are subject to change, with possible retroactive effect, including:</w:t>
      </w:r>
    </w:p>
    <w:p>
      <w:pPr>
        <w:spacing w:after="0" w:line="63" w:lineRule="exact"/>
        <w:rPr>
          <w:sz w:val="20"/>
          <w:szCs w:val="20"/>
          <w:color w:val="auto"/>
        </w:rPr>
      </w:pPr>
    </w:p>
    <w:p>
      <w:pPr>
        <w:jc w:val="both"/>
        <w:ind w:left="340" w:right="200" w:hanging="332"/>
        <w:spacing w:after="0" w:line="259" w:lineRule="auto"/>
        <w:tabs>
          <w:tab w:leader="none" w:pos="2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judicial decisions, related to healthcare availability, pricing or marketing practices, compliance with employment practices, method of delivery, payment for healthcare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spacing w:after="0" w:line="17" w:lineRule="exact"/>
        <w:rPr>
          <w:rFonts w:ascii="Arial" w:cs="Arial" w:eastAsia="Arial" w:hAnsi="Arial"/>
          <w:sz w:val="18"/>
          <w:szCs w:val="18"/>
          <w:color w:val="auto"/>
        </w:rPr>
      </w:pPr>
    </w:p>
    <w:p>
      <w:pPr>
        <w:jc w:val="both"/>
        <w:ind w:left="340" w:right="580" w:hanging="332"/>
        <w:spacing w:after="0" w:line="287" w:lineRule="auto"/>
        <w:tabs>
          <w:tab w:leader="none" w:pos="295" w:val="left"/>
        </w:tabs>
        <w:numPr>
          <w:ilvl w:val="0"/>
          <w:numId w:val="57"/>
        </w:numPr>
        <w:rPr>
          <w:rFonts w:ascii="Arial" w:cs="Arial" w:eastAsia="Arial" w:hAnsi="Arial"/>
          <w:sz w:val="17"/>
          <w:szCs w:val="17"/>
          <w:color w:val="auto"/>
        </w:rPr>
      </w:pPr>
      <w:r>
        <w:rPr>
          <w:rFonts w:ascii="Arial" w:cs="Arial" w:eastAsia="Arial" w:hAnsi="Arial"/>
          <w:sz w:val="17"/>
          <w:szCs w:val="17"/>
          <w:color w:val="auto"/>
        </w:rPr>
        <w:t>changes and the potential imposition of new or changing standards in the FDA and foreign regulatory approval processes, staffing, resources or perspectives that may delay or prevent certain processes, including, but not limited to, the approval of new products, product labels and/or formulations and approvals required for manufacturing facilities and may result in lost market opportunity;</w:t>
      </w:r>
    </w:p>
    <w:p>
      <w:pPr>
        <w:jc w:val="both"/>
        <w:ind w:left="340" w:right="100" w:hanging="332"/>
        <w:spacing w:after="0" w:line="268" w:lineRule="auto"/>
        <w:tabs>
          <w:tab w:leader="none" w:pos="2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government shutdowns, funding disputes, reorganizations, furloughs or reductions in staffing and/or resources or changes in priorities or focus may result in delays to the review and approval process, slowing the time necessary for new drug candidates and other regulatory matters to be reviewed and/or approved, which may adversely affect our business;</w:t>
      </w:r>
    </w:p>
    <w:p>
      <w:pPr>
        <w:spacing w:after="0" w:line="8" w:lineRule="exact"/>
        <w:rPr>
          <w:rFonts w:ascii="Arial" w:cs="Arial" w:eastAsia="Arial" w:hAnsi="Arial"/>
          <w:sz w:val="18"/>
          <w:szCs w:val="18"/>
          <w:color w:val="auto"/>
        </w:rPr>
      </w:pPr>
    </w:p>
    <w:p>
      <w:pPr>
        <w:ind w:left="340" w:right="20" w:hanging="332"/>
        <w:spacing w:after="0" w:line="268" w:lineRule="auto"/>
        <w:tabs>
          <w:tab w:leader="none" w:pos="2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spacing w:after="0" w:line="8" w:lineRule="exact"/>
        <w:rPr>
          <w:rFonts w:ascii="Arial" w:cs="Arial" w:eastAsia="Arial" w:hAnsi="Arial"/>
          <w:sz w:val="18"/>
          <w:szCs w:val="18"/>
          <w:color w:val="auto"/>
        </w:rPr>
      </w:pPr>
    </w:p>
    <w:p>
      <w:pPr>
        <w:ind w:left="340" w:right="180" w:hanging="332"/>
        <w:spacing w:after="0" w:line="268" w:lineRule="auto"/>
        <w:tabs>
          <w:tab w:leader="none" w:pos="2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4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Additionally, conditions and regulations governing the healthcare industry in the U.S. are subject to greater risk of change and uncertainty as a result of changes in legislative and regulatory priorities and personnel.</w:t>
      </w:r>
    </w:p>
    <w:p>
      <w:pPr>
        <w:spacing w:after="0" w:line="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Violations of governmental regulation may be punishable by criminal and civil sanctions, including fines and civil monetary penalties and exclusion from participation in government programs, including Medicare and Medicaid, as well as against executives overseeing our business. We could also be required to repay amounts we received from government payors or pay additional rebates and interest if we are found to have miscalculated the pricing information we submitted to the government. In addition, legal proceedings and investigations are inherently unpredictable, and large judgments or settlements sometimes occur. While we believe that we have appropriate compliance controls, policies and procedures in place to comply with the laws or regulations of the jurisdictions in which we operate, there is a risk that acts committed by our employees, agents, distributors, collaborators or third-party providers might violate such laws or regulations. Whether or not we have complied with the law, an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investigation or litigation related to alleged unlawful conduct could increase our expense, damage our reputation, divert management time and attention and adversely affect our business.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sales and operations are subject to the risks of doing business internationally.</w:t>
      </w:r>
    </w:p>
    <w:p>
      <w:pPr>
        <w:spacing w:after="0" w:line="1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increasing our presence in international markets, subjecting us to many risks that could adversely affect our business and revenue. There is no guarantee that our efforts and strategies to expand sales in international markets will succeed. Emerging market countries may be especially vulnerable to periods of global and local political, legal, regulatory and financial instability and may have a higher incidence of corruption and fraudulent business practices. Certain countries may require local clinical trial data as part of the drug registration process in addition to global clinical trials, which can add to overall drug development and registration timelines. We may also be required to increase our reliance on third-party agents or distributors and unfamiliar operations and arrangements previously utilized by companies we collaborate with or acquire in emerging markets.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Our sales and operations are subject to the risks of doing business internationally, including:</w:t>
      </w:r>
    </w:p>
    <w:p>
      <w:pPr>
        <w:spacing w:after="0" w:line="63"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impact of public health epidemics on the global economy and the delivery of healthcare treatments;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less favorable intellectual property or other applicable laws;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inability to obtain necessary foreign regulatory approvals of products in a timely manner;</w:t>
      </w:r>
    </w:p>
    <w:p>
      <w:pPr>
        <w:spacing w:after="0" w:line="63" w:lineRule="exact"/>
        <w:rPr>
          <w:rFonts w:ascii="Arial" w:cs="Arial" w:eastAsia="Arial" w:hAnsi="Arial"/>
          <w:sz w:val="18"/>
          <w:szCs w:val="18"/>
          <w:color w:val="auto"/>
        </w:rPr>
      </w:pPr>
    </w:p>
    <w:p>
      <w:pPr>
        <w:ind w:left="340" w:right="540" w:hanging="332"/>
        <w:spacing w:after="0" w:line="281" w:lineRule="auto"/>
        <w:tabs>
          <w:tab w:leader="none" w:pos="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limitations and additional pressures on our ability to obtain and maintain product pricing, reimbursement or receive price increases, including those resulting from governmental or regulatory requirements;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increased cost of goods due to factors such as inflation and supply chain disruptions;</w:t>
      </w:r>
    </w:p>
    <w:p>
      <w:pPr>
        <w:spacing w:after="0" w:line="63" w:lineRule="exact"/>
        <w:rPr>
          <w:rFonts w:ascii="Arial" w:cs="Arial" w:eastAsia="Arial" w:hAnsi="Arial"/>
          <w:sz w:val="18"/>
          <w:szCs w:val="18"/>
          <w:color w:val="auto"/>
        </w:rPr>
      </w:pPr>
    </w:p>
    <w:p>
      <w:pPr>
        <w:ind w:left="340" w:right="580" w:hanging="332"/>
        <w:spacing w:after="0" w:line="281" w:lineRule="auto"/>
        <w:tabs>
          <w:tab w:leader="none" w:pos="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additional complexity in manufacturing or conducting clinical research internationally, including materials manufactured in China or working with CROs in China;</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delays in clinical trials relating to geopolitical instability;</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inability to successfully complete subsequent or confirmatory clinical trials in countries where our experience is limited;</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longer payment and reimbursement cycles and uncertainties regarding the collectability of accounts receivable;</w:t>
      </w:r>
    </w:p>
    <w:p>
      <w:pPr>
        <w:spacing w:after="0" w:line="63" w:lineRule="exact"/>
        <w:rPr>
          <w:rFonts w:ascii="Arial" w:cs="Arial" w:eastAsia="Arial" w:hAnsi="Arial"/>
          <w:sz w:val="18"/>
          <w:szCs w:val="18"/>
          <w:color w:val="auto"/>
        </w:rPr>
      </w:pPr>
    </w:p>
    <w:p>
      <w:pPr>
        <w:ind w:left="340" w:right="940" w:hanging="332"/>
        <w:spacing w:after="0" w:line="281" w:lineRule="auto"/>
        <w:tabs>
          <w:tab w:leader="none" w:pos="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may adversely impact our revenue, net income and value of certain of our investments;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imposition of governmental controls;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diverse data privacy and protection requirements;</w:t>
      </w:r>
    </w:p>
    <w:p>
      <w:pPr>
        <w:spacing w:after="0" w:line="63" w:lineRule="exact"/>
        <w:rPr>
          <w:rFonts w:ascii="Arial" w:cs="Arial" w:eastAsia="Arial" w:hAnsi="Arial"/>
          <w:sz w:val="18"/>
          <w:szCs w:val="18"/>
          <w:color w:val="auto"/>
        </w:rPr>
      </w:pPr>
    </w:p>
    <w:p>
      <w:pPr>
        <w:ind w:left="340" w:right="160" w:hanging="332"/>
        <w:spacing w:after="0" w:line="281" w:lineRule="auto"/>
        <w:tabs>
          <w:tab w:leader="none" w:pos="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that may differ substantially from country to country and may conflict with corresponding U.S. laws and regulations;</w:t>
      </w:r>
    </w:p>
    <w:p>
      <w:pPr>
        <w:spacing w:after="0" w:line="1" w:lineRule="exact"/>
        <w:rPr>
          <w:rFonts w:ascii="Arial" w:cs="Arial" w:eastAsia="Arial" w:hAnsi="Arial"/>
          <w:sz w:val="18"/>
          <w:szCs w:val="18"/>
          <w:color w:val="auto"/>
        </w:rPr>
      </w:pPr>
    </w:p>
    <w:p>
      <w:pPr>
        <w:ind w:left="340" w:right="380" w:hanging="332"/>
        <w:spacing w:after="0" w:line="281" w:lineRule="auto"/>
        <w:tabs>
          <w:tab w:leader="none" w:pos="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anti-bribery and anti-corruption legislation across the globe, including the U.K. Bribery Act 2010, and elsewhere and escalation of investigations and prosecutions pursuant to such laws;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compliance with complex import and export control laws;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63" w:lineRule="exact"/>
        <w:rPr>
          <w:rFonts w:ascii="Arial" w:cs="Arial" w:eastAsia="Arial" w:hAnsi="Arial"/>
          <w:sz w:val="18"/>
          <w:szCs w:val="18"/>
          <w:color w:val="auto"/>
        </w:rPr>
      </w:pPr>
    </w:p>
    <w:p>
      <w:pPr>
        <w:ind w:left="340" w:right="540" w:hanging="332"/>
        <w:spacing w:after="0" w:line="287" w:lineRule="auto"/>
        <w:tabs>
          <w:tab w:leader="none" w:pos="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imposition of tariffs or reciprocal tariffs, trade protection measures, embargoes, import or export licensing requirements and the imposition of trade sanctions and other similar restrictions.</w:t>
      </w:r>
    </w:p>
    <w:p>
      <w:pPr>
        <w:spacing w:after="0" w:line="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international operations are also subject to regulation under U.S. law. For example, following Section 232 investigations, the U.S. federal government issued a Proclamation in April 2026 imposing a 100% tariff on imports of patented pharmaceuticals, biologics and associated ingredients, subject to certain exemptions and reduced rates. In addition to the Proclamation, the government may take additional trade protection measures including embargoes, import or export licensing requirements, the imposition of trade sanctions or similar restrictions, which could have adverse consequences to our business and operations.</w:t>
      </w:r>
    </w:p>
    <w:p>
      <w:pPr>
        <w:spacing w:after="0" w:line="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Additionally, the U.S.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business and financial results. In addition, while we believe that we have appropriate compliance controls, policies and procedures in place to comply with the FCPA, there is a risk that acts committed by our employees, agents, distributors, collaborators or third-party providers might violate the FCPA and we might be held responsible. If our employees, agents, distributors, collaborators or third-party providers are found to have engaged in such practices, we could suffer severe penalties and may be subject to other liabilities, which could negatively affect our business.</w:t>
      </w:r>
    </w:p>
    <w:p>
      <w:pPr>
        <w:spacing w:after="0" w:line="60"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b w:val="1"/>
          <w:bCs w:val="1"/>
          <w:i w:val="1"/>
          <w:iCs w:val="1"/>
          <w:color w:val="2573BA"/>
        </w:rPr>
        <w:t>We built a large-scale biologics manufacturing facility and are building a clinical packaging and other manufacturing facility, which represent a significant investment with no assurance that such investment will be recouped.</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order to support our future growth and drug development pipeline, we have expanded our large molecule production capacity by building a large-scale biologics manufacturing facility in Solothurn, Switzerland with no assurance that the additional capacity will be required or this investment will be recouped. Although the Solothurn facility was approved by the FDA for LEQEMBI and TYSABRI, there can be no assurance that the regulatory authorities will approve the Solothurn facility for the manufacturing of other products. Additionally, we are building a new clinical packaging and other manufacturing facility as well as modernizing and automating our existing manufacturing facilities in RTP with no assurance that these investments will be fully utilized.</w:t>
      </w:r>
    </w:p>
    <w:p>
      <w:pPr>
        <w:spacing w:after="0" w:line="4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If we are unable to fully utilize our manufacturing facilities, our business may be harmed. Charges resulting from excess capacity may occur and would have a negative effect on our financial condition and results of operations.</w:t>
      </w:r>
    </w:p>
    <w:p>
      <w:pPr>
        <w:spacing w:after="0" w:line="20"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2573BA"/>
        </w:rPr>
        <w:t>The illegal distribution and sale by third parties of counterfeit or unfit versions of our products or stolen products could have a negative impact on our reputation and business.</w:t>
      </w:r>
    </w:p>
    <w:p>
      <w:pPr>
        <w:spacing w:after="0" w:line="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Third parties might illegally distribute and sell counterfeit or unfit versions of our products, which do not meet our rigorous manufacturing, distribution and testing standards. A patient who receives a counterfeit or unfit drug may be at risk for a number of dangerous health consequences. Our reputation and business could suffer harm as a result of counterfeit or unfit drugs sold under our brand name. Inventory that is stolen from warehouses, plants or while in-transit, and that is subsequently improperly stored and sold through unauthorized channels, could adversely impact patient safety, our reputation and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The increasing use of social media platforms presents new risks and challenges.</w:t>
      </w:r>
    </w:p>
    <w:p>
      <w:pPr>
        <w:spacing w:after="0" w:line="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and create uncertainty and risk of noncompliance with applicable regulations. For example, patients may use social media to comment on the effectiveness of a product or to report an alleged adverse event. When such disclosures occur, there is a risk that we may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social media. We may also encounter criticism on social media regarding our company, management, product candidates or products. The immediacy of social media precludes us from having real-time control over postings made regarding us, whether matters of fact or opinion. Our reputation could be damaged by the negative publicity generated from false or misleading posts concerning us, which we may not be able to reverse. If any of these events were to occur or we otherwise fail to comply with applicable regulations, we could incur liability, face restrictive regulatory actions or incur other harm to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Holding Our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operating results are subject to significant fluctuations.</w:t>
      </w:r>
    </w:p>
    <w:p>
      <w:pPr>
        <w:spacing w:after="0" w:line="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Our quarterly revenue, expense and net income have fluctuated in the past and are likely to fluctuate significantly in the future due to the risks described in these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as well as the timing of charges and expense that we may take. We have recorded, or may in the future be required to record, charges that include:</w:t>
      </w:r>
    </w:p>
    <w:p>
      <w:pPr>
        <w:spacing w:after="0" w:line="9"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 of restructurings or other initiatives to streamline our operations and reallocate resources;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associated with decisions to terminate research and development programs;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impairments with respect to investments, fixed assets and long-lived assets, including IPR&amp;D and other intangible assets;</w:t>
      </w:r>
    </w:p>
    <w:p>
      <w:pPr>
        <w:spacing w:after="0" w:line="63" w:lineRule="exact"/>
        <w:rPr>
          <w:rFonts w:ascii="Arial" w:cs="Arial" w:eastAsia="Arial" w:hAnsi="Arial"/>
          <w:sz w:val="18"/>
          <w:szCs w:val="18"/>
          <w:color w:val="auto"/>
        </w:rPr>
      </w:pPr>
    </w:p>
    <w:p>
      <w:pPr>
        <w:ind w:left="340" w:right="200" w:hanging="332"/>
        <w:spacing w:after="0" w:line="281" w:lineRule="auto"/>
        <w:tabs>
          <w:tab w:leader="none" w:pos="2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inventory write-downs for failed quality specifications, charges for excess capacity, charges for excess or obsolescence and charges for inventory write-downs relating to product suspensions, expirations or recalls;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the fair value of contingent consideration or our equity investments;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bad debt expense and increased bad debt reserves;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outcomes of litigation and other legal or administrative proceedings, regulatory matters and tax matters;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right="400" w:hanging="332"/>
        <w:spacing w:after="0" w:line="281" w:lineRule="auto"/>
        <w:tabs>
          <w:tab w:leader="none" w:pos="2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payments in connection with acquisitions, divestitures and other business development activities and under license and collaboration agreements;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to meet certain contractual commitments; and</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impact of public health epidemics on employees, the global economy and the delivery of healthcare.</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revenue and certain assets and liabilities are also subject to foreign currency exchange rate fluctuations due to the global nature of our operations. Our efforts to mitigate the impact of fluctuating currency exchange rates may not be successful. As a result, currency fluctuations among our reporting currency, the U.S. dollar, and other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early termination of a hedge relationship.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during any one period do not necessarily suggest the results of future periods.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investments in properties may not be fully realized.</w:t>
      </w:r>
    </w:p>
    <w:p>
      <w:pPr>
        <w:spacing w:after="0" w:line="1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own or lease real estate primarily consisting of buildings that contain research laboratories, office space and manufacturing operations. We may decide to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or additional depreciation when the expected useful lives of certain assets have been shortened due to the anticipated closing of facilities. If we decide to fully or partially vacate a property, we may incur significant cost, including facility closing costs, employee separation and retention expense, lease termination fees, rent expense in excess of sublease income and impairment of leasehold improvements and accelerated depreciation of assets. Any of these events may have an adverse impact on our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may not be able to access the capital and credit markets on favorable terms, which could increase financing costs.</w:t>
      </w:r>
    </w:p>
    <w:p>
      <w:pPr>
        <w:spacing w:after="0" w:line="7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may seek access to the capital and credit markets to supplement our existing funds and cash generated from operations for working capital, capital expenditure, debt refinancing, debt service requirements and other business initiatives. The capital and credit markets are experiencing, and have in the past experienced, extreme volatility and disruption, which lead to uncertainty and liquidity issues for both borrowers and investors. Recent and potential disruptions, including those related to tariff announcements and trade policy uncertainty, may exacerbate these conditions. In the event of adverse conditions, we may be unable to obtain financing with favorable terms which could significantly increase our financing costs. Changes in credit ratings issued by nationally recognized credit rating agencies could also adversely affect our cost of financing and the market price of our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indebtedness could adversely affect us and limit our ability to plan for or respond to changes in our business.</w:t>
      </w:r>
    </w:p>
    <w:p>
      <w:pPr>
        <w:spacing w:after="0" w:line="75" w:lineRule="exact"/>
        <w:rPr>
          <w:sz w:val="20"/>
          <w:szCs w:val="20"/>
          <w:color w:val="auto"/>
        </w:rPr>
      </w:pPr>
    </w:p>
    <w:p>
      <w:pPr>
        <w:ind w:right="700"/>
        <w:spacing w:after="0" w:line="281" w:lineRule="auto"/>
        <w:rPr>
          <w:sz w:val="20"/>
          <w:szCs w:val="20"/>
          <w:color w:val="auto"/>
        </w:rPr>
      </w:pPr>
      <w:r>
        <w:rPr>
          <w:rFonts w:ascii="Arial" w:cs="Arial" w:eastAsia="Arial" w:hAnsi="Arial"/>
          <w:sz w:val="18"/>
          <w:szCs w:val="18"/>
          <w:color w:val="auto"/>
        </w:rPr>
        <w:t>Our indebtedness, together with our significant contingent liabilities, including milestone and royalty payment obligations, could have important consequences to our business; for example, such obligations could:</w:t>
      </w:r>
    </w:p>
    <w:p>
      <w:pPr>
        <w:spacing w:after="0" w:line="1" w:lineRule="exact"/>
        <w:rPr>
          <w:sz w:val="20"/>
          <w:szCs w:val="20"/>
          <w:color w:val="auto"/>
        </w:rPr>
      </w:pPr>
    </w:p>
    <w:p>
      <w:pPr>
        <w:ind w:left="280" w:hanging="272"/>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63" w:lineRule="exact"/>
        <w:rPr>
          <w:rFonts w:ascii="Arial" w:cs="Arial" w:eastAsia="Arial" w:hAnsi="Arial"/>
          <w:sz w:val="18"/>
          <w:szCs w:val="18"/>
          <w:color w:val="auto"/>
        </w:rPr>
      </w:pPr>
    </w:p>
    <w:p>
      <w:pPr>
        <w:ind w:left="340" w:right="480" w:hanging="332"/>
        <w:spacing w:after="0" w:line="268" w:lineRule="auto"/>
        <w:tabs>
          <w:tab w:leader="none" w:pos="2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including business development, research and development and mergers and acquisitions; and</w:t>
      </w:r>
    </w:p>
    <w:p>
      <w:pPr>
        <w:spacing w:after="0" w:line="8" w:lineRule="exact"/>
        <w:rPr>
          <w:rFonts w:ascii="Arial" w:cs="Arial" w:eastAsia="Arial" w:hAnsi="Arial"/>
          <w:sz w:val="18"/>
          <w:szCs w:val="18"/>
          <w:color w:val="auto"/>
        </w:rPr>
      </w:pPr>
    </w:p>
    <w:p>
      <w:pPr>
        <w:ind w:left="340" w:right="340" w:hanging="332"/>
        <w:spacing w:after="0" w:line="287" w:lineRule="auto"/>
        <w:tabs>
          <w:tab w:leader="none" w:pos="2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disadvantage compared to our competitors that have less debt.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 portfolio is subject to market, interest and credit risk that may reduce its value.</w:t>
      </w:r>
    </w:p>
    <w:p>
      <w:pPr>
        <w:spacing w:after="0" w:line="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a portfolio of marketable securities for investment of our cash as well as investments in equity securities of certain biotechnology companies. Changes in the value of our investment portfolio has in the past and may in the future adversely affect our earnings. The value of our investments may decline due to, among other things, increases in interest rates, downgrades of the bonds and other securities in our portfolio, negative company-specific news, biotechnology market sentiment, instability in the global financial markets that reduces the liquidity of securities in our portfolio, declines in the value of collateral underlying the securities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680"/>
        <w:spacing w:after="0" w:line="288" w:lineRule="auto"/>
        <w:rPr>
          <w:sz w:val="20"/>
          <w:szCs w:val="20"/>
          <w:color w:val="auto"/>
        </w:rPr>
      </w:pPr>
      <w:r>
        <w:rPr>
          <w:rFonts w:ascii="Arial" w:cs="Arial" w:eastAsia="Arial" w:hAnsi="Arial"/>
          <w:sz w:val="18"/>
          <w:szCs w:val="18"/>
          <w:b w:val="1"/>
          <w:bCs w:val="1"/>
          <w:i w:val="1"/>
          <w:iCs w:val="1"/>
          <w:color w:val="2573BA"/>
        </w:rPr>
        <w:t>There can be no assurance that we will repurchase shares or that we will repurchase shares at favorable prices, which may negatively affect our stock price.</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From time to time our Board of Directors authorizes share repurchase programs. The amount and timing of share repurchases are subject to capital availability and our determination that share repurchases are in the best interest of our shareholders and are in compliance with all respective laws and our applicable agreements. Our ability to repurchase shares will depend upon, among other factors, our cash balances and potential future capital requirements for strategic transactions, our results of operations, our financial condition and other factors beyond our control that we may deem relevant. Additionally, the IRA includes an excise tax on share repurchases, which will increase the cost of share repurchases. A reduction in repurchases under, or the completion of, our share repurchase programs could have a negative effect on our stock price. We can provide no assurance that we will repurchase shares at favorable prices, if at all.</w:t>
      </w:r>
    </w:p>
    <w:p>
      <w:pPr>
        <w:spacing w:after="0" w:line="63" w:lineRule="exact"/>
        <w:rPr>
          <w:sz w:val="20"/>
          <w:szCs w:val="20"/>
          <w:color w:val="auto"/>
        </w:rPr>
      </w:pPr>
    </w:p>
    <w:p>
      <w:pPr>
        <w:ind w:right="200"/>
        <w:spacing w:after="0" w:line="288" w:lineRule="auto"/>
        <w:rPr>
          <w:sz w:val="20"/>
          <w:szCs w:val="20"/>
          <w:color w:val="auto"/>
        </w:rPr>
      </w:pPr>
      <w:r>
        <w:rPr>
          <w:rFonts w:ascii="Arial" w:cs="Arial" w:eastAsia="Arial" w:hAnsi="Arial"/>
          <w:sz w:val="18"/>
          <w:szCs w:val="18"/>
          <w:b w:val="1"/>
          <w:bCs w:val="1"/>
          <w:i w:val="1"/>
          <w:iCs w:val="1"/>
          <w:color w:val="2573BA"/>
        </w:rPr>
        <w:t>Some of our collaboration agreements contain change in control provisions that may discourage a third party from attempting to acquire us.</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result in reduced milestone, profit or royalty payments to us or give our collaboration partner rights to terminate our collaboration agreement, acquire operational control or force the purchase or sale of the programs that are the subject of the collaboration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General Risk Factors</w:t>
      </w:r>
    </w:p>
    <w:p>
      <w:pPr>
        <w:spacing w:after="0" w:line="92"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2573BA"/>
        </w:rPr>
        <w:t>Our effective tax rate fluctuates, and we may incur obligations in tax jurisdictions in excess of accrued amounts in our financial statements.</w:t>
      </w:r>
    </w:p>
    <w:p>
      <w:pPr>
        <w:spacing w:after="0" w:line="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global company, we are subject to taxation in numerous countries, states and other jurisdictions. As a result, our effective tax rate is derived from a combination of applicable tax rates, including withholding taxes, in the various places that we operate. In preparing our financial statements, we estimate the amount of tax that will become payable in each of such places. Our effective tax rate may be different than experienced in the past or our current expectations due to many factors, including changes in the mix of our profitability from country to country, the results of examinations and audits of our tax filings, adjustments to the value of our uncertain tax positions, interpretations by tax authorities or other bodies with jurisdiction, the result of tax cases, changes in accounting for income taxes and changes in tax laws, especially in the U.S. (including the OBBBA) and Switzerland, and regulations either prospectively or retrospectively and the effects of the integrations of acquired businesses. Our estimates concerning the impact of the OBBBA remain subject to developing interpretations of the provisions of the OBBBA, which may require further adjustments and changes in our estimates, and could have a material adverse effect on our business.</w:t>
      </w:r>
    </w:p>
    <w:p>
      <w:pPr>
        <w:spacing w:after="0" w:line="3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inability to secure or sustain acceptable arrangements with tax authorities and future changes in the tax laws, among other things, may result in tax obligations in excess of amounts accrued in our financial statements.</w:t>
      </w:r>
    </w:p>
    <w:p>
      <w:pPr>
        <w:spacing w:after="0" w:line="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enactment and interpretation of some or all of the recommendations set forth or that may be forthcoming in the OECD’s project on “Base Erosion and Profit Shifting” by tax authorities and economic blocs in the countries in which we operate, could unfavorably impact our effective tax rate. Many countries have or are in the process of enacting legislation intended to implement the OECD GloBE Model Rules. The impact on the Company will depend on the timing of implementation, the exact nature of each country's GloBE legislation, guidance and regulations (including the Pillar Two side-by-side package announced by the OECD in January 2026) thereon and their application by tax authorities either prospectively or retrospectively.</w:t>
      </w:r>
    </w:p>
    <w:p>
      <w:pPr>
        <w:spacing w:after="0" w:line="63" w:lineRule="exact"/>
        <w:rPr>
          <w:sz w:val="20"/>
          <w:szCs w:val="20"/>
          <w:color w:val="auto"/>
        </w:rPr>
      </w:pPr>
    </w:p>
    <w:p>
      <w:pPr>
        <w:ind w:right="80"/>
        <w:spacing w:after="0" w:line="288" w:lineRule="auto"/>
        <w:rPr>
          <w:sz w:val="20"/>
          <w:szCs w:val="20"/>
          <w:color w:val="auto"/>
        </w:rPr>
      </w:pPr>
      <w:r>
        <w:rPr>
          <w:rFonts w:ascii="Arial" w:cs="Arial" w:eastAsia="Arial" w:hAnsi="Arial"/>
          <w:sz w:val="18"/>
          <w:szCs w:val="18"/>
          <w:b w:val="1"/>
          <w:bCs w:val="1"/>
          <w:i w:val="1"/>
          <w:iCs w:val="1"/>
          <w:color w:val="2573BA"/>
        </w:rPr>
        <w:t>Our business involves environmental and operational risks, which include the cost of compliance and the risk of contamination or injury.</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business and the business of several of our strategic partners involve the controlled use of hazardous materials, chemicals, biologics and radioactive compounds which make us subject to changing and evolving rules and interpretations, which could require us to incur substantial costs associated with compliance or to alter one or more of our business practices.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 Additionally, regulators have passed new environmental disclosure rules. For example, the E.U., California and certain other countries we do business in have promulgated climate disclosure rules that will generally require additional</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disclosure. These new rules collectively will impose additional disclosure requirements relating to climate-related risks and emissions disclosures. We expect to be subject to these new laws and regulations if or when they go into effect, which would impose extensive reporting obligations about greenhouse gas emissions and climate-related financial risks. These recently enacted and proposed regulations may require us to incur compliance and disclosure costs and will likely require substantial management attention.</w:t>
      </w:r>
    </w:p>
    <w:p>
      <w:pPr>
        <w:spacing w:after="0" w:line="200" w:lineRule="exact"/>
        <w:rPr>
          <w:sz w:val="20"/>
          <w:szCs w:val="20"/>
          <w:color w:val="auto"/>
        </w:rPr>
      </w:pPr>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color w:val="auto"/>
        </w:rPr>
        <w:t>ITEM 2.</w:t>
        <w:tab/>
        <w:t>UNREGISTERED SALES OF EQUITY SECURITIES AND USE OF PROCEEDS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70C0"/>
        </w:rPr>
        <w:t>ISSUER PURCHASES OF EQUITY SECURITIES</w:t>
      </w:r>
    </w:p>
    <w:p>
      <w:pPr>
        <w:spacing w:after="0" w:line="106"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The following table summarizes our common stock repurchase activity under our 2020 Share Repurchase Program during the third quarter of 2026:</w:t>
      </w: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rPr>
              <w:t>Average Price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ind w:left="188"/>
              <w:spacing w:after="0" w:line="145" w:lineRule="exact"/>
              <w:rPr>
                <w:sz w:val="20"/>
                <w:szCs w:val="20"/>
                <w:color w:val="auto"/>
              </w:rPr>
            </w:pPr>
            <w:r>
              <w:rPr>
                <w:rFonts w:ascii="Arial" w:cs="Arial" w:eastAsia="Arial" w:hAnsi="Arial"/>
                <w:sz w:val="14"/>
                <w:szCs w:val="14"/>
                <w:b w:val="1"/>
                <w:bCs w:val="1"/>
                <w:color w:val="auto"/>
              </w:rPr>
              <w:t>as Part of Publicly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39"/>
        </w:trPr>
        <w:tc>
          <w:tcPr>
            <w:tcW w:w="3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Shares Purchased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left="188"/>
              <w:spacing w:after="0" w:line="139" w:lineRule="exact"/>
              <w:rPr>
                <w:sz w:val="20"/>
                <w:szCs w:val="20"/>
                <w:color w:val="auto"/>
              </w:rPr>
            </w:pPr>
            <w:r>
              <w:rPr>
                <w:rFonts w:ascii="Arial" w:cs="Arial" w:eastAsia="Arial" w:hAnsi="Arial"/>
                <w:sz w:val="14"/>
                <w:szCs w:val="14"/>
                <w:b w:val="1"/>
                <w:bCs w:val="1"/>
                <w:color w:val="auto"/>
              </w:rPr>
              <w:t>Paid per Share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ind w:left="168"/>
              <w:spacing w:after="0" w:line="139" w:lineRule="exact"/>
              <w:rPr>
                <w:sz w:val="20"/>
                <w:szCs w:val="20"/>
                <w:color w:val="auto"/>
              </w:rPr>
            </w:pPr>
            <w:r>
              <w:rPr>
                <w:rFonts w:ascii="Arial" w:cs="Arial" w:eastAsia="Arial" w:hAnsi="Arial"/>
                <w:sz w:val="14"/>
                <w:szCs w:val="14"/>
                <w:b w:val="1"/>
                <w:bCs w:val="1"/>
                <w:color w:val="auto"/>
              </w:rPr>
              <w:t>Announced Programs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Our Programs</w:t>
            </w:r>
          </w:p>
        </w:tc>
        <w:tc>
          <w:tcPr>
            <w:tcW w:w="0" w:type="dxa"/>
            <w:vAlign w:val="bottom"/>
          </w:tcPr>
          <w:p>
            <w:pPr>
              <w:spacing w:after="0"/>
              <w:rPr>
                <w:sz w:val="1"/>
                <w:szCs w:val="1"/>
                <w:color w:val="auto"/>
              </w:rPr>
            </w:pPr>
          </w:p>
        </w:tc>
      </w:tr>
      <w:tr>
        <w:trPr>
          <w:trHeight w:val="185"/>
        </w:trPr>
        <w:tc>
          <w:tcPr>
            <w:tcW w:w="34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3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7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8"/>
        </w:trPr>
        <w:tc>
          <w:tcPr>
            <w:tcW w:w="3540" w:type="dxa"/>
            <w:vAlign w:val="bottom"/>
            <w:gridSpan w:val="3"/>
          </w:tcPr>
          <w:p>
            <w:pPr>
              <w:ind w:left="20"/>
              <w:spacing w:after="0"/>
              <w:rPr>
                <w:sz w:val="20"/>
                <w:szCs w:val="20"/>
                <w:color w:val="auto"/>
              </w:rPr>
            </w:pPr>
            <w:r>
              <w:rPr>
                <w:rFonts w:ascii="Arial" w:cs="Arial" w:eastAsia="Arial" w:hAnsi="Arial"/>
                <w:sz w:val="14"/>
                <w:szCs w:val="14"/>
                <w:color w:val="auto"/>
              </w:rPr>
              <w:t>July 1, 2026 - July 31, 2026</w:t>
            </w:r>
          </w:p>
        </w:tc>
        <w:tc>
          <w:tcPr>
            <w:tcW w:w="300" w:type="dxa"/>
            <w:vAlign w:val="bottom"/>
            <w:shd w:val="clear" w:color="auto" w:fill="DBDBDB"/>
          </w:tcPr>
          <w:p>
            <w:pPr>
              <w:spacing w:after="0"/>
              <w:rPr>
                <w:sz w:val="16"/>
                <w:szCs w:val="16"/>
                <w:color w:val="auto"/>
              </w:rPr>
            </w:pPr>
          </w:p>
        </w:tc>
        <w:tc>
          <w:tcPr>
            <w:tcW w:w="1320" w:type="dxa"/>
            <w:vAlign w:val="bottom"/>
            <w:shd w:val="clear" w:color="auto" w:fill="DBDBDB"/>
          </w:tcPr>
          <w:p>
            <w:pPr>
              <w:ind w:left="1120"/>
              <w:spacing w:after="0"/>
              <w:rPr>
                <w:sz w:val="20"/>
                <w:szCs w:val="20"/>
                <w:color w:val="auto"/>
              </w:rPr>
            </w:pPr>
            <w:r>
              <w:rPr>
                <w:rFonts w:ascii="Arial" w:cs="Arial" w:eastAsia="Arial" w:hAnsi="Arial"/>
                <w:sz w:val="14"/>
                <w:szCs w:val="14"/>
                <w:color w:val="026DCE"/>
              </w:rPr>
              <w:t>—</w:t>
            </w:r>
          </w:p>
        </w:tc>
        <w:tc>
          <w:tcPr>
            <w:tcW w:w="1500" w:type="dxa"/>
            <w:vAlign w:val="bottom"/>
            <w:gridSpan w:val="3"/>
            <w:shd w:val="clear" w:color="auto" w:fill="DBDBDB"/>
          </w:tcPr>
          <w:p>
            <w:pPr>
              <w:jc w:val="right"/>
              <w:ind w:right="1208"/>
              <w:spacing w:after="0"/>
              <w:rPr>
                <w:sz w:val="20"/>
                <w:szCs w:val="20"/>
                <w:color w:val="auto"/>
              </w:rPr>
            </w:pPr>
            <w:r>
              <w:rPr>
                <w:rFonts w:ascii="Arial" w:cs="Arial" w:eastAsia="Arial" w:hAnsi="Arial"/>
                <w:sz w:val="14"/>
                <w:szCs w:val="14"/>
                <w:color w:val="026DCE"/>
              </w:rPr>
              <w:t>$</w:t>
            </w:r>
          </w:p>
        </w:tc>
        <w:tc>
          <w:tcPr>
            <w:tcW w:w="2140" w:type="dxa"/>
            <w:vAlign w:val="bottom"/>
            <w:gridSpan w:val="3"/>
            <w:shd w:val="clear" w:color="auto" w:fill="DBDBDB"/>
          </w:tcPr>
          <w:p>
            <w:pPr>
              <w:ind w:left="40"/>
              <w:spacing w:after="0"/>
              <w:rPr>
                <w:sz w:val="20"/>
                <w:szCs w:val="20"/>
                <w:color w:val="auto"/>
              </w:rPr>
            </w:pPr>
            <w:r>
              <w:rPr>
                <w:rFonts w:ascii="Arial" w:cs="Arial" w:eastAsia="Arial" w:hAnsi="Arial"/>
                <w:sz w:val="14"/>
                <w:szCs w:val="14"/>
                <w:color w:val="026DCE"/>
              </w:rPr>
              <w:t>—</w:t>
            </w:r>
          </w:p>
        </w:tc>
        <w:tc>
          <w:tcPr>
            <w:tcW w:w="3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740" w:type="dxa"/>
            <w:vAlign w:val="bottom"/>
            <w:shd w:val="clear" w:color="auto" w:fill="DBDBDB"/>
          </w:tcPr>
          <w:p>
            <w:pPr>
              <w:jc w:val="right"/>
              <w:ind w:right="568"/>
              <w:spacing w:after="0"/>
              <w:rPr>
                <w:sz w:val="20"/>
                <w:szCs w:val="20"/>
                <w:color w:val="auto"/>
              </w:rPr>
            </w:pPr>
            <w:r>
              <w:rPr>
                <w:rFonts w:ascii="Arial" w:cs="Arial" w:eastAsia="Arial" w:hAnsi="Arial"/>
                <w:sz w:val="14"/>
                <w:szCs w:val="14"/>
                <w:color w:val="026DCE"/>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2,050.0</w:t>
            </w:r>
          </w:p>
        </w:tc>
        <w:tc>
          <w:tcPr>
            <w:tcW w:w="0" w:type="dxa"/>
            <w:vAlign w:val="bottom"/>
          </w:tcPr>
          <w:p>
            <w:pPr>
              <w:spacing w:after="0"/>
              <w:rPr>
                <w:sz w:val="1"/>
                <w:szCs w:val="1"/>
                <w:color w:val="auto"/>
              </w:rPr>
            </w:pPr>
          </w:p>
        </w:tc>
      </w:tr>
      <w:tr>
        <w:trPr>
          <w:trHeight w:val="203"/>
        </w:trPr>
        <w:tc>
          <w:tcPr>
            <w:tcW w:w="3540" w:type="dxa"/>
            <w:vAlign w:val="bottom"/>
            <w:gridSpan w:val="3"/>
          </w:tcPr>
          <w:p>
            <w:pPr>
              <w:ind w:left="20"/>
              <w:spacing w:after="0"/>
              <w:rPr>
                <w:sz w:val="20"/>
                <w:szCs w:val="20"/>
                <w:color w:val="auto"/>
              </w:rPr>
            </w:pPr>
            <w:r>
              <w:rPr>
                <w:rFonts w:ascii="Arial" w:cs="Arial" w:eastAsia="Arial" w:hAnsi="Arial"/>
                <w:sz w:val="14"/>
                <w:szCs w:val="14"/>
                <w:color w:val="auto"/>
              </w:rPr>
              <w:t>August 1, 2026 - August 31, 2026</w:t>
            </w:r>
          </w:p>
        </w:tc>
        <w:tc>
          <w:tcPr>
            <w:tcW w:w="300" w:type="dxa"/>
            <w:vAlign w:val="bottom"/>
            <w:shd w:val="clear" w:color="auto" w:fill="DBDBDB"/>
          </w:tcPr>
          <w:p>
            <w:pPr>
              <w:spacing w:after="0"/>
              <w:rPr>
                <w:sz w:val="17"/>
                <w:szCs w:val="17"/>
                <w:color w:val="auto"/>
              </w:rPr>
            </w:pPr>
          </w:p>
        </w:tc>
        <w:tc>
          <w:tcPr>
            <w:tcW w:w="1320" w:type="dxa"/>
            <w:vAlign w:val="bottom"/>
            <w:shd w:val="clear" w:color="auto" w:fill="DBDBDB"/>
          </w:tcPr>
          <w:p>
            <w:pPr>
              <w:ind w:left="112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7"/>
                <w:szCs w:val="17"/>
                <w:color w:val="auto"/>
              </w:rPr>
            </w:pPr>
          </w:p>
        </w:tc>
        <w:tc>
          <w:tcPr>
            <w:tcW w:w="1480" w:type="dxa"/>
            <w:vAlign w:val="bottom"/>
            <w:gridSpan w:val="2"/>
            <w:shd w:val="clear" w:color="auto" w:fill="DBDBDB"/>
          </w:tcPr>
          <w:p>
            <w:pPr>
              <w:jc w:val="right"/>
              <w:ind w:right="1208"/>
              <w:spacing w:after="0"/>
              <w:rPr>
                <w:sz w:val="20"/>
                <w:szCs w:val="20"/>
                <w:color w:val="auto"/>
              </w:rPr>
            </w:pPr>
            <w:r>
              <w:rPr>
                <w:rFonts w:ascii="Arial" w:cs="Arial" w:eastAsia="Arial" w:hAnsi="Arial"/>
                <w:sz w:val="14"/>
                <w:szCs w:val="14"/>
                <w:color w:val="026DCE"/>
              </w:rPr>
              <w:t>$</w:t>
            </w:r>
          </w:p>
        </w:tc>
        <w:tc>
          <w:tcPr>
            <w:tcW w:w="2140" w:type="dxa"/>
            <w:vAlign w:val="bottom"/>
            <w:gridSpan w:val="3"/>
            <w:shd w:val="clear" w:color="auto" w:fill="DBDBDB"/>
          </w:tcPr>
          <w:p>
            <w:pPr>
              <w:ind w:left="40"/>
              <w:spacing w:after="0"/>
              <w:rPr>
                <w:sz w:val="20"/>
                <w:szCs w:val="20"/>
                <w:color w:val="auto"/>
              </w:rPr>
            </w:pPr>
            <w:r>
              <w:rPr>
                <w:rFonts w:ascii="Arial" w:cs="Arial" w:eastAsia="Arial" w:hAnsi="Arial"/>
                <w:sz w:val="14"/>
                <w:szCs w:val="14"/>
                <w:color w:val="026DCE"/>
              </w:rPr>
              <w:t>—</w:t>
            </w:r>
          </w:p>
        </w:tc>
        <w:tc>
          <w:tcPr>
            <w:tcW w:w="3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740" w:type="dxa"/>
            <w:vAlign w:val="bottom"/>
            <w:shd w:val="clear" w:color="auto" w:fill="DBDBDB"/>
          </w:tcPr>
          <w:p>
            <w:pPr>
              <w:jc w:val="right"/>
              <w:ind w:right="568"/>
              <w:spacing w:after="0"/>
              <w:rPr>
                <w:sz w:val="20"/>
                <w:szCs w:val="20"/>
                <w:color w:val="auto"/>
              </w:rPr>
            </w:pPr>
            <w:r>
              <w:rPr>
                <w:rFonts w:ascii="Arial" w:cs="Arial" w:eastAsia="Arial" w:hAnsi="Arial"/>
                <w:sz w:val="14"/>
                <w:szCs w:val="14"/>
                <w:color w:val="026DCE"/>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2,050.0</w:t>
            </w:r>
          </w:p>
        </w:tc>
        <w:tc>
          <w:tcPr>
            <w:tcW w:w="0" w:type="dxa"/>
            <w:vAlign w:val="bottom"/>
          </w:tcPr>
          <w:p>
            <w:pPr>
              <w:spacing w:after="0"/>
              <w:rPr>
                <w:sz w:val="1"/>
                <w:szCs w:val="1"/>
                <w:color w:val="auto"/>
              </w:rPr>
            </w:pPr>
          </w:p>
        </w:tc>
      </w:tr>
      <w:tr>
        <w:trPr>
          <w:trHeight w:val="207"/>
        </w:trPr>
        <w:tc>
          <w:tcPr>
            <w:tcW w:w="3540" w:type="dxa"/>
            <w:vAlign w:val="bottom"/>
            <w:gridSpan w:val="3"/>
          </w:tcPr>
          <w:p>
            <w:pPr>
              <w:ind w:left="20"/>
              <w:spacing w:after="0"/>
              <w:rPr>
                <w:sz w:val="20"/>
                <w:szCs w:val="20"/>
                <w:color w:val="auto"/>
              </w:rPr>
            </w:pPr>
            <w:r>
              <w:rPr>
                <w:rFonts w:ascii="Arial" w:cs="Arial" w:eastAsia="Arial" w:hAnsi="Arial"/>
                <w:sz w:val="14"/>
                <w:szCs w:val="14"/>
                <w:color w:val="auto"/>
              </w:rPr>
              <w:t>September 1, 2026 - September 30, 2026</w:t>
            </w:r>
          </w:p>
        </w:tc>
        <w:tc>
          <w:tcPr>
            <w:tcW w:w="30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ind w:left="1120"/>
              <w:spacing w:after="0"/>
              <w:rPr>
                <w:sz w:val="20"/>
                <w:szCs w:val="20"/>
                <w:color w:val="auto"/>
              </w:rPr>
            </w:pPr>
            <w:r>
              <w:rPr>
                <w:rFonts w:ascii="Arial" w:cs="Arial" w:eastAsia="Arial" w:hAnsi="Arial"/>
                <w:sz w:val="14"/>
                <w:szCs w:val="14"/>
                <w:color w:val="026DCE"/>
              </w:rPr>
              <w:t>—</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ind w:right="1208"/>
              <w:spacing w:after="0"/>
              <w:rPr>
                <w:sz w:val="20"/>
                <w:szCs w:val="20"/>
                <w:color w:val="auto"/>
              </w:rPr>
            </w:pPr>
            <w:r>
              <w:rPr>
                <w:rFonts w:ascii="Arial" w:cs="Arial" w:eastAsia="Arial" w:hAnsi="Arial"/>
                <w:sz w:val="14"/>
                <w:szCs w:val="14"/>
                <w:color w:val="026DCE"/>
              </w:rPr>
              <w:t>$</w:t>
            </w:r>
          </w:p>
        </w:tc>
        <w:tc>
          <w:tcPr>
            <w:tcW w:w="26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4"/>
                <w:szCs w:val="14"/>
                <w:color w:val="026DCE"/>
              </w:rPr>
              <w:t>—</w:t>
            </w:r>
          </w:p>
        </w:tc>
        <w:tc>
          <w:tcPr>
            <w:tcW w:w="1880" w:type="dxa"/>
            <w:vAlign w:val="bottom"/>
            <w:tcBorders>
              <w:bottom w:val="single" w:sz="8" w:color="DBDBDB"/>
            </w:tcBorders>
            <w:gridSpan w:val="2"/>
            <w:shd w:val="clear" w:color="auto" w:fill="DBDBDB"/>
          </w:tcPr>
          <w:p>
            <w:pPr>
              <w:spacing w:after="0"/>
              <w:rPr>
                <w:sz w:val="17"/>
                <w:szCs w:val="17"/>
                <w:color w:val="auto"/>
              </w:rPr>
            </w:pPr>
          </w:p>
        </w:tc>
        <w:tc>
          <w:tcPr>
            <w:tcW w:w="3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740" w:type="dxa"/>
            <w:vAlign w:val="bottom"/>
            <w:tcBorders>
              <w:bottom w:val="single" w:sz="8" w:color="DBDBDB"/>
            </w:tcBorders>
            <w:shd w:val="clear" w:color="auto" w:fill="DBDBDB"/>
          </w:tcPr>
          <w:p>
            <w:pPr>
              <w:jc w:val="right"/>
              <w:ind w:right="568"/>
              <w:spacing w:after="0"/>
              <w:rPr>
                <w:sz w:val="20"/>
                <w:szCs w:val="20"/>
                <w:color w:val="auto"/>
              </w:rPr>
            </w:pPr>
            <w:r>
              <w:rPr>
                <w:rFonts w:ascii="Arial" w:cs="Arial" w:eastAsia="Arial" w:hAnsi="Arial"/>
                <w:sz w:val="14"/>
                <w:szCs w:val="14"/>
                <w:color w:val="026DCE"/>
              </w:rPr>
              <w:t>$</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2,050.0</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500" w:type="dxa"/>
            <w:vAlign w:val="bottom"/>
            <w:gridSpan w:val="2"/>
          </w:tcPr>
          <w:p>
            <w:pPr>
              <w:ind w:left="100"/>
              <w:spacing w:after="0"/>
              <w:rPr>
                <w:sz w:val="20"/>
                <w:szCs w:val="20"/>
                <w:color w:val="auto"/>
              </w:rPr>
            </w:pPr>
            <w:r>
              <w:rPr>
                <w:rFonts w:ascii="Arial" w:cs="Arial" w:eastAsia="Arial" w:hAnsi="Arial"/>
                <w:sz w:val="14"/>
                <w:szCs w:val="14"/>
                <w:color w:val="auto"/>
              </w:rPr>
              <w:t>Total</w:t>
            </w:r>
            <w:r>
              <w:rPr>
                <w:rFonts w:ascii="Arial" w:cs="Arial" w:eastAsia="Arial" w:hAnsi="Arial"/>
                <w:sz w:val="9"/>
                <w:szCs w:val="9"/>
                <w:color w:val="auto"/>
              </w:rPr>
              <w:t>(1)</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ind w:left="112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1208"/>
              <w:spacing w:after="0"/>
              <w:rPr>
                <w:sz w:val="20"/>
                <w:szCs w:val="20"/>
                <w:color w:val="auto"/>
              </w:rPr>
            </w:pPr>
            <w:r>
              <w:rPr>
                <w:rFonts w:ascii="Arial" w:cs="Arial" w:eastAsia="Arial" w:hAnsi="Arial"/>
                <w:sz w:val="14"/>
                <w:szCs w:val="14"/>
                <w:color w:val="026DCE"/>
              </w:rPr>
              <w:t>$</w:t>
            </w:r>
          </w:p>
        </w:tc>
        <w:tc>
          <w:tcPr>
            <w:tcW w:w="2140" w:type="dxa"/>
            <w:vAlign w:val="bottom"/>
            <w:gridSpan w:val="3"/>
            <w:shd w:val="clear" w:color="auto" w:fill="DBDBDB"/>
          </w:tcPr>
          <w:p>
            <w:pPr>
              <w:ind w:left="40"/>
              <w:spacing w:after="0"/>
              <w:rPr>
                <w:sz w:val="20"/>
                <w:szCs w:val="20"/>
                <w:color w:val="auto"/>
              </w:rPr>
            </w:pPr>
            <w:r>
              <w:rPr>
                <w:rFonts w:ascii="Arial" w:cs="Arial" w:eastAsia="Arial" w:hAnsi="Arial"/>
                <w:sz w:val="14"/>
                <w:szCs w:val="14"/>
                <w:color w:val="026DCE"/>
              </w:rPr>
              <w:t>—</w:t>
            </w:r>
          </w:p>
        </w:tc>
        <w:tc>
          <w:tcPr>
            <w:tcW w:w="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62"/>
        </w:numPr>
        <w:rPr>
          <w:rFonts w:ascii="Arial" w:cs="Arial" w:eastAsia="Arial" w:hAnsi="Arial"/>
          <w:sz w:val="16"/>
          <w:szCs w:val="16"/>
          <w:color w:val="auto"/>
          <w:vertAlign w:val="superscript"/>
        </w:rPr>
      </w:pPr>
      <w:r>
        <w:rPr>
          <w:rFonts w:ascii="Arial" w:cs="Arial" w:eastAsia="Arial" w:hAnsi="Arial"/>
          <w:sz w:val="12"/>
          <w:szCs w:val="12"/>
          <w:color w:val="auto"/>
        </w:rPr>
        <w:t>There were no share repurchases during the third quarter of 2026.</w:t>
      </w:r>
    </w:p>
    <w:p>
      <w:pPr>
        <w:spacing w:after="0" w:line="7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shares repurchased under our 2020 Share Repurchase Program were retired. There were no share repurchases of our common stock during the three months ended September 30, 2026 and 2025. Approximately $2.1 billion remained available under our 2020 Share Repurchase Program as of September 30, 2026.</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auto"/>
        </w:rPr>
        <w:t>ITEM 5.</w:t>
        <w:tab/>
        <w:t>OTHER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0070C0"/>
        </w:rPr>
        <w:t>TRADING ARRANGEMENTS</w:t>
      </w:r>
    </w:p>
    <w:p>
      <w:pPr>
        <w:spacing w:after="0" w:line="119"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From time to time, our officers (as defined in Rule 16a-1(f)) and directors may enter into, amend or terminate Rule 10b5-1 or non-Rule 10b5-1 trading arrangements (as each such term is defined in Item 408 of Regulation S-K). During the third quarter of 2026, there were no trading arrangements for the purchase or sale of our securities entered into, amended or terminated by our officers and directors.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our Quarterly Report on Form 10-Q for the quarterly period ended June 30, 2026, we reported that on May 4, 2026, Lloyd Minor, a member of our Board of Directors, adopted a Rule 10b5-1 trading arrangement providing for the sale of up to 593 shares of our common stock. The correct aggregate number of shares covered by such Rule 10b5-1 trading arrangement was 1,186 shares of our common stock. All other terms of Mr. Minor's previously disclosed Rule 10b5-1 trading arrangement remain as previously described.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348"/>
        </w:trPr>
        <w:tc>
          <w:tcPr>
            <w:tcW w:w="1020" w:type="dxa"/>
            <w:vAlign w:val="bottom"/>
            <w:gridSpan w:val="3"/>
          </w:tcPr>
          <w:p>
            <w:pPr>
              <w:spacing w:after="0"/>
              <w:rPr>
                <w:sz w:val="20"/>
                <w:szCs w:val="20"/>
                <w:color w:val="auto"/>
              </w:rPr>
            </w:pPr>
            <w:r>
              <w:rPr>
                <w:rFonts w:ascii="Arial" w:cs="Arial" w:eastAsia="Arial" w:hAnsi="Arial"/>
                <w:sz w:val="25"/>
                <w:szCs w:val="25"/>
                <w:b w:val="1"/>
                <w:bCs w:val="1"/>
                <w:color w:val="auto"/>
              </w:rPr>
              <w:t>ITEM 6.</w:t>
            </w:r>
          </w:p>
        </w:tc>
        <w:tc>
          <w:tcPr>
            <w:tcW w:w="10140" w:type="dxa"/>
            <w:vAlign w:val="bottom"/>
            <w:gridSpan w:val="6"/>
          </w:tcPr>
          <w:p>
            <w:pPr>
              <w:ind w:left="140"/>
              <w:spacing w:after="0"/>
              <w:rPr>
                <w:sz w:val="20"/>
                <w:szCs w:val="20"/>
                <w:color w:val="auto"/>
              </w:rPr>
            </w:pPr>
            <w:r>
              <w:rPr>
                <w:rFonts w:ascii="Arial" w:cs="Arial" w:eastAsia="Arial" w:hAnsi="Arial"/>
                <w:sz w:val="25"/>
                <w:szCs w:val="25"/>
                <w:b w:val="1"/>
                <w:bCs w:val="1"/>
                <w:color w:val="auto"/>
              </w:rPr>
              <w:t>EXHIBITS</w:t>
            </w:r>
          </w:p>
        </w:tc>
        <w:tc>
          <w:tcPr>
            <w:tcW w:w="0" w:type="dxa"/>
            <w:vAlign w:val="bottom"/>
          </w:tcPr>
          <w:p>
            <w:pPr>
              <w:spacing w:after="0"/>
              <w:rPr>
                <w:sz w:val="1"/>
                <w:szCs w:val="1"/>
                <w:color w:val="auto"/>
              </w:rPr>
            </w:pPr>
          </w:p>
        </w:tc>
      </w:tr>
      <w:tr>
        <w:trPr>
          <w:trHeight w:val="288"/>
        </w:trPr>
        <w:tc>
          <w:tcPr>
            <w:tcW w:w="11160" w:type="dxa"/>
            <w:vAlign w:val="bottom"/>
            <w:gridSpan w:val="9"/>
          </w:tcPr>
          <w:p>
            <w:pPr>
              <w:spacing w:after="0"/>
              <w:rPr>
                <w:sz w:val="20"/>
                <w:szCs w:val="20"/>
                <w:color w:val="auto"/>
              </w:rPr>
            </w:pPr>
            <w:r>
              <w:rPr>
                <w:rFonts w:ascii="Arial" w:cs="Arial" w:eastAsia="Arial" w:hAnsi="Arial"/>
                <w:sz w:val="18"/>
                <w:szCs w:val="18"/>
                <w:color w:val="auto"/>
              </w:rPr>
              <w:t>The exhibits listed below are filed or furnished as part of this Quarterly Report on Form 10-Q.</w:t>
            </w:r>
          </w:p>
        </w:tc>
        <w:tc>
          <w:tcPr>
            <w:tcW w:w="0" w:type="dxa"/>
            <w:vAlign w:val="bottom"/>
          </w:tcPr>
          <w:p>
            <w:pPr>
              <w:spacing w:after="0"/>
              <w:rPr>
                <w:sz w:val="1"/>
                <w:szCs w:val="1"/>
                <w:color w:val="auto"/>
              </w:rPr>
            </w:pPr>
          </w:p>
        </w:tc>
      </w:tr>
      <w:tr>
        <w:trPr>
          <w:trHeight w:val="548"/>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40" w:type="dxa"/>
            <w:vAlign w:val="bottom"/>
            <w:gridSpan w:val="4"/>
          </w:tcPr>
          <w:p>
            <w:pPr>
              <w:ind w:left="360"/>
              <w:spacing w:after="0"/>
              <w:rPr>
                <w:sz w:val="20"/>
                <w:szCs w:val="20"/>
                <w:color w:val="auto"/>
              </w:rPr>
            </w:pPr>
            <w:r>
              <w:rPr>
                <w:rFonts w:ascii="Arial" w:cs="Arial" w:eastAsia="Arial" w:hAnsi="Arial"/>
                <w:sz w:val="25"/>
                <w:szCs w:val="25"/>
                <w:color w:val="0070C0"/>
              </w:rPr>
              <w:t>EXHIBIT INDEX</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440" w:type="dxa"/>
            <w:vAlign w:val="bottom"/>
          </w:tcPr>
          <w:p>
            <w:pPr>
              <w:spacing w:after="0"/>
              <w:rPr>
                <w:sz w:val="23"/>
                <w:szCs w:val="23"/>
                <w:color w:val="auto"/>
              </w:rPr>
            </w:pPr>
          </w:p>
        </w:tc>
        <w:tc>
          <w:tcPr>
            <w:tcW w:w="87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Number</w:t>
            </w:r>
          </w:p>
        </w:tc>
        <w:tc>
          <w:tcPr>
            <w:tcW w:w="1440" w:type="dxa"/>
            <w:vAlign w:val="bottom"/>
          </w:tcPr>
          <w:p>
            <w:pPr>
              <w:spacing w:after="0"/>
              <w:rPr>
                <w:sz w:val="16"/>
                <w:szCs w:val="16"/>
                <w:color w:val="auto"/>
              </w:rPr>
            </w:pPr>
          </w:p>
        </w:tc>
        <w:tc>
          <w:tcPr>
            <w:tcW w:w="87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3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1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Certification of the Chief Executive Officer Pursuant to Section 302 of the Sarbanes-Oxley Act of 2002.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1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Certification of the Chief Financial Officer Pursuant to Section 302 of the Sarbanes-Oxley Act of 2002.</w:t>
            </w:r>
          </w:p>
        </w:tc>
        <w:tc>
          <w:tcPr>
            <w:tcW w:w="6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700" w:type="dxa"/>
            <w:vAlign w:val="bottom"/>
            <w:gridSpan w:val="5"/>
          </w:tcPr>
          <w:p>
            <w:pPr>
              <w:spacing w:after="0"/>
              <w:rPr>
                <w:sz w:val="20"/>
                <w:szCs w:val="20"/>
                <w:color w:val="auto"/>
              </w:rPr>
            </w:pPr>
            <w:r>
              <w:rPr>
                <w:rFonts w:ascii="Arial" w:cs="Arial" w:eastAsia="Arial" w:hAnsi="Arial"/>
                <w:sz w:val="18"/>
                <w:szCs w:val="18"/>
                <w:color w:val="0000FF"/>
              </w:rPr>
              <w:t>Certification Pursuant to Section 906 of the Sarbanes-Oxley Act of 2002.</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780" w:type="dxa"/>
            <w:vAlign w:val="bottom"/>
            <w:gridSpan w:val="2"/>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700" w:type="dxa"/>
            <w:vAlign w:val="bottom"/>
            <w:gridSpan w:val="5"/>
          </w:tcPr>
          <w:p>
            <w:pPr>
              <w:spacing w:after="0"/>
              <w:rPr>
                <w:sz w:val="20"/>
                <w:szCs w:val="20"/>
                <w:color w:val="auto"/>
              </w:rPr>
            </w:pPr>
            <w:r>
              <w:rPr>
                <w:rFonts w:ascii="Arial" w:cs="Arial" w:eastAsia="Arial" w:hAnsi="Arial"/>
                <w:sz w:val="18"/>
                <w:szCs w:val="18"/>
                <w:color w:val="auto"/>
              </w:rPr>
              <w:t>The following materials from Biogen Inc.’s Quarterly Report on Form 10-Q for the quarter ended September</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700" w:type="dxa"/>
            <w:vAlign w:val="bottom"/>
            <w:gridSpan w:val="5"/>
          </w:tcPr>
          <w:p>
            <w:pPr>
              <w:spacing w:after="0" w:line="183" w:lineRule="exact"/>
              <w:rPr>
                <w:sz w:val="20"/>
                <w:szCs w:val="20"/>
                <w:color w:val="auto"/>
              </w:rPr>
            </w:pPr>
            <w:r>
              <w:rPr>
                <w:rFonts w:ascii="Arial" w:cs="Arial" w:eastAsia="Arial" w:hAnsi="Arial"/>
                <w:sz w:val="18"/>
                <w:szCs w:val="18"/>
                <w:color w:val="auto"/>
              </w:rPr>
              <w:t>30, 2026, formatted in iXBRL (Inline Extensible Business Reporting Language): (i) the Condensed</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700" w:type="dxa"/>
            <w:vAlign w:val="bottom"/>
            <w:gridSpan w:val="5"/>
          </w:tcPr>
          <w:p>
            <w:pPr>
              <w:spacing w:after="0" w:line="181" w:lineRule="exact"/>
              <w:rPr>
                <w:sz w:val="20"/>
                <w:szCs w:val="20"/>
                <w:color w:val="auto"/>
              </w:rPr>
            </w:pPr>
            <w:r>
              <w:rPr>
                <w:rFonts w:ascii="Arial" w:cs="Arial" w:eastAsia="Arial" w:hAnsi="Arial"/>
                <w:sz w:val="18"/>
                <w:szCs w:val="18"/>
                <w:color w:val="auto"/>
                <w:w w:val="99"/>
              </w:rPr>
              <w:t>Consolidated Statements of Income, (ii) the Condensed Consolidated Statements of Comprehensive Income,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700" w:type="dxa"/>
            <w:vAlign w:val="bottom"/>
            <w:gridSpan w:val="5"/>
          </w:tcPr>
          <w:p>
            <w:pPr>
              <w:spacing w:after="0" w:line="176" w:lineRule="exact"/>
              <w:rPr>
                <w:sz w:val="20"/>
                <w:szCs w:val="20"/>
                <w:color w:val="auto"/>
              </w:rPr>
            </w:pPr>
            <w:r>
              <w:rPr>
                <w:rFonts w:ascii="Arial" w:cs="Arial" w:eastAsia="Arial" w:hAnsi="Arial"/>
                <w:sz w:val="18"/>
                <w:szCs w:val="18"/>
                <w:color w:val="auto"/>
              </w:rPr>
              <w:t>(iii) the Condensed Consolidated Balance Sheets, (iv) the Condensed Consolidated Statements of Cash</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700" w:type="dxa"/>
            <w:vAlign w:val="bottom"/>
            <w:gridSpan w:val="5"/>
          </w:tcPr>
          <w:p>
            <w:pPr>
              <w:spacing w:after="0" w:line="183" w:lineRule="exact"/>
              <w:rPr>
                <w:sz w:val="20"/>
                <w:szCs w:val="20"/>
                <w:color w:val="auto"/>
              </w:rPr>
            </w:pPr>
            <w:r>
              <w:rPr>
                <w:rFonts w:ascii="Arial" w:cs="Arial" w:eastAsia="Arial" w:hAnsi="Arial"/>
                <w:sz w:val="18"/>
                <w:szCs w:val="18"/>
                <w:color w:val="auto"/>
              </w:rPr>
              <w:t>Flow, (v) the Condensed Consolidated Statements of Equity and (vi) Notes to Condensed Consolidated</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700" w:type="dxa"/>
            <w:vAlign w:val="bottom"/>
            <w:gridSpan w:val="5"/>
          </w:tcPr>
          <w:p>
            <w:pPr>
              <w:spacing w:after="0"/>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225"/>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700" w:type="dxa"/>
            <w:vAlign w:val="bottom"/>
            <w:gridSpan w:val="5"/>
          </w:tcPr>
          <w:p>
            <w:pPr>
              <w:spacing w:after="0"/>
              <w:rPr>
                <w:sz w:val="20"/>
                <w:szCs w:val="20"/>
                <w:color w:val="auto"/>
              </w:rPr>
            </w:pPr>
            <w:r>
              <w:rPr>
                <w:rFonts w:ascii="Arial" w:cs="Arial" w:eastAsia="Arial" w:hAnsi="Arial"/>
                <w:sz w:val="18"/>
                <w:szCs w:val="18"/>
                <w:color w:val="auto"/>
              </w:rPr>
              <w:t>The cover page from this Quarterly Report on Form 10-Q for the quarter ended September 30, 2026,</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700" w:type="dxa"/>
            <w:vAlign w:val="bottom"/>
            <w:gridSpan w:val="5"/>
          </w:tcPr>
          <w:p>
            <w:pPr>
              <w:spacing w:after="0"/>
              <w:rPr>
                <w:sz w:val="20"/>
                <w:szCs w:val="20"/>
                <w:color w:val="auto"/>
              </w:rPr>
            </w:pPr>
            <w:r>
              <w:rPr>
                <w:rFonts w:ascii="Arial" w:cs="Arial" w:eastAsia="Arial" w:hAnsi="Arial"/>
                <w:sz w:val="18"/>
                <w:szCs w:val="18"/>
                <w:color w:val="auto"/>
              </w:rPr>
              <w:t>formatted in Inline XBRL.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420" w:hanging="412"/>
        <w:spacing w:after="0"/>
        <w:tabs>
          <w:tab w:leader="none" w:pos="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1" w:right="4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1C5A7D"/>
        </w:rPr>
        <w:t>SIGNATURES</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BIOGEN INC.</w:t>
      </w:r>
    </w:p>
    <w:p>
      <w:pPr>
        <w:spacing w:after="0" w:line="293" w:lineRule="exact"/>
        <w:rPr>
          <w:sz w:val="20"/>
          <w:szCs w:val="20"/>
          <w:color w:val="auto"/>
        </w:rPr>
      </w:pPr>
    </w:p>
    <w:p>
      <w:pPr>
        <w:ind w:left="5120"/>
        <w:spacing w:after="0"/>
        <w:tabs>
          <w:tab w:leader="none" w:pos="5500" w:val="left"/>
        </w:tabs>
        <w:rPr>
          <w:sz w:val="20"/>
          <w:szCs w:val="20"/>
          <w:color w:val="auto"/>
        </w:rPr>
      </w:pPr>
      <w:r>
        <w:rPr>
          <w:rFonts w:ascii="Arial" w:cs="Arial" w:eastAsia="Arial" w:hAnsi="Arial"/>
          <w:sz w:val="18"/>
          <w:szCs w:val="18"/>
          <w:color w:val="auto"/>
        </w:rPr>
        <w:t>/s/</w:t>
        <w:tab/>
        <w:t>ROBIN C.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17780</wp:posOffset>
            </wp:positionV>
            <wp:extent cx="16630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Robin C. Kramer</w:t>
      </w:r>
    </w:p>
    <w:p>
      <w:pPr>
        <w:spacing w:after="0" w:line="3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financial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October 28, 2026</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130" w:right="45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Viehbacher, certify that:</w:t>
      </w:r>
    </w:p>
    <w:p>
      <w:pPr>
        <w:spacing w:after="0" w:line="171"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of Biogen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right="240" w:hanging="652"/>
        <w:spacing w:after="0" w:line="268"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right="100" w:hanging="644"/>
        <w:spacing w:after="0" w:line="268" w:lineRule="auto"/>
        <w:tabs>
          <w:tab w:leader="none" w:pos="1304"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644"/>
        <w:spacing w:after="0" w:line="291" w:lineRule="auto"/>
        <w:tabs>
          <w:tab w:leader="none" w:pos="1304"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644"/>
        <w:spacing w:after="0" w:line="268" w:lineRule="auto"/>
        <w:tabs>
          <w:tab w:leader="none" w:pos="1307"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644"/>
        <w:spacing w:after="0" w:line="268" w:lineRule="auto"/>
        <w:tabs>
          <w:tab w:leader="none" w:pos="1304"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644"/>
        <w:spacing w:after="0" w:line="268" w:lineRule="auto"/>
        <w:tabs>
          <w:tab w:leader="none" w:pos="130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October 28, 2026</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w:t>
            </w:r>
            <w:r>
              <w:rPr>
                <w:rFonts w:ascii="Arial" w:cs="Arial" w:eastAsia="Arial" w:hAnsi="Arial"/>
                <w:sz w:val="16"/>
                <w:szCs w:val="16"/>
                <w:color w:val="auto"/>
              </w:rPr>
              <w:t>HRISTOPHER</w:t>
            </w:r>
            <w:r>
              <w:rPr>
                <w:rFonts w:ascii="Arial" w:cs="Arial" w:eastAsia="Arial" w:hAnsi="Arial"/>
                <w:sz w:val="18"/>
                <w:szCs w:val="18"/>
                <w:color w:val="auto"/>
              </w:rPr>
              <w:t xml:space="preserve"> A. V</w:t>
            </w:r>
            <w:r>
              <w:rPr>
                <w:rFonts w:ascii="Arial" w:cs="Arial" w:eastAsia="Arial" w:hAnsi="Arial"/>
                <w:sz w:val="16"/>
                <w:szCs w:val="16"/>
                <w:color w:val="auto"/>
              </w:rPr>
              <w:t>IEHBACHER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Christopher A. Viehbacher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4"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Robin C. Kramer, certify that:</w:t>
      </w:r>
    </w:p>
    <w:p>
      <w:pPr>
        <w:spacing w:after="0" w:line="171" w:lineRule="exact"/>
        <w:rPr>
          <w:sz w:val="20"/>
          <w:szCs w:val="20"/>
          <w:color w:val="auto"/>
        </w:rPr>
      </w:pPr>
    </w:p>
    <w:p>
      <w:pPr>
        <w:ind w:left="640" w:hanging="632"/>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of Biogen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right="240" w:hanging="652"/>
        <w:spacing w:after="0" w:line="268"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right="100" w:hanging="644"/>
        <w:spacing w:after="0" w:line="268" w:lineRule="auto"/>
        <w:tabs>
          <w:tab w:leader="none" w:pos="1304"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644"/>
        <w:spacing w:after="0" w:line="291" w:lineRule="auto"/>
        <w:tabs>
          <w:tab w:leader="none" w:pos="1304"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644"/>
        <w:spacing w:after="0" w:line="268" w:lineRule="auto"/>
        <w:tabs>
          <w:tab w:leader="none" w:pos="1307"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644"/>
        <w:spacing w:after="0" w:line="268" w:lineRule="auto"/>
        <w:tabs>
          <w:tab w:leader="none" w:pos="1304"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644"/>
        <w:spacing w:after="0" w:line="268" w:lineRule="auto"/>
        <w:tabs>
          <w:tab w:leader="none" w:pos="1304"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October 28, 2026</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w:t>
            </w:r>
            <w:r>
              <w:rPr>
                <w:rFonts w:ascii="Arial" w:cs="Arial" w:eastAsia="Arial" w:hAnsi="Arial"/>
                <w:sz w:val="16"/>
                <w:szCs w:val="16"/>
                <w:color w:val="auto"/>
              </w:rPr>
              <w:t>OBIN</w:t>
            </w:r>
            <w:r>
              <w:rPr>
                <w:rFonts w:ascii="Arial" w:cs="Arial" w:eastAsia="Arial" w:hAnsi="Arial"/>
                <w:sz w:val="18"/>
                <w:szCs w:val="18"/>
                <w:color w:val="auto"/>
              </w:rPr>
              <w:t xml:space="preserve"> C. K</w:t>
            </w:r>
            <w:r>
              <w:rPr>
                <w:rFonts w:ascii="Arial" w:cs="Arial" w:eastAsia="Arial" w:hAnsi="Arial"/>
                <w:sz w:val="16"/>
                <w:szCs w:val="16"/>
                <w:color w:val="auto"/>
              </w:rPr>
              <w:t>RAMER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Robin C. Kramer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15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spacing w:after="0" w:line="11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Quarterly Report on Form 10-Q for the quarter ended September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October 28, 2026</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w:t>
            </w:r>
            <w:r>
              <w:rPr>
                <w:rFonts w:ascii="Arial" w:cs="Arial" w:eastAsia="Arial" w:hAnsi="Arial"/>
                <w:sz w:val="16"/>
                <w:szCs w:val="16"/>
                <w:color w:val="auto"/>
              </w:rPr>
              <w:t>HRISTOPHER</w:t>
            </w:r>
            <w:r>
              <w:rPr>
                <w:rFonts w:ascii="Arial" w:cs="Arial" w:eastAsia="Arial" w:hAnsi="Arial"/>
                <w:sz w:val="18"/>
                <w:szCs w:val="18"/>
                <w:color w:val="auto"/>
              </w:rPr>
              <w:t xml:space="preserve"> A. V</w:t>
            </w:r>
            <w:r>
              <w:rPr>
                <w:rFonts w:ascii="Arial" w:cs="Arial" w:eastAsia="Arial" w:hAnsi="Arial"/>
                <w:sz w:val="16"/>
                <w:szCs w:val="16"/>
                <w:color w:val="auto"/>
              </w:rPr>
              <w:t>IEHBACHER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Christopher A. Viehbacher</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860"/>
        </w:trPr>
        <w:tc>
          <w:tcPr>
            <w:tcW w:w="6200" w:type="dxa"/>
            <w:vAlign w:val="bottom"/>
          </w:tcPr>
          <w:p>
            <w:pPr>
              <w:spacing w:after="0"/>
              <w:rPr>
                <w:sz w:val="20"/>
                <w:szCs w:val="20"/>
                <w:color w:val="auto"/>
              </w:rPr>
            </w:pPr>
            <w:r>
              <w:rPr>
                <w:rFonts w:ascii="Arial" w:cs="Arial" w:eastAsia="Arial" w:hAnsi="Arial"/>
                <w:sz w:val="18"/>
                <w:szCs w:val="18"/>
                <w:color w:val="auto"/>
              </w:rPr>
              <w:t>Date: October 28, 2026</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w:t>
            </w:r>
            <w:r>
              <w:rPr>
                <w:rFonts w:ascii="Arial" w:cs="Arial" w:eastAsia="Arial" w:hAnsi="Arial"/>
                <w:sz w:val="16"/>
                <w:szCs w:val="16"/>
                <w:color w:val="auto"/>
              </w:rPr>
              <w:t>OBIN</w:t>
            </w:r>
            <w:r>
              <w:rPr>
                <w:rFonts w:ascii="Arial" w:cs="Arial" w:eastAsia="Arial" w:hAnsi="Arial"/>
                <w:sz w:val="18"/>
                <w:szCs w:val="18"/>
                <w:color w:val="auto"/>
              </w:rPr>
              <w:t xml:space="preserve"> C. K</w:t>
            </w:r>
            <w:r>
              <w:rPr>
                <w:rFonts w:ascii="Arial" w:cs="Arial" w:eastAsia="Arial" w:hAnsi="Arial"/>
                <w:sz w:val="16"/>
                <w:szCs w:val="16"/>
                <w:color w:val="auto"/>
              </w:rPr>
              <w:t>RAMER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Robin C. Kramer</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9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1)"/>
      <w:numFmt w:val="decimal"/>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1)"/>
      <w:numFmt w:val="lowerRoman"/>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1)"/>
      <w:numFmt w:val="lowerLetter"/>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2026-10-28T05:28:33Z</dcterms:created>
  <dcterms:modified xsi:type="dcterms:W3CDTF">2026-10-28T05:28:33Z</dcterms:modified>
</cp:coreProperties>
</file>